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E4" w:rsidRPr="00031BF3" w:rsidRDefault="00B11DE4" w:rsidP="00B11DE4">
      <w:pPr>
        <w:rPr>
          <w:rFonts w:ascii="Times New Roman" w:hAnsi="Times New Roman" w:cs="Times New Roman"/>
          <w:sz w:val="24"/>
          <w:szCs w:val="24"/>
        </w:rPr>
      </w:pPr>
      <w:r w:rsidRPr="00031BF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48030B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Pr="00031BF3">
        <w:rPr>
          <w:rFonts w:ascii="Times New Roman" w:hAnsi="Times New Roman" w:cs="Times New Roman"/>
          <w:b/>
          <w:sz w:val="24"/>
          <w:szCs w:val="24"/>
        </w:rPr>
        <w:t>.</w:t>
      </w:r>
      <w:r w:rsidRPr="00031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Mean</w:t>
      </w:r>
      <w:r w:rsidRPr="00FD5C0B">
        <w:rPr>
          <w:rFonts w:ascii="Times New Roman" w:hAnsi="Times New Roman" w:cs="Times New Roman"/>
          <w:sz w:val="20"/>
          <w:szCs w:val="20"/>
        </w:rPr>
        <w:t>±</w:t>
      </w:r>
      <w:r>
        <w:rPr>
          <w:rFonts w:ascii="Times New Roman" w:hAnsi="Times New Roman" w:cs="Times New Roman"/>
          <w:sz w:val="24"/>
          <w:szCs w:val="24"/>
        </w:rPr>
        <w:t>SD of the s</w:t>
      </w:r>
      <w:r w:rsidRPr="00031BF3">
        <w:rPr>
          <w:rFonts w:ascii="Times New Roman" w:hAnsi="Times New Roman" w:cs="Times New Roman"/>
          <w:sz w:val="24"/>
          <w:szCs w:val="24"/>
        </w:rPr>
        <w:t xml:space="preserve">ubjective scores </w:t>
      </w:r>
      <w:r>
        <w:rPr>
          <w:rFonts w:ascii="Times New Roman" w:hAnsi="Times New Roman" w:cs="Times New Roman"/>
          <w:sz w:val="24"/>
          <w:szCs w:val="24"/>
        </w:rPr>
        <w:t>of the human datasets for each reader</w:t>
      </w:r>
      <w:r w:rsidRPr="00031BF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PlainTable21"/>
        <w:tblW w:w="4428" w:type="pct"/>
        <w:tblLayout w:type="fixed"/>
        <w:tblLook w:val="04A0" w:firstRow="1" w:lastRow="0" w:firstColumn="1" w:lastColumn="0" w:noHBand="0" w:noVBand="1"/>
      </w:tblPr>
      <w:tblGrid>
        <w:gridCol w:w="989"/>
        <w:gridCol w:w="1639"/>
        <w:gridCol w:w="1891"/>
        <w:gridCol w:w="8"/>
        <w:gridCol w:w="1959"/>
        <w:gridCol w:w="19"/>
        <w:gridCol w:w="1976"/>
      </w:tblGrid>
      <w:tr w:rsidR="00B11DE4" w:rsidRPr="006C3DBE" w:rsidTr="006C0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iCs/>
                <w:color w:val="404040" w:themeColor="text1" w:themeTint="BF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Ability to detect LV scar</w:t>
            </w:r>
            <w:r w:rsidRPr="006C3D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6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iCs/>
                <w:color w:val="404040" w:themeColor="text1" w:themeTint="BF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Ability to localize LV scar</w:t>
            </w:r>
            <w:r w:rsidRPr="006C3D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Ability to detect papillary scar</w:t>
            </w:r>
            <w:r w:rsidRPr="006C3D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B11DE4" w:rsidRPr="006C3DBE" w:rsidTr="006C0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pct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Reader 1</w:t>
            </w:r>
          </w:p>
        </w:tc>
        <w:tc>
          <w:tcPr>
            <w:tcW w:w="966" w:type="pct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b/>
                <w:sz w:val="24"/>
                <w:szCs w:val="24"/>
              </w:rPr>
              <w:t>BB-LGE (n=27)</w:t>
            </w:r>
          </w:p>
        </w:tc>
        <w:tc>
          <w:tcPr>
            <w:tcW w:w="112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3.59±0.69</w:t>
            </w:r>
          </w:p>
        </w:tc>
        <w:tc>
          <w:tcPr>
            <w:tcW w:w="116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3.59±0.69</w:t>
            </w:r>
          </w:p>
        </w:tc>
        <w:tc>
          <w:tcPr>
            <w:tcW w:w="1165" w:type="pct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3.59±0.63</w:t>
            </w:r>
          </w:p>
        </w:tc>
      </w:tr>
      <w:tr w:rsidR="00B11DE4" w:rsidRPr="006C3DBE" w:rsidTr="006C028F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pct"/>
            <w:vMerge/>
            <w:textDirection w:val="btLr"/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nil"/>
              <w:bottom w:val="nil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b/>
                <w:sz w:val="24"/>
                <w:szCs w:val="24"/>
              </w:rPr>
              <w:t>GB-LGE (n=45)</w:t>
            </w:r>
          </w:p>
        </w:tc>
        <w:tc>
          <w:tcPr>
            <w:tcW w:w="1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3.56±0.76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3.56±0.76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3.73±0.62</w:t>
            </w:r>
          </w:p>
        </w:tc>
      </w:tr>
      <w:tr w:rsidR="00B11DE4" w:rsidRPr="006C3DBE" w:rsidTr="006C0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pct"/>
            <w:vMerge/>
            <w:tcBorders>
              <w:bottom w:val="single" w:sz="8" w:space="0" w:color="auto"/>
            </w:tcBorders>
            <w:textDirection w:val="btLr"/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ind w:left="113" w:right="113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b/>
                <w:sz w:val="24"/>
                <w:szCs w:val="24"/>
              </w:rPr>
              <w:t>Conventional LGE (n=45)</w:t>
            </w:r>
          </w:p>
        </w:tc>
        <w:tc>
          <w:tcPr>
            <w:tcW w:w="112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2.98±1.03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2.98±1.03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3.11±0.91</w:t>
            </w:r>
          </w:p>
        </w:tc>
      </w:tr>
      <w:tr w:rsidR="00B11DE4" w:rsidRPr="006C3DBE" w:rsidTr="006C028F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pct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Reader 2</w:t>
            </w:r>
          </w:p>
        </w:tc>
        <w:tc>
          <w:tcPr>
            <w:tcW w:w="966" w:type="pct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b/>
                <w:sz w:val="24"/>
                <w:szCs w:val="24"/>
              </w:rPr>
              <w:t>BB-LGE (n=27)</w:t>
            </w:r>
          </w:p>
        </w:tc>
        <w:tc>
          <w:tcPr>
            <w:tcW w:w="112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3.59±0.69</w:t>
            </w:r>
          </w:p>
        </w:tc>
        <w:tc>
          <w:tcPr>
            <w:tcW w:w="116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3.56±0.64</w:t>
            </w:r>
          </w:p>
        </w:tc>
        <w:tc>
          <w:tcPr>
            <w:tcW w:w="1165" w:type="pct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3.59±0.69</w:t>
            </w:r>
          </w:p>
        </w:tc>
      </w:tr>
      <w:tr w:rsidR="00B11DE4" w:rsidRPr="006C3DBE" w:rsidTr="006C0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pct"/>
            <w:vMerge/>
            <w:textDirection w:val="btLr"/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ind w:left="113" w:right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nil"/>
              <w:bottom w:val="nil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  <w:color w:val="404040" w:themeColor="text1" w:themeTint="BF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b/>
                <w:sz w:val="24"/>
                <w:szCs w:val="24"/>
              </w:rPr>
              <w:t>GB-LGE (n=45)</w:t>
            </w:r>
          </w:p>
        </w:tc>
        <w:tc>
          <w:tcPr>
            <w:tcW w:w="1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3.60±0.72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3.67±0.60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3.76±0.61</w:t>
            </w:r>
          </w:p>
        </w:tc>
      </w:tr>
      <w:tr w:rsidR="00B11DE4" w:rsidRPr="006C3DBE" w:rsidTr="006C028F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pct"/>
            <w:vMerge/>
            <w:tcBorders>
              <w:bottom w:val="single" w:sz="8" w:space="0" w:color="auto"/>
            </w:tcBorders>
            <w:textDirection w:val="btLr"/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  <w:color w:val="404040" w:themeColor="text1" w:themeTint="BF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b/>
                <w:sz w:val="24"/>
                <w:szCs w:val="24"/>
              </w:rPr>
              <w:t>Conventional LGE (n=45)</w:t>
            </w:r>
          </w:p>
        </w:tc>
        <w:tc>
          <w:tcPr>
            <w:tcW w:w="112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3.00±1.02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3.07±0.96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B11DE4" w:rsidRPr="006C3DBE" w:rsidRDefault="00B11DE4" w:rsidP="006C028F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DBE">
              <w:rPr>
                <w:rFonts w:ascii="Times New Roman" w:hAnsi="Times New Roman" w:cs="Times New Roman"/>
                <w:sz w:val="24"/>
                <w:szCs w:val="24"/>
              </w:rPr>
              <w:t>3.04±1.09</w:t>
            </w:r>
          </w:p>
        </w:tc>
      </w:tr>
    </w:tbl>
    <w:p w:rsidR="00B11DE4" w:rsidRDefault="00B11DE4" w:rsidP="00B11DE4"/>
    <w:p w:rsidR="00B11DE4" w:rsidRPr="00016A7B" w:rsidRDefault="00B11DE4" w:rsidP="00B11DE4">
      <w:pPr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 w:rsidRPr="000B257A">
        <w:rPr>
          <w:rStyle w:val="FootnoteReference"/>
          <w:rFonts w:ascii="Times New Roman" w:hAnsi="Times New Roman" w:cs="Times New Roman"/>
          <w:sz w:val="24"/>
          <w:szCs w:val="24"/>
        </w:rPr>
        <w:t>a</w:t>
      </w:r>
      <w:r w:rsidRPr="000B257A">
        <w:rPr>
          <w:rFonts w:ascii="Times New Roman" w:hAnsi="Times New Roman" w:cs="Times New Roman"/>
          <w:sz w:val="24"/>
          <w:szCs w:val="24"/>
        </w:rPr>
        <w:t xml:space="preserve"> Data (average ± standard deviation) are computed over the </w:t>
      </w:r>
      <w:r>
        <w:rPr>
          <w:rFonts w:ascii="Times New Roman" w:hAnsi="Times New Roman" w:cs="Times New Roman"/>
          <w:sz w:val="24"/>
          <w:szCs w:val="24"/>
        </w:rPr>
        <w:t xml:space="preserve">different human </w:t>
      </w:r>
      <w:r w:rsidRPr="000B257A">
        <w:rPr>
          <w:rFonts w:ascii="Times New Roman" w:hAnsi="Times New Roman" w:cs="Times New Roman"/>
          <w:sz w:val="24"/>
          <w:szCs w:val="24"/>
        </w:rPr>
        <w:t>datasets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B257A">
        <w:rPr>
          <w:rFonts w:ascii="Times New Roman" w:hAnsi="Times New Roman" w:cs="Times New Roman"/>
          <w:sz w:val="24"/>
          <w:szCs w:val="24"/>
        </w:rPr>
        <w:t xml:space="preserve"> Score values are: 1=Challenging, 2=Difficult, 3=Moderate, 4=Easy.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GB= gray blood, BB=black blood, LGE= late gadolinium enhancement.</w:t>
      </w:r>
    </w:p>
    <w:p w:rsidR="008C51BF" w:rsidRDefault="0048030B"/>
    <w:sectPr w:rsidR="008C5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E4"/>
    <w:rsid w:val="00450669"/>
    <w:rsid w:val="0048030B"/>
    <w:rsid w:val="007A4055"/>
    <w:rsid w:val="00B1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D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B11D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B11DE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D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B11D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B11D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>BIDMC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Fahmy, Ahmed S. ( BIDMC - Cardiology )</dc:creator>
  <cp:lastModifiedBy>Fahmy, Ahmed S. ( BIDMC - Cardiology )</cp:lastModifiedBy>
  <cp:revision>2</cp:revision>
  <dcterms:created xsi:type="dcterms:W3CDTF">2017-12-22T17:52:00Z</dcterms:created>
  <dcterms:modified xsi:type="dcterms:W3CDTF">2018-02-20T15:08:00Z</dcterms:modified>
</cp:coreProperties>
</file>