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B6F" w:rsidRPr="00260A1D" w:rsidRDefault="00260A1D" w:rsidP="00695B6F">
      <w:pPr>
        <w:jc w:val="center"/>
        <w:rPr>
          <w:rFonts w:ascii="Times New Roman" w:hAnsi="Times New Roman" w:cs="Times New Roman"/>
          <w:b/>
          <w:sz w:val="22"/>
          <w:szCs w:val="22"/>
        </w:rPr>
      </w:pPr>
      <w:bookmarkStart w:id="0" w:name="_GoBack"/>
      <w:r w:rsidRPr="00260A1D">
        <w:rPr>
          <w:rFonts w:ascii="Times New Roman" w:hAnsi="Times New Roman" w:cs="Times New Roman"/>
          <w:b/>
          <w:sz w:val="22"/>
          <w:szCs w:val="22"/>
        </w:rPr>
        <w:t>Additional file 1</w:t>
      </w:r>
    </w:p>
    <w:p w:rsidR="00695B6F" w:rsidRPr="00260A1D" w:rsidRDefault="00695B6F" w:rsidP="00695B6F">
      <w:pPr>
        <w:jc w:val="center"/>
        <w:rPr>
          <w:rFonts w:ascii="Times New Roman" w:hAnsi="Times New Roman" w:cs="Times New Roman"/>
          <w:sz w:val="22"/>
          <w:szCs w:val="22"/>
        </w:rPr>
      </w:pPr>
      <w:r w:rsidRPr="00260A1D">
        <w:rPr>
          <w:rFonts w:ascii="Times New Roman" w:hAnsi="Times New Roman" w:cs="Times New Roman"/>
          <w:sz w:val="22"/>
          <w:szCs w:val="22"/>
        </w:rPr>
        <w:t>Methods</w:t>
      </w:r>
    </w:p>
    <w:p w:rsidR="00695B6F" w:rsidRPr="00260A1D" w:rsidRDefault="00695B6F" w:rsidP="00695B6F">
      <w:pPr>
        <w:widowControl w:val="0"/>
        <w:autoSpaceDE w:val="0"/>
        <w:autoSpaceDN w:val="0"/>
        <w:adjustRightInd w:val="0"/>
        <w:spacing w:line="480" w:lineRule="auto"/>
        <w:rPr>
          <w:rFonts w:ascii="Times New Roman" w:hAnsi="Times New Roman" w:cs="Times New Roman"/>
          <w:color w:val="191919"/>
          <w:sz w:val="22"/>
          <w:szCs w:val="22"/>
        </w:rPr>
      </w:pPr>
    </w:p>
    <w:p w:rsidR="00695B6F" w:rsidRPr="00260A1D" w:rsidRDefault="00695B6F" w:rsidP="00695B6F">
      <w:pPr>
        <w:widowControl w:val="0"/>
        <w:autoSpaceDE w:val="0"/>
        <w:autoSpaceDN w:val="0"/>
        <w:adjustRightInd w:val="0"/>
        <w:spacing w:line="480" w:lineRule="auto"/>
        <w:rPr>
          <w:rFonts w:ascii="Times New Roman" w:hAnsi="Times New Roman" w:cs="Times New Roman"/>
          <w:i/>
          <w:color w:val="191919"/>
          <w:sz w:val="22"/>
          <w:szCs w:val="22"/>
        </w:rPr>
      </w:pPr>
      <w:r w:rsidRPr="00260A1D">
        <w:rPr>
          <w:rFonts w:ascii="Times New Roman" w:hAnsi="Times New Roman" w:cs="Times New Roman"/>
          <w:i/>
          <w:color w:val="191919"/>
          <w:sz w:val="22"/>
          <w:szCs w:val="22"/>
        </w:rPr>
        <w:t>CMR Imaging Protocol</w:t>
      </w:r>
    </w:p>
    <w:p w:rsidR="007E60F8" w:rsidRPr="00260A1D" w:rsidRDefault="00695B6F" w:rsidP="007E60F8">
      <w:pPr>
        <w:widowControl w:val="0"/>
        <w:autoSpaceDE w:val="0"/>
        <w:autoSpaceDN w:val="0"/>
        <w:adjustRightInd w:val="0"/>
        <w:spacing w:line="480" w:lineRule="auto"/>
        <w:rPr>
          <w:rFonts w:ascii="Times New Roman" w:hAnsi="Times New Roman" w:cs="Times New Roman"/>
          <w:sz w:val="22"/>
          <w:szCs w:val="22"/>
        </w:rPr>
      </w:pPr>
      <w:r w:rsidRPr="00260A1D">
        <w:rPr>
          <w:rFonts w:ascii="Times New Roman" w:hAnsi="Times New Roman" w:cs="Times New Roman"/>
          <w:color w:val="191919"/>
          <w:sz w:val="22"/>
          <w:szCs w:val="22"/>
        </w:rPr>
        <w:t xml:space="preserve">Studies performed at the authors’ institution (n=60) were obtained on 1.5-T scanners (CV/I, GE Medical Systems, Waukesha, Wisconsin, or Siemens, </w:t>
      </w:r>
      <w:proofErr w:type="spellStart"/>
      <w:r w:rsidRPr="00260A1D">
        <w:rPr>
          <w:rFonts w:ascii="Times New Roman" w:hAnsi="Times New Roman" w:cs="Times New Roman"/>
          <w:color w:val="191919"/>
          <w:sz w:val="22"/>
          <w:szCs w:val="22"/>
        </w:rPr>
        <w:t>Avanto</w:t>
      </w:r>
      <w:proofErr w:type="spellEnd"/>
      <w:r w:rsidRPr="00260A1D">
        <w:rPr>
          <w:rFonts w:ascii="Times New Roman" w:hAnsi="Times New Roman" w:cs="Times New Roman"/>
          <w:color w:val="191919"/>
          <w:sz w:val="22"/>
          <w:szCs w:val="22"/>
        </w:rPr>
        <w:t>, Erlangen, Germany.</w:t>
      </w:r>
      <w:r w:rsidRPr="00260A1D">
        <w:rPr>
          <w:rFonts w:ascii="Times New Roman" w:hAnsi="Times New Roman" w:cs="Times New Roman"/>
          <w:sz w:val="22"/>
          <w:szCs w:val="22"/>
        </w:rPr>
        <w:t xml:space="preserve">  Studies from outside centers </w:t>
      </w:r>
      <w:r w:rsidRPr="00260A1D">
        <w:rPr>
          <w:rFonts w:ascii="Times New Roman" w:hAnsi="Times New Roman" w:cs="Times New Roman"/>
          <w:color w:val="191919"/>
          <w:sz w:val="22"/>
          <w:szCs w:val="22"/>
        </w:rPr>
        <w:t xml:space="preserve">(CV/I, GE Medical Systems, Waukesha, Wisconsin, or Siemens, </w:t>
      </w:r>
      <w:proofErr w:type="spellStart"/>
      <w:r w:rsidRPr="00260A1D">
        <w:rPr>
          <w:rFonts w:ascii="Times New Roman" w:hAnsi="Times New Roman" w:cs="Times New Roman"/>
          <w:color w:val="191919"/>
          <w:sz w:val="22"/>
          <w:szCs w:val="22"/>
        </w:rPr>
        <w:t>Avanto</w:t>
      </w:r>
      <w:proofErr w:type="spellEnd"/>
      <w:r w:rsidRPr="00260A1D">
        <w:rPr>
          <w:rFonts w:ascii="Times New Roman" w:hAnsi="Times New Roman" w:cs="Times New Roman"/>
          <w:color w:val="191919"/>
          <w:sz w:val="22"/>
          <w:szCs w:val="22"/>
        </w:rPr>
        <w:t>, Erlangen, Germany)</w:t>
      </w:r>
      <w:r w:rsidRPr="00260A1D">
        <w:rPr>
          <w:rFonts w:ascii="Times New Roman" w:hAnsi="Times New Roman" w:cs="Times New Roman"/>
          <w:sz w:val="22"/>
          <w:szCs w:val="22"/>
        </w:rPr>
        <w:t xml:space="preserve"> (n = 13) were also all performed at 1.5T. For inclusion, studies must have included a minimum of double-inversion recovery fast spin echo (FSE) sequences, cine functional images in the long and short-axis planes for quantification of volumes and ejection fraction (EF), and post-contrast LGE images.</w:t>
      </w:r>
      <w:r w:rsidR="007E60F8" w:rsidRPr="00260A1D">
        <w:rPr>
          <w:rFonts w:ascii="Times New Roman" w:hAnsi="Times New Roman" w:cs="Times New Roman"/>
          <w:sz w:val="22"/>
          <w:szCs w:val="22"/>
        </w:rPr>
        <w:t xml:space="preserve"> Research review of CMRs was not used to establish ARVD/C diagnosis, which was strictly based on 2010 global TFC at the time of clinical diagnosis. Due to the rarity of the ARVD/C disease, some of the members of this patient cohort have been included in previous studies </w:t>
      </w:r>
      <w:r w:rsidR="007E60F8" w:rsidRPr="00260A1D">
        <w:rPr>
          <w:rFonts w:ascii="Times New Roman" w:hAnsi="Times New Roman" w:cs="Times New Roman"/>
          <w:sz w:val="22"/>
          <w:szCs w:val="22"/>
        </w:rPr>
        <w:fldChar w:fldCharType="begin" w:fldLock="1"/>
      </w:r>
      <w:r w:rsidR="00E02102" w:rsidRPr="00260A1D">
        <w:rPr>
          <w:rFonts w:ascii="Times New Roman" w:hAnsi="Times New Roman" w:cs="Times New Roman"/>
          <w:sz w:val="22"/>
          <w:szCs w:val="22"/>
        </w:rPr>
        <w:instrText>ADDIN CSL_CITATION {"citationItems":[{"id":"ITEM-1","itemData":{"DOI":"10.1016/j.jcmg.2014.09.009","ISSN":"18767591","author":[{"dropping-particle":"","family":"Rastegar","given":"Neda","non-dropping-particle":"","parse-names":false,"suffix":""},{"dropping-particle":"","family":"Zimmerman","given":"Stefan L.","non-dropping-particle":"","parse-names":false,"suffix":""},{"dropping-particle":"","family":"Riele","given":"Anneline S.J.M.","non-dropping-particle":"Te","parse-names":false,"suffix":""},{"dropping-particle":"","family":"James","given":"Cynthia","non-dropping-particle":"","parse-names":false,"suffix":""},{"dropping-particle":"","family":"Burt","given":"Jeremy R.","non-dropping-particle":"","parse-names":false,"suffix":""},{"dropping-particle":"","family":"Bhonsale","given":"Aditya","non-dropping-particle":"","parse-names":false,"suffix":""},{"dropping-particle":"","family":"Murray","given":"Brittney","non-dropping-particle":"","parse-names":false,"suffix":""},{"dropping-particle":"","family":"Tichnell","given":"Crystal","non-dropping-particle":"","parse-names":false,"suffix":""},{"dropping-particle":"","family":"Judge","given":"Daniel","non-dropping-particle":"","parse-names":false,"suffix":""},{"dropping-particle":"","family":"Calkins","given":"Hugh","non-dropping-particle":"","parse-names":false,"suffix":""},{"dropping-particle":"","family":"Tandri","given":"Harikrishna","non-dropping-particle":"","parse-names":false,"suffix":""},{"dropping-particle":"","family":"Bluemke","given":"David A.","non-dropping-particle":"","parse-names":false,"suffix":""},{"dropping-particle":"","family":"Kamel","given":"Ihab R.","non-dropping-particle":"","parse-names":false,"suffix":""}],"container-title":"JACC: Cardiovascular Imaging","id":"ITEM-1","issue":"7","issued":{"date-parts":[["2015"]]},"page":"863-864","title":"Spectrum of Biventricular Involvement on CMR among Carriers of ARVD/C-Associated Mutations","type":"article-journal","volume":"8"},"uris":["http://www.mendeley.com/documents/?uuid=ed8ac065-ee15-49f3-95d4-9c9934c92907"]},{"id":"ITEM-2","itemData":{"DOI":"10.1111/jce.12222","ISBN":"1540-8167 (Electronic)\\r1045-3873 (Linking)","ISSN":"10453873","PMID":"23889974","abstract":"ARVD/C: The Triangle of Dysplasia Displaced Introduction The traditional description of the Triangle of Dysplasia in Arrhythmogenic Right Ventricular Dysplasia/Cardiomyopathy (ARVD/C) predates genetic testing and excludes biventricular phenotypes. Methods and Results We analyzed Cardiac Magnetic Resonance (CMR) studies of 74 mutation-positive ARVD/C patients for regional abnormalities on a 5-segment RV and 17-segment LV model. The location of electroanatomic endo- and epicardial scar and site of successful VT ablation was recorded in 11 ARVD/C subjects. Among 54/74 (73%) subjects with abnormal CMR, the RV was abnormal in almost all (96%), and 52% had biventricular involvement. Isolated LV abnormalities were uncommon (4%). Dyskinetic basal inferior wall (94%) was the most prevalent RV abnormality, followed by basal anterior wall (87%) dyskinesis. Subepicardial fat infiltration in the posterolateral LV (80%) was the most frequent LV abnormality. Similar to CMR data, voltage maps revealed scar (&lt;0.5 mV) in the RV basal inferior wall (100%), followed by the RV basal anterior wall (64%) and LV posterolateral wall (45%). All 16 RV VTs originated from the basal inferior wall (50%) or basal anterior wall (50%). Of 3 LV VTs, 2 localized to the posterolateral wall. In both modalities, RV apical involvement never occurred in isolation. Conclusion Mutation-positive ARVD/C exhibits a previously unrecognized characteristic pattern of disease involving the basal inferior and anterior RV, and the posterolateral LV. The RV apex is only involved in advanced ARVD/C, typically as a part of global RV involvement. These results displace the RV apex from the Triangle of Dysplasia, and provide insights into the pathophysiology of ARVD/C. © 2013 Wiley Periodicals, Inc.","author":[{"dropping-particle":"","family":"Riele","given":"Anneline S J M","non-dropping-particle":"Te","parse-names":false,"suffix":""},{"dropping-particle":"","family":"James","given":"Cynthia A.","non-dropping-particle":"","parse-names":false,"suffix":""},{"dropping-particle":"","family":"Philips","given":"Binu","non-dropping-particle":"","parse-names":false,"suffix":""},{"dropping-particle":"","family":"Rastegar","given":"Neda","non-dropping-particle":"","parse-names":false,"suffix":""},{"dropping-particle":"","family":"Bhonsale","given":"Aditya","non-dropping-particle":"","parse-names":false,"suffix":""},{"dropping-particle":"","family":"Groeneweg","given":"Judith A.","non-dropping-particle":"","parse-names":false,"suffix":""},{"dropping-particle":"","family":"Murray","given":"Brittney","non-dropping-particle":"","parse-names":false,"suffix":""},{"dropping-particle":"","family":"Tichnell","given":"Crystal","non-dropping-particle":"","parse-names":false,"suffix":""},{"dropping-particle":"","family":"Judge","given":"Daniel P.","non-dropping-particle":"","parse-names":false,"suffix":""},{"dropping-particle":"","family":"Heijden","given":"Jeroen F.","non-dropping-particle":"Van Der","parse-names":false,"suffix":""},{"dropping-particle":"","family":"Cramer","given":"Maarten J M","non-dropping-particle":"","parse-names":false,"suffix":""},{"dropping-particle":"","family":"Velthuis","given":"Birgitta K.","non-dropping-particle":"","parse-names":false,"suffix":""},{"dropping-particle":"","family":"Bluemke","given":"David A.","non-dropping-particle":"","parse-names":false,"suffix":""},{"dropping-particle":"","family":"Zimmerman","given":"Stefan L.","non-dropping-particle":"","parse-names":false,"suffix":""},{"dropping-particle":"","family":"Kamel","given":"Ihab R.","non-dropping-particle":"","parse-names":false,"suffix":""},{"dropping-particle":"","family":"Hauer","given":"Richard N W","non-dropping-particle":"","parse-names":false,"suffix":""},{"dropping-particle":"","family":"Calkins","given":"Hugh","non-dropping-particle":"","parse-names":false,"suffix":""},{"dropping-particle":"","family":"Tandri","given":"Harikrishna","non-dropping-particle":"","parse-names":false,"suffix":""}],"container-title":"Journal of Cardiovascular Electrophysiology","id":"ITEM-2","issue":"12","issued":{"date-parts":[["2013","12"]]},"page":"1311-1320","title":"Mutation-positive arrhythmogenic right ventricular dysplasia/ cardiomyopathy: The triangle of dysplasia displaced","type":"article-journal","volume":"24"},"uris":["http://www.mendeley.com/documents/?uuid=c65ee841-27b4-361e-a4b9-2d935808eced"]},{"id":"ITEM-3","itemData":{"DOI":"10.1016/j.jacc.2012.11.087","ISSN":"07351097","author":[{"dropping-particle":"","family":"Madhavan","given":"Srinivasa","non-dropping-particle":"","parse-names":false,"suffix":""},{"dropping-particle":"","family":"Calkins","given":"Hugh","non-dropping-particle":"","parse-names":false,"suffix":""},{"dropping-particle":"","family":"Kamel","given":"Ihab R.","non-dropping-particle":"","parse-names":false,"suffix":""},{"dropping-particle":"","family":"Tichnell","given":"Crystal","non-dropping-particle":"","parse-names":false,"suffix":""},{"dropping-particle":"","family":"Zimmerman","given":"Stefan L.","non-dropping-particle":"","parse-names":false,"suffix":""},{"dropping-particle":"","family":"Bhonsale","given":"Aditya","non-dropping-particle":"","parse-names":false,"suffix":""},{"dropping-particle":"","family":"Bluemke","given":"David A.","non-dropping-particle":"","parse-names":false,"suffix":""},{"dropping-particle":"","family":"Murray","given":"Brittney","non-dropping-particle":"","parse-names":false,"suffix":""},{"dropping-particle":"","family":"Rastegar","given":"Neda","non-dropping-particle":"","parse-names":false,"suffix":""},{"dropping-particle":"","family":"Burt","given":"Jeremy R.","non-dropping-particle":"","parse-names":false,"suffix":""},{"dropping-particle":"","family":"Judge","given":"Daniel P.","non-dropping-particle":"","parse-names":false,"suffix":""},{"dropping-particle":"","family":"Riele","given":"Anneline S.J.M.","non-dropping-particle":"te","parse-names":false,"suffix":""},{"dropping-particle":"","family":"Tandri","given":"Harikrishna","non-dropping-particle":"","parse-names":false,"suffix":""},{"dropping-particle":"","family":"James","given":"Cynthia A.","non-dropping-particle":"","parse-names":false,"suffix":""}],"container-title":"Journal of the American College of Cardiology","id":"ITEM-3","issue":"19","issued":{"date-parts":[["2013"]]},"note":"[Original String]:\n11. te Riele AS, Bhonsale A, James CA et al. Incremental value of cardiac magnetic resonance imaging in arrhythmic risk stratification of arrhythmogenic right ventricular dysplasia/cardiomyopathy-associated desmosomal mutation carriers. Journal of the American College of Cardiology 2013;62:1761-9.","page":"1761-1769","title":"Incremental Value of Cardiac Magnetic Resonance Imaging in Arrhythmic Risk Stratification of Arrhythmogenic Right Ventricular Dysplasia/Cardiomyopathy–Associated Desmosomal Mutation Carriers","type":"article-journal","volume":"62"},"uris":["http://www.mendeley.com/documents/?uuid=06fa1f93-2e46-4a22-9a48-51ed93bc9528"]},{"id":"ITEM-4","itemData":{"DOI":"10.1016/j.jacc.2014.04.044","ISSN":"07351097","abstract":"Incomplete penetrance and variable expressivity of arrhythmogenic right ventricular dysplasia/cardiomyopathy (ARVD/C) complicate family screening. The objective of the present study was to determine the optimal approach to longitudinal follow-up regarding: 1) screening interval; and 2) testing strategy in at-risk relatives of ARVD/C patients. We included 117 relatives (45% male, age 33.3 ± 16.3 years) from 64 families who were at risk of developing ARVD/C by virtue of their familial predisposition (72% mutation carriers [92% plakophilin-2]; 28% first-degree relatives of a mutation-negative proband). Subjects were evaluated by electrocardiography (ECG), Holter monitoring, signal-averaged ECG, and cardiac magnetic resonance (CMR). Disease progression was defined as the development of a new criterion by the 2010 Task Force Criteria (not the “Hamid criteria”) at last follow-up that was absent at enrollment. At first evaluation, 43 subjects (37%) fulfilled an ARVD/C diagnosis according to the 2010 Task Force Criteria. Among the remaining 74 subjects (63%), 11 of 37 (30%) with complete re-evaluation experienced disease progression during 4.1 ± 2.3 years of follow-up. Electrical progression (n02= 10 [27%], including by ECG [14%], Holter monitoring [11%], or signal-averaged ECG [14%]) was more frequently observed than structural progression (n02= 1 [3%] on CMR). All 5 patients (14%) with clinical ARVD/C diagnosis at last follow-up had an abnormal ECG or Holter monitor recording, and the only patient with an abnormal CMR already had an abnormal ECG at enrollment. Over a mean follow-up of 4 years, our study showed that: 1) almost one-third of at-risk relatives have electrical progression; 2) structural progression is rare; and 3) electrical abnormalities precede detectable structural changes. This information could be valuable in determining family screening protocols.","author":[{"dropping-particle":"","family":"Bhonsale","given":"Aditya","non-dropping-particle":"","parse-names":false,"suffix":""},{"dropping-particle":"","family":"Riele","given":"Anneline S.J.M.","non-dropping-particle":"te","parse-names":false,"suffix":""},{"dropping-particle":"","family":"Kamel","given":"Ihab R.","non-dropping-particle":"","parse-names":false,"suffix":""},{"dropping-particle":"","family":"Murray","given":"Brittney","non-dropping-particle":"","parse-names":false,"suffix":""},{"dropping-particle":"","family":"Zimmerman","given":"Stefan L.","non-dropping-particle":"","parse-names":false,"suffix":""},{"dropping-particle":"","family":"Rastegar","given":"Neda","non-dropping-particle":"","parse-names":false,"suffix":""},{"dropping-particle":"","family":"Tandri","given":"Harikrishna","non-dropping-particle":"","parse-names":false,"suffix":""},{"dropping-particle":"","family":"Calkins","given":"Hugh","non-dropping-particle":"","parse-names":false,"suffix":""},{"dropping-particle":"","family":"Judge","given":"Daniel P.","non-dropping-particle":"","parse-names":false,"suffix":""},{"dropping-particle":"","family":"Tichnell","given":"Crystal","non-dropping-particle":"","parse-names":false,"suffix":""},{"dropping-particle":"","family":"Bluemke","given":"David A.","non-dropping-particle":"","parse-names":false,"suffix":""},{"dropping-particle":"","family":"James","given":"Cynthia A.","non-dropping-particle":"","parse-names":false,"suffix":""}],"container-title":"Journal of the American College of Cardiology","id":"ITEM-4","issue":"3","issued":{"date-parts":[["2014"]]},"page":"293-301","title":"Yield of Serial Evaluation in At-Risk Family Members of Patients With ARVD/C","type":"article-journal","volume":"64"},"uris":["http://www.mendeley.com/documents/?uuid=7c898138-f72e-4096-9c4a-dd0d31907de0"]}],"mendeley":{"formattedCitation":"(1–4)","plainTextFormattedCitation":"(1–4)","previouslyFormattedCitation":"(5, 11–13)"},"properties":{"noteIndex":0},"schema":"https://github.com/citation-style-language/schema/raw/master/csl-citation.json"}</w:instrText>
      </w:r>
      <w:r w:rsidR="007E60F8" w:rsidRPr="00260A1D">
        <w:rPr>
          <w:rFonts w:ascii="Times New Roman" w:hAnsi="Times New Roman" w:cs="Times New Roman"/>
          <w:sz w:val="22"/>
          <w:szCs w:val="22"/>
        </w:rPr>
        <w:fldChar w:fldCharType="separate"/>
      </w:r>
      <w:r w:rsidR="00E02102" w:rsidRPr="00260A1D">
        <w:rPr>
          <w:rFonts w:ascii="Times New Roman" w:hAnsi="Times New Roman" w:cs="Times New Roman"/>
          <w:noProof/>
          <w:sz w:val="22"/>
          <w:szCs w:val="22"/>
        </w:rPr>
        <w:t>(1–4)</w:t>
      </w:r>
      <w:r w:rsidR="007E60F8" w:rsidRPr="00260A1D">
        <w:rPr>
          <w:rFonts w:ascii="Times New Roman" w:hAnsi="Times New Roman" w:cs="Times New Roman"/>
          <w:sz w:val="22"/>
          <w:szCs w:val="22"/>
        </w:rPr>
        <w:fldChar w:fldCharType="end"/>
      </w:r>
      <w:r w:rsidR="007E60F8" w:rsidRPr="00260A1D">
        <w:rPr>
          <w:rFonts w:ascii="Times New Roman" w:hAnsi="Times New Roman" w:cs="Times New Roman"/>
          <w:sz w:val="22"/>
          <w:szCs w:val="22"/>
        </w:rPr>
        <w:t xml:space="preserve">. </w:t>
      </w:r>
    </w:p>
    <w:p w:rsidR="00E02102" w:rsidRPr="00260A1D" w:rsidRDefault="00E02102" w:rsidP="007E60F8">
      <w:pPr>
        <w:widowControl w:val="0"/>
        <w:autoSpaceDE w:val="0"/>
        <w:autoSpaceDN w:val="0"/>
        <w:adjustRightInd w:val="0"/>
        <w:spacing w:line="480" w:lineRule="auto"/>
        <w:rPr>
          <w:rFonts w:ascii="Times New Roman" w:hAnsi="Times New Roman" w:cs="Times New Roman"/>
          <w:sz w:val="22"/>
          <w:szCs w:val="22"/>
        </w:rPr>
      </w:pPr>
    </w:p>
    <w:p w:rsidR="00E02102" w:rsidRPr="00260A1D" w:rsidRDefault="00E02102" w:rsidP="00E02102">
      <w:pPr>
        <w:widowControl w:val="0"/>
        <w:autoSpaceDE w:val="0"/>
        <w:autoSpaceDN w:val="0"/>
        <w:adjustRightInd w:val="0"/>
        <w:spacing w:line="480" w:lineRule="auto"/>
        <w:rPr>
          <w:rFonts w:ascii="Times New Roman" w:hAnsi="Times New Roman" w:cs="Times New Roman"/>
          <w:i/>
          <w:color w:val="131413"/>
          <w:sz w:val="22"/>
          <w:szCs w:val="22"/>
        </w:rPr>
      </w:pPr>
      <w:r w:rsidRPr="00260A1D">
        <w:rPr>
          <w:rFonts w:ascii="Times New Roman" w:hAnsi="Times New Roman" w:cs="Times New Roman"/>
          <w:i/>
          <w:color w:val="131413"/>
          <w:sz w:val="22"/>
          <w:szCs w:val="22"/>
        </w:rPr>
        <w:t>Genotype and Variant Adjudication</w:t>
      </w:r>
    </w:p>
    <w:p w:rsidR="00E02102" w:rsidRPr="00260A1D" w:rsidRDefault="00E02102" w:rsidP="00E02102">
      <w:pPr>
        <w:widowControl w:val="0"/>
        <w:autoSpaceDE w:val="0"/>
        <w:autoSpaceDN w:val="0"/>
        <w:adjustRightInd w:val="0"/>
        <w:spacing w:line="480" w:lineRule="auto"/>
        <w:rPr>
          <w:rFonts w:ascii="Times New Roman" w:hAnsi="Times New Roman" w:cs="Times New Roman"/>
          <w:color w:val="131413"/>
          <w:sz w:val="22"/>
          <w:szCs w:val="22"/>
        </w:rPr>
      </w:pPr>
      <w:r w:rsidRPr="00260A1D">
        <w:rPr>
          <w:rFonts w:ascii="Times New Roman" w:hAnsi="Times New Roman" w:cs="Times New Roman"/>
          <w:color w:val="131413"/>
          <w:sz w:val="22"/>
          <w:szCs w:val="22"/>
        </w:rPr>
        <w:t xml:space="preserve">Genotyping was performed as previously described </w:t>
      </w:r>
      <w:r w:rsidRPr="00260A1D">
        <w:rPr>
          <w:rFonts w:ascii="Times New Roman" w:hAnsi="Times New Roman" w:cs="Times New Roman"/>
          <w:color w:val="131413"/>
          <w:sz w:val="22"/>
          <w:szCs w:val="22"/>
        </w:rPr>
        <w:fldChar w:fldCharType="begin" w:fldLock="1"/>
      </w:r>
      <w:r w:rsidRPr="00260A1D">
        <w:rPr>
          <w:rFonts w:ascii="Times New Roman" w:hAnsi="Times New Roman" w:cs="Times New Roman"/>
          <w:color w:val="131413"/>
          <w:sz w:val="22"/>
          <w:szCs w:val="22"/>
        </w:rPr>
        <w:instrText>ADDIN CSL_CITATION {"citationItems":[{"id":"ITEM-1","itemData":{"DOI":"10.1093/eurheartj/ehu509","ISBN":"0195-668X\\r1522-9645","ISSN":"15229645","PMID":"2015976729","abstract":"Aims We sought to determine the influence of genotype on clinical course and arrhythmic outcome among arrhythmogenic right ventricular dysplasia/cardiomyopathy (ARVD/C)-associated mutation carriers. Methods and results Pathogenic mutations in desmosomal and non-desmosomal genes were identified in 577 patients (241 families) from USA and Dutch ARVD/C cohorts. Patients with sudden cardiac death (SCD)/ventricular fibrillation (VF) at presentation (n = 36) were younger (median 23 vs. 36 years; P &lt; 0.001) than those presenting with sustained monomorphic ventricular tachycardia (VT). Among 541 subjects presenting alive, over a mean follow-up of 6 ± 7 years, 12 (2%) patients died, 162 (30%) had sustained VT/VF, 78 (14%) manifested left ventricular dysfunction (EF &lt; 55%), 28 (5%) experienced heart failure (HF), and 10 (2%) required cardiac transplantation. Patients (n = 22; 4%) with &gt;1 mutation had significantly earlier occurrence of sustained VT/VF (mean age 28 ± 12 years), lower VT-/VF-free survival (P = 0.037), more frequent left ventricular dysfunction (29%), HF (19%) and cardiac transplantation (9%) when compared with those with only one mutation. Desmoplakin mutation carriers experienced more than four-fold occurrence of left ventricular dysfunction (40%) and HF (13%) than PKP2 carriers. Missense mutation carriers had similar death-/transplant-free survival and VT/VF penetrance (P = 0.137) when compared with those with truncating or splice site mutations. Men are more likely to be probands (P &lt; 0.001), symptomatic (P &lt; 0.001) and have earlier and more severe arrhythmic expression. Conclusions Presentation with SCD/VF occurs at a significantly younger age when compared with sustained monomorphic VT. The genotype of ARVD/C mutation carriers impacts clinical course and disease expression. Male sex negatively modifies phenotypic expression.","author":[{"dropping-particle":"","family":"Bhonsale","given":"Aditya","non-dropping-particle":"","parse-names":false,"suffix":""},{"dropping-particle":"","family":"Groeneweg","given":"Judith A.","non-dropping-particle":"","parse-names":false,"suffix":""},{"dropping-particle":"","family":"James","given":"Cynthia A.","non-dropping-particle":"","parse-names":false,"suffix":""},{"dropping-particle":"","family":"Dooijes","given":"Dennis","non-dropping-particle":"","parse-names":false,"suffix":""},{"dropping-particle":"","family":"Tichnell","given":"Crystal","non-dropping-particle":"","parse-names":false,"suffix":""},{"dropping-particle":"","family":"Jongbloed","given":"Jan D.H.","non-dropping-particle":"","parse-names":false,"suffix":""},{"dropping-particle":"","family":"Murray","given":"Brittney","non-dropping-particle":"","parse-names":false,"suffix":""},{"dropping-particle":"","family":"Riele","given":"Anneline S.J.M.","non-dropping-particle":"Te","parse-names":false,"suffix":""},{"dropping-particle":"","family":"Berg","given":"Maarten P.","non-dropping-particle":"Van Den","parse-names":false,"suffix":""},{"dropping-particle":"","family":"Bikker","given":"Hennie","non-dropping-particle":"","parse-names":false,"suffix":""},{"dropping-particle":"","family":"Atsma","given":"Douwe E.","non-dropping-particle":"","parse-names":false,"suffix":""},{"dropping-particle":"","family":"Groot","given":"Natasja M.","non-dropping-particle":"De","parse-names":false,"suffix":""},{"dropping-particle":"","family":"Houweling","given":"Arjan C.","non-dropping-particle":"","parse-names":false,"suffix":""},{"dropping-particle":"","family":"Heijden","given":"Jeroen F.","non-dropping-particle":"Van Der","parse-names":false,"suffix":""},{"dropping-particle":"","family":"Russell","given":"Stuart D.","non-dropping-particle":"","parse-names":false,"suffix":""},{"dropping-particle":"","family":"Doevendans","given":"Pieter A.","non-dropping-particle":"","parse-names":false,"suffix":""},{"dropping-particle":"","family":"Veen","given":"Toon A.","non-dropping-particle":"Van","parse-names":false,"suffix":""},{"dropping-particle":"","family":"Tandri","given":"Harikrishna","non-dropping-particle":"","parse-names":false,"suffix":""},{"dropping-particle":"","family":"Wilde","given":"Arthur A.","non-dropping-particle":"","parse-names":false,"suffix":""},{"dropping-particle":"","family":"Judge","given":"Daniel P.","non-dropping-particle":"","parse-names":false,"suffix":""},{"dropping-particle":"","family":"Tintelen","given":"J. Peter","non-dropping-particle":"Van","parse-names":false,"suffix":""},{"dropping-particle":"","family":"Calkins","given":"Hugh","non-dropping-particle":"","parse-names":false,"suffix":""},{"dropping-particle":"","family":"Hauer","given":"Richard N.","non-dropping-particle":"","parse-names":false,"suffix":""}],"container-title":"European Heart Journal","id":"ITEM-1","issue":"14","issued":{"date-parts":[["2015"]]},"page":"847-855","title":"Impact of genotype on clinical course in arrhythmogenic right ventricular dysplasia/cardiomyopathy-associated mutation carriers","type":"article-journal","volume":"36"},"uris":["http://www.mendeley.com/documents/?uuid=dad99be7-af35-4691-860c-a977dc9817d5"]}],"mendeley":{"formattedCitation":"(5)","plainTextFormattedCitation":"(5)","previouslyFormattedCitation":"(13)"},"properties":{"noteIndex":0},"schema":"https://github.com/citation-style-language/schema/raw/master/csl-citation.json"}</w:instrText>
      </w:r>
      <w:r w:rsidRPr="00260A1D">
        <w:rPr>
          <w:rFonts w:ascii="Times New Roman" w:hAnsi="Times New Roman" w:cs="Times New Roman"/>
          <w:color w:val="131413"/>
          <w:sz w:val="22"/>
          <w:szCs w:val="22"/>
        </w:rPr>
        <w:fldChar w:fldCharType="separate"/>
      </w:r>
      <w:r w:rsidRPr="00260A1D">
        <w:rPr>
          <w:rFonts w:ascii="Times New Roman" w:hAnsi="Times New Roman" w:cs="Times New Roman"/>
          <w:noProof/>
          <w:color w:val="131413"/>
          <w:sz w:val="22"/>
          <w:szCs w:val="22"/>
        </w:rPr>
        <w:t>(5)</w:t>
      </w:r>
      <w:r w:rsidRPr="00260A1D">
        <w:rPr>
          <w:rFonts w:ascii="Times New Roman" w:hAnsi="Times New Roman" w:cs="Times New Roman"/>
          <w:color w:val="131413"/>
          <w:sz w:val="22"/>
          <w:szCs w:val="22"/>
        </w:rPr>
        <w:fldChar w:fldCharType="end"/>
      </w:r>
      <w:r w:rsidRPr="00260A1D">
        <w:rPr>
          <w:rFonts w:ascii="Times New Roman" w:hAnsi="Times New Roman" w:cs="Times New Roman"/>
          <w:color w:val="131413"/>
          <w:sz w:val="22"/>
          <w:szCs w:val="22"/>
        </w:rPr>
        <w:t xml:space="preserve">. Probands had all undergone sequencing of the </w:t>
      </w:r>
      <w:proofErr w:type="spellStart"/>
      <w:r w:rsidRPr="00260A1D">
        <w:rPr>
          <w:rFonts w:ascii="Times New Roman" w:hAnsi="Times New Roman" w:cs="Times New Roman"/>
          <w:color w:val="131413"/>
          <w:sz w:val="22"/>
          <w:szCs w:val="22"/>
        </w:rPr>
        <w:t>desmosomal</w:t>
      </w:r>
      <w:proofErr w:type="spellEnd"/>
      <w:r w:rsidRPr="00260A1D">
        <w:rPr>
          <w:rFonts w:ascii="Times New Roman" w:hAnsi="Times New Roman" w:cs="Times New Roman"/>
          <w:color w:val="131413"/>
          <w:sz w:val="22"/>
          <w:szCs w:val="22"/>
        </w:rPr>
        <w:t xml:space="preserve"> genes, </w:t>
      </w:r>
      <w:r w:rsidRPr="00260A1D">
        <w:rPr>
          <w:rFonts w:ascii="Times New Roman" w:hAnsi="Times New Roman" w:cs="Times New Roman"/>
          <w:i/>
          <w:color w:val="131413"/>
          <w:sz w:val="22"/>
          <w:szCs w:val="22"/>
        </w:rPr>
        <w:t>PLN</w:t>
      </w:r>
      <w:r w:rsidRPr="00260A1D">
        <w:rPr>
          <w:rFonts w:ascii="Times New Roman" w:hAnsi="Times New Roman" w:cs="Times New Roman"/>
          <w:color w:val="131413"/>
          <w:sz w:val="22"/>
          <w:szCs w:val="22"/>
        </w:rPr>
        <w:t xml:space="preserve">, and </w:t>
      </w:r>
      <w:r w:rsidRPr="00260A1D">
        <w:rPr>
          <w:rFonts w:ascii="Times New Roman" w:hAnsi="Times New Roman" w:cs="Times New Roman"/>
          <w:i/>
          <w:color w:val="131413"/>
          <w:sz w:val="22"/>
          <w:szCs w:val="22"/>
        </w:rPr>
        <w:t xml:space="preserve">TMEM43 </w:t>
      </w:r>
      <w:r w:rsidRPr="00260A1D">
        <w:rPr>
          <w:rFonts w:ascii="Times New Roman" w:hAnsi="Times New Roman" w:cs="Times New Roman"/>
          <w:color w:val="131413"/>
          <w:sz w:val="22"/>
          <w:szCs w:val="22"/>
        </w:rPr>
        <w:t xml:space="preserve">at a minimum.  Affected family members typically were tested only for the variant(s) identified in their family.  Variants included in this study were (re)adjudicated in November 2018 according to the American College of Medical Genetics and Genomics/Association for Molecular Pathology guidelines for variant interpretation with adaptations recommended by the </w:t>
      </w:r>
      <w:proofErr w:type="spellStart"/>
      <w:r w:rsidRPr="00260A1D">
        <w:rPr>
          <w:rFonts w:ascii="Times New Roman" w:hAnsi="Times New Roman" w:cs="Times New Roman"/>
          <w:color w:val="131413"/>
          <w:sz w:val="22"/>
          <w:szCs w:val="22"/>
        </w:rPr>
        <w:t>ClinGen</w:t>
      </w:r>
      <w:proofErr w:type="spellEnd"/>
      <w:r w:rsidRPr="00260A1D">
        <w:rPr>
          <w:rFonts w:ascii="Times New Roman" w:hAnsi="Times New Roman" w:cs="Times New Roman"/>
          <w:color w:val="131413"/>
          <w:sz w:val="22"/>
          <w:szCs w:val="22"/>
        </w:rPr>
        <w:t xml:space="preserve"> Inherited Cardiomyopathy Expert Panel </w:t>
      </w:r>
      <w:r w:rsidRPr="00260A1D">
        <w:rPr>
          <w:rFonts w:ascii="Times New Roman" w:hAnsi="Times New Roman" w:cs="Times New Roman"/>
          <w:color w:val="131413"/>
          <w:sz w:val="22"/>
          <w:szCs w:val="22"/>
        </w:rPr>
        <w:fldChar w:fldCharType="begin" w:fldLock="1"/>
      </w:r>
      <w:r w:rsidRPr="00260A1D">
        <w:rPr>
          <w:rFonts w:ascii="Times New Roman" w:hAnsi="Times New Roman" w:cs="Times New Roman"/>
          <w:color w:val="131413"/>
          <w:sz w:val="22"/>
          <w:szCs w:val="22"/>
        </w:rPr>
        <w:instrText>ADDIN CSL_CITATION {"citationItems":[{"id":"ITEM-1","itemData":{"DOI":"10.1038/gim.2017.218","ISSN":"1098-3600","PMID":"29300372","abstract":"PurposeIntegrating genomic sequencing in clinical care requires standardization of variant interpretation practices. The Clinical Genome Resource has established expert panels to adapt the American College of Medical Genetics and Genomics/Association for Molecular Pathology classification framework for specific genes and diseases. The Cardiomyopathy Expert Panel selected MYH7, a key contributor to inherited cardiomyopathies, as a pilot gene to develop a broadly applicable approach.MethodsExpert revisions were tested with 60 variants using a structured double review by pairs of clinical and diagnostic laboratory experts. Final consensus rules were established via iterative discussions.ResultsAdjustments represented disease-/gene-informed specifications (12) or strength adjustments of existing rules (5). Nine rules were deemed not applicable. Key specifications included quantitative frameworks for minor allele frequency thresholds, the use of segregation data, and a semiquantitative approach to counting multiple independent variant occurrences where fully controlled case-control studies are lacking. Initial inter-expert classification concordance was 93%. Internal data from participating diagnostic laboratories changed the classification of 20% of the variants (n = 12), highlighting the critical importance of data sharing.ConclusionThese adapted rules provide increased specificity for use in MYH7-associated disorders in combination with expert review and clinical judgment and serve as a stepping stone for genes and disorders with similar genetic and clinical characteristics.","author":[{"dropping-particle":"","family":"Kelly","given":"Melissa A","non-dropping-particle":"","parse-names":false,"suffix":""},{"dropping-particle":"","family":"Caleshu","given":"Colleen","non-dropping-particle":"","parse-names":false,"suffix":""},{"dropping-particle":"","family":"Morales","given":"Ana","non-dropping-particle":"","parse-names":false,"suffix":""},{"dropping-particle":"","family":"Buchan","given":"Jillian","non-dropping-particle":"","parse-names":false,"suffix":""},{"dropping-particle":"","family":"Wolf","given":"Zena","non-dropping-particle":"","parse-names":false,"suffix":""},{"dropping-particle":"","family":"Harrison","given":"Steven M","non-dropping-particle":"","parse-names":false,"suffix":""},{"dropping-particle":"","family":"Cook","given":"Stuart","non-dropping-particle":"","parse-names":false,"suffix":""},{"dropping-particle":"","family":"Dillon","given":"Mitchell W","non-dropping-particle":"","parse-names":false,"suffix":""},{"dropping-particle":"","family":"Garcia","given":"John","non-dropping-particle":"","parse-names":false,"suffix":""},{"dropping-particle":"","family":"Haverfield","given":"Eden","non-dropping-particle":"","parse-names":false,"suffix":""},{"dropping-particle":"","family":"Jongbloed","given":"Jan D H","non-dropping-particle":"","parse-names":false,"suffix":""},{"dropping-particle":"","family":"Macaya","given":"Daniela","non-dropping-particle":"","parse-names":false,"suffix":""},{"dropping-particle":"","family":"Manrai","given":"Arjun","non-dropping-particle":"","parse-names":false,"suffix":""},{"dropping-particle":"","family":"Orland","given":"Kate","non-dropping-particle":"","parse-names":false,"suffix":""},{"dropping-particle":"","family":"Richard","given":"Gabriele","non-dropping-particle":"","parse-names":false,"suffix":""},{"dropping-particle":"","family":"Spoonamore","given":"Katherine","non-dropping-particle":"","parse-names":false,"suffix":""},{"dropping-particle":"","family":"Thomas","given":"Matthew","non-dropping-particle":"","parse-names":false,"suffix":""},{"dropping-particle":"","family":"Thomson","given":"Kate","non-dropping-particle":"","parse-names":false,"suffix":""},{"dropping-particle":"","family":"Vincent","given":"Lisa M","non-dropping-particle":"","parse-names":false,"suffix":""},{"dropping-particle":"","family":"Walsh","given":"Roddy","non-dropping-particle":"","parse-names":false,"suffix":""},{"dropping-particle":"","family":"Watkins","given":"Hugh","non-dropping-particle":"","parse-names":false,"suffix":""},{"dropping-particle":"","family":"Whiffin","given":"Nicola","non-dropping-particle":"","parse-names":false,"suffix":""},{"dropping-particle":"","family":"Ingles","given":"Jodie","non-dropping-particle":"","parse-names":false,"suffix":""},{"dropping-particle":"","family":"Tintelen","given":"J Peter","non-dropping-particle":"van","parse-names":false,"suffix":""},{"dropping-particle":"","family":"Semsarian","given":"Christopher","non-dropping-particle":"","parse-names":false,"suffix":""},{"dropping-particle":"","family":"Ware","given":"James S","non-dropping-particle":"","parse-names":false,"suffix":""},{"dropping-particle":"","family":"Hershberger","given":"Ray","non-dropping-particle":"","parse-names":false,"suffix":""},{"dropping-particle":"","family":"Funke","given":"Birgit","non-dropping-particle":"","parse-names":false,"suffix":""}],"container-title":"Genetics in Medicine","id":"ITEM-1","issue":"3","issued":{"date-parts":[["2018","3","4"]]},"page":"351-359","title":"Adaptation and validation of the ACMG/AMP variant classification framework for MYH7-associated inherited cardiomyopathies: recommendations by ClinGen’s Inherited Cardiomyopathy Expert Panel","type":"article-journal","volume":"20"},"uris":["http://www.mendeley.com/documents/?uuid=c19fadfc-525b-3e08-b24e-e0c5413fba24"]},{"id":"ITEM-2","itemData":{"DOI":"10.1038/gim.2015.30","ISSN":"1098-3600","PMID":"25741868","abstract":"The American College of Medical Genetics and Genomics (ACMG) previously developed guidance for the interpretation of sequence variants.(1) In the past decade, sequencing technology has evolved rapidly with the advent of high-throughput next-generation sequencing. By adopting and leveraging next-generation sequencing, clinical laboratories are now performing an ever-increasing catalogue of genetic testing spanning genotyping, single genes, gene panels, exomes, genomes, transcriptomes, and epigenetic assays for genetic disorders. By virtue of increased complexity, this shift in genetic testing has been accompanied by new challenges in sequence interpretation. In this context the ACMG convened a workgroup in 2013 comprising representatives from the ACMG, the Association for Molecular Pathology (AMP), and the College of American Pathologists to revisit and revise the standards and guidelines for the interpretation of sequence variants. The group consisted of clinical laboratory directors and clinicians. This report represents expert opinion of the workgroup with input from ACMG, AMP, and College of American Pathologists stakeholders. These recommendations primarily apply to the breadth of genetic tests used in clinical laboratories, including genotyping, single genes, panels, exomes, and genomes. This report recommends the use of specific standard terminology-\"pathogenic,\" \"likely pathogenic,\" \"uncertain significance,\" \"likely benign,\" and \"benign\"-to describe variants identified in genes that cause Mendelian disorders. Moreover, this recommendation describes a process for classifying variants into these five categories based on criteria using typical types of variant evidence (e.g., population data, computational data, functional data, segregation data). Because of the increased complexity of analysis and interpretation of clinical genetic testing described in this report, the ACMG strongly recommends that clinical molecular genetic testing should be performed in a Clinical Laboratory Improvement Amendments-approved laboratory, with results interpreted by a board-certified clinical molecular geneticist or molecular genetic pathologist or the equivalent.","author":[{"dropping-particle":"","family":"Richards","given":"Sue","non-dropping-particle":"","parse-names":false,"suffix":""},{"dropping-particle":"","family":"Aziz","given":"Nazneen","non-dropping-particle":"","parse-names":false,"suffix":""},{"dropping-particle":"","family":"Bale","given":"Sherri","non-dropping-particle":"","parse-names":false,"suffix":""},{"dropping-particle":"","family":"Bick","given":"David","non-dropping-particle":"","parse-names":false,"suffix":""},{"dropping-particle":"","family":"Das","given":"Soma","non-dropping-particle":"","parse-names":false,"suffix":""},{"dropping-particle":"","family":"Gastier-Foster","given":"Julie","non-dropping-particle":"","parse-names":false,"suffix":""},{"dropping-particle":"","family":"Grody","given":"Wayne W.","non-dropping-particle":"","parse-names":false,"suffix":""},{"dropping-particle":"","family":"Hegde","given":"Madhuri","non-dropping-particle":"","parse-names":false,"suffix":""},{"dropping-particle":"","family":"Lyon","given":"Elaine","non-dropping-particle":"","parse-names":false,"suffix":""},{"dropping-particle":"","family":"Spector","given":"Elaine","non-dropping-particle":"","parse-names":false,"suffix":""},{"dropping-particle":"","family":"Voelkerding","given":"Karl","non-dropping-particle":"","parse-names":false,"suffix":""},{"dropping-particle":"","family":"Rehm","given":"Heidi L.","non-dropping-particle":"","parse-names":false,"suffix":""},{"dropping-particle":"","family":"ACMG Laboratory Quality Assurance Committee","given":"","non-dropping-particle":"","parse-names":false,"suffix":""}],"container-title":"Genetics in Medicine","id":"ITEM-2","issue":"5","issued":{"date-parts":[["2015","5","5"]]},"page":"405-423","title":"Standards and guidelines for the interpretation of sequence variants: a joint consensus recommendation of the American College of Medical Genetics and Genomics and the Association for Molecular Pathology","type":"article-journal","volume":"17"},"uris":["http://www.mendeley.com/documents/?uuid=cd8c8d79-33ce-3a90-acef-f91812a2d242"]}],"mendeley":{"formattedCitation":"(6, 7)","plainTextFormattedCitation":"(6, 7)","previouslyFormattedCitation":"(14, 15)"},"properties":{"noteIndex":0},"schema":"https://github.com/citation-style-language/schema/raw/master/csl-citation.json"}</w:instrText>
      </w:r>
      <w:r w:rsidRPr="00260A1D">
        <w:rPr>
          <w:rFonts w:ascii="Times New Roman" w:hAnsi="Times New Roman" w:cs="Times New Roman"/>
          <w:color w:val="131413"/>
          <w:sz w:val="22"/>
          <w:szCs w:val="22"/>
        </w:rPr>
        <w:fldChar w:fldCharType="separate"/>
      </w:r>
      <w:r w:rsidRPr="00260A1D">
        <w:rPr>
          <w:rFonts w:ascii="Times New Roman" w:hAnsi="Times New Roman" w:cs="Times New Roman"/>
          <w:noProof/>
          <w:color w:val="131413"/>
          <w:sz w:val="22"/>
          <w:szCs w:val="22"/>
        </w:rPr>
        <w:t>(6, 7)</w:t>
      </w:r>
      <w:r w:rsidRPr="00260A1D">
        <w:rPr>
          <w:rFonts w:ascii="Times New Roman" w:hAnsi="Times New Roman" w:cs="Times New Roman"/>
          <w:color w:val="131413"/>
          <w:sz w:val="22"/>
          <w:szCs w:val="22"/>
        </w:rPr>
        <w:fldChar w:fldCharType="end"/>
      </w:r>
      <w:r w:rsidRPr="00260A1D">
        <w:rPr>
          <w:rFonts w:ascii="Times New Roman" w:hAnsi="Times New Roman" w:cs="Times New Roman"/>
          <w:color w:val="131413"/>
          <w:sz w:val="22"/>
          <w:szCs w:val="22"/>
        </w:rPr>
        <w:t>.  Only variants classified as Pathogenic or Likely Pathogenic (class V or IV) per these criteria were considered mutations in this study.</w:t>
      </w:r>
    </w:p>
    <w:p w:rsidR="00E02102" w:rsidRPr="00260A1D" w:rsidRDefault="00E02102" w:rsidP="007E60F8">
      <w:pPr>
        <w:widowControl w:val="0"/>
        <w:autoSpaceDE w:val="0"/>
        <w:autoSpaceDN w:val="0"/>
        <w:adjustRightInd w:val="0"/>
        <w:spacing w:line="480" w:lineRule="auto"/>
        <w:rPr>
          <w:rFonts w:ascii="Times New Roman" w:hAnsi="Times New Roman" w:cs="Times New Roman"/>
          <w:sz w:val="22"/>
          <w:szCs w:val="22"/>
        </w:rPr>
      </w:pPr>
    </w:p>
    <w:p w:rsidR="00695B6F" w:rsidRPr="00260A1D" w:rsidRDefault="00695B6F" w:rsidP="00695B6F">
      <w:pPr>
        <w:widowControl w:val="0"/>
        <w:autoSpaceDE w:val="0"/>
        <w:autoSpaceDN w:val="0"/>
        <w:adjustRightInd w:val="0"/>
        <w:spacing w:line="480" w:lineRule="auto"/>
        <w:rPr>
          <w:rFonts w:ascii="Times New Roman" w:hAnsi="Times New Roman" w:cs="Times New Roman"/>
          <w:color w:val="FF0000"/>
          <w:sz w:val="22"/>
          <w:szCs w:val="22"/>
        </w:rPr>
      </w:pPr>
    </w:p>
    <w:p w:rsidR="00494A58" w:rsidRPr="00260A1D" w:rsidRDefault="00494A58" w:rsidP="00695B6F">
      <w:pPr>
        <w:widowControl w:val="0"/>
        <w:autoSpaceDE w:val="0"/>
        <w:autoSpaceDN w:val="0"/>
        <w:adjustRightInd w:val="0"/>
        <w:spacing w:line="480" w:lineRule="auto"/>
        <w:rPr>
          <w:rFonts w:ascii="Times New Roman" w:hAnsi="Times New Roman" w:cs="Times New Roman"/>
          <w:color w:val="FF0000"/>
          <w:sz w:val="22"/>
          <w:szCs w:val="22"/>
        </w:rPr>
      </w:pPr>
    </w:p>
    <w:p w:rsidR="00E02102" w:rsidRPr="00260A1D" w:rsidRDefault="00260A1D">
      <w:pPr>
        <w:rPr>
          <w:rFonts w:ascii="Times New Roman" w:hAnsi="Times New Roman" w:cs="Times New Roman"/>
          <w:sz w:val="22"/>
          <w:szCs w:val="22"/>
        </w:rPr>
      </w:pPr>
      <w:r w:rsidRPr="00260A1D">
        <w:rPr>
          <w:rFonts w:ascii="Times New Roman" w:hAnsi="Times New Roman" w:cs="Times New Roman"/>
          <w:sz w:val="22"/>
          <w:szCs w:val="22"/>
        </w:rPr>
        <w:t>Additional file</w:t>
      </w:r>
      <w:r w:rsidR="00E02102" w:rsidRPr="00260A1D">
        <w:rPr>
          <w:rFonts w:ascii="Times New Roman" w:hAnsi="Times New Roman" w:cs="Times New Roman"/>
          <w:sz w:val="22"/>
          <w:szCs w:val="22"/>
        </w:rPr>
        <w:t xml:space="preserve"> References</w:t>
      </w:r>
    </w:p>
    <w:p w:rsidR="00E02102" w:rsidRPr="00260A1D" w:rsidRDefault="00E02102">
      <w:pPr>
        <w:rPr>
          <w:rFonts w:ascii="Times New Roman" w:hAnsi="Times New Roman" w:cs="Times New Roman"/>
          <w:sz w:val="22"/>
          <w:szCs w:val="22"/>
        </w:rPr>
      </w:pP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sz w:val="22"/>
          <w:szCs w:val="22"/>
        </w:rPr>
        <w:fldChar w:fldCharType="begin" w:fldLock="1"/>
      </w:r>
      <w:r w:rsidRPr="00260A1D">
        <w:rPr>
          <w:rFonts w:ascii="Times New Roman" w:hAnsi="Times New Roman" w:cs="Times New Roman"/>
          <w:sz w:val="22"/>
          <w:szCs w:val="22"/>
        </w:rPr>
        <w:instrText xml:space="preserve">ADDIN Mendeley Bibliography CSL_BIBLIOGRAPHY </w:instrText>
      </w:r>
      <w:r w:rsidRPr="00260A1D">
        <w:rPr>
          <w:rFonts w:ascii="Times New Roman" w:hAnsi="Times New Roman" w:cs="Times New Roman"/>
          <w:sz w:val="22"/>
          <w:szCs w:val="22"/>
        </w:rPr>
        <w:fldChar w:fldCharType="separate"/>
      </w:r>
      <w:r w:rsidRPr="00260A1D">
        <w:rPr>
          <w:rFonts w:ascii="Times New Roman" w:hAnsi="Times New Roman" w:cs="Times New Roman"/>
          <w:noProof/>
          <w:sz w:val="22"/>
          <w:szCs w:val="22"/>
        </w:rPr>
        <w:t>1. Rastegar N, Zimmerman SL, Te Riele ASJM, et al. Spectrum of Biventricular Involvement on CMR among Carriers of ARVD/C-Associated Mutations. JACC Cardiovasc. Imaging 2015;8:863–864.</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lastRenderedPageBreak/>
        <w:t>2. Te Riele ASJM, James CA, Philips B, et al. Mutation-positive arrhythmogenic right ventricular dysplasia/ cardiomyopathy: The triangle of dysplasia displaced. J. Cardiovasc. Electrophysiol. 2013;24:1311–1320.</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t>3. Madhavan S, Calkins H, Kamel IR, et al. Incremental Value of Cardiac Magnetic Resonance Imaging in Arrhythmic Risk Stratification of Arrhythmogenic Right Ventricular Dysplasia/Cardiomyopathy–Associated Desmosomal Mutation Carriers. J. Am. Coll. Cardiol. 2013;62:1761–1769.</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t>4. Bhonsale A, te Riele ASJM, Kamel IR, et al. Yield of Serial Evaluation in At-Risk Family Members of Patients With ARVD/C. J. Am. Coll. Cardiol. 2014;64:293–301.</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t>5. Bhonsale A, Groeneweg JA, James CA, et al. Impact of genotype on clinical course in arrhythmogenic right ventricular dysplasia/cardiomyopathy-associated mutation carriers. Eur. Heart J. 2015;36:847–855.</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t>6. Kelly MA, Caleshu C, Morales A, et al. Adaptation and validation of the ACMG/AMP variant classification framework for MYH7-associated inherited cardiomyopathies: recommendations by ClinGen’s Inherited Cardiomyopathy Expert Panel. Genet. Med. 2018;20:351–359.</w:t>
      </w:r>
    </w:p>
    <w:p w:rsidR="00E02102" w:rsidRPr="00260A1D" w:rsidRDefault="00E02102" w:rsidP="00E02102">
      <w:pPr>
        <w:widowControl w:val="0"/>
        <w:autoSpaceDE w:val="0"/>
        <w:autoSpaceDN w:val="0"/>
        <w:adjustRightInd w:val="0"/>
        <w:rPr>
          <w:rFonts w:ascii="Times New Roman" w:hAnsi="Times New Roman" w:cs="Times New Roman"/>
          <w:noProof/>
          <w:sz w:val="22"/>
          <w:szCs w:val="22"/>
        </w:rPr>
      </w:pPr>
      <w:r w:rsidRPr="00260A1D">
        <w:rPr>
          <w:rFonts w:ascii="Times New Roman" w:hAnsi="Times New Roman" w:cs="Times New Roman"/>
          <w:noProof/>
          <w:sz w:val="22"/>
          <w:szCs w:val="22"/>
        </w:rPr>
        <w:t>7. Richards S, Aziz N, Bale S, et al. Standards and guidelines for the interpretation of sequence variants: a joint consensus recommendation of the American College of Medical Genetics and Genomics and the Association for Molecular Pathology. Genet. Med. 2015;17:405–423.</w:t>
      </w:r>
    </w:p>
    <w:p w:rsidR="00E02102" w:rsidRPr="00260A1D" w:rsidRDefault="00E02102">
      <w:pPr>
        <w:rPr>
          <w:rFonts w:ascii="Times New Roman" w:hAnsi="Times New Roman" w:cs="Times New Roman"/>
          <w:sz w:val="22"/>
          <w:szCs w:val="22"/>
        </w:rPr>
      </w:pPr>
      <w:r w:rsidRPr="00260A1D">
        <w:rPr>
          <w:rFonts w:ascii="Times New Roman" w:hAnsi="Times New Roman" w:cs="Times New Roman"/>
          <w:sz w:val="22"/>
          <w:szCs w:val="22"/>
        </w:rPr>
        <w:fldChar w:fldCharType="end"/>
      </w:r>
      <w:r w:rsidRPr="00260A1D">
        <w:rPr>
          <w:rFonts w:ascii="Times New Roman" w:hAnsi="Times New Roman" w:cs="Times New Roman"/>
          <w:sz w:val="22"/>
          <w:szCs w:val="22"/>
        </w:rPr>
        <w:br w:type="page"/>
      </w:r>
    </w:p>
    <w:p w:rsidR="00695B6F" w:rsidRPr="00260A1D" w:rsidRDefault="00695B6F" w:rsidP="00695B6F">
      <w:pPr>
        <w:rPr>
          <w:rFonts w:ascii="Times New Roman" w:hAnsi="Times New Roman" w:cs="Times New Roman"/>
          <w:sz w:val="22"/>
          <w:szCs w:val="22"/>
        </w:rPr>
      </w:pPr>
    </w:p>
    <w:p w:rsidR="00B00255" w:rsidRPr="00260A1D" w:rsidRDefault="00B00255" w:rsidP="00B00255">
      <w:pPr>
        <w:jc w:val="center"/>
        <w:rPr>
          <w:rFonts w:ascii="Times New Roman" w:hAnsi="Times New Roman" w:cs="Times New Roman"/>
          <w:sz w:val="22"/>
          <w:szCs w:val="22"/>
        </w:rPr>
      </w:pPr>
      <w:r w:rsidRPr="00260A1D">
        <w:rPr>
          <w:rFonts w:ascii="Times New Roman" w:hAnsi="Times New Roman" w:cs="Times New Roman"/>
          <w:sz w:val="22"/>
          <w:szCs w:val="22"/>
        </w:rPr>
        <w:t>Tables</w:t>
      </w:r>
    </w:p>
    <w:p w:rsidR="00B00255" w:rsidRPr="00260A1D" w:rsidRDefault="00B00255" w:rsidP="00B00255">
      <w:pPr>
        <w:jc w:val="center"/>
        <w:rPr>
          <w:rFonts w:ascii="Times New Roman" w:hAnsi="Times New Roman" w:cs="Times New Roman"/>
          <w:sz w:val="22"/>
          <w:szCs w:val="22"/>
        </w:rPr>
      </w:pPr>
    </w:p>
    <w:p w:rsidR="00B00255" w:rsidRPr="00260A1D" w:rsidRDefault="00260A1D" w:rsidP="00B00255">
      <w:pPr>
        <w:rPr>
          <w:rFonts w:ascii="Times New Roman" w:hAnsi="Times New Roman" w:cs="Times New Roman"/>
          <w:sz w:val="22"/>
          <w:szCs w:val="22"/>
        </w:rPr>
      </w:pPr>
      <w:r w:rsidRPr="00260A1D">
        <w:rPr>
          <w:rFonts w:ascii="Times New Roman" w:hAnsi="Times New Roman" w:cs="Times New Roman"/>
          <w:sz w:val="22"/>
          <w:szCs w:val="22"/>
        </w:rPr>
        <w:t>Additional file 1:</w:t>
      </w:r>
      <w:r w:rsidR="00B00255" w:rsidRPr="00260A1D">
        <w:rPr>
          <w:rFonts w:ascii="Times New Roman" w:hAnsi="Times New Roman" w:cs="Times New Roman"/>
          <w:sz w:val="22"/>
          <w:szCs w:val="22"/>
        </w:rPr>
        <w:t xml:space="preserve"> Table </w:t>
      </w:r>
      <w:r w:rsidRPr="00260A1D">
        <w:rPr>
          <w:rFonts w:ascii="Times New Roman" w:hAnsi="Times New Roman" w:cs="Times New Roman"/>
          <w:sz w:val="22"/>
          <w:szCs w:val="22"/>
        </w:rPr>
        <w:t>S</w:t>
      </w:r>
      <w:r w:rsidR="00B00255" w:rsidRPr="00260A1D">
        <w:rPr>
          <w:rFonts w:ascii="Times New Roman" w:hAnsi="Times New Roman" w:cs="Times New Roman"/>
          <w:sz w:val="22"/>
          <w:szCs w:val="22"/>
        </w:rPr>
        <w:t>1. Table comparing the demographic characteristics between patients who were included (n=73) as well as those who were excluded from our study (n=29). As displayed in the table, there is no statistically significant difference in demographic characteristics between the two groups.</w:t>
      </w:r>
    </w:p>
    <w:p w:rsidR="00B00255" w:rsidRPr="00260A1D" w:rsidRDefault="00B00255" w:rsidP="00B00255">
      <w:pPr>
        <w:rPr>
          <w:rFonts w:ascii="Times New Roman" w:hAnsi="Times New Roman" w:cs="Times New Roman"/>
          <w:b/>
          <w:sz w:val="22"/>
          <w:szCs w:val="22"/>
        </w:rPr>
      </w:pPr>
    </w:p>
    <w:p w:rsidR="00B00255" w:rsidRPr="00260A1D" w:rsidRDefault="00B00255" w:rsidP="00B00255">
      <w:pPr>
        <w:rPr>
          <w:rFonts w:ascii="Times New Roman" w:hAnsi="Times New Roman" w:cs="Times New Roman"/>
          <w:b/>
          <w:sz w:val="22"/>
          <w:szCs w:val="22"/>
        </w:rPr>
      </w:pPr>
    </w:p>
    <w:tbl>
      <w:tblPr>
        <w:tblW w:w="5000" w:type="pct"/>
        <w:tblLook w:val="04A0" w:firstRow="1" w:lastRow="0" w:firstColumn="1" w:lastColumn="0" w:noHBand="0" w:noVBand="1"/>
      </w:tblPr>
      <w:tblGrid>
        <w:gridCol w:w="2025"/>
        <w:gridCol w:w="2163"/>
        <w:gridCol w:w="3754"/>
        <w:gridCol w:w="1084"/>
      </w:tblGrid>
      <w:tr w:rsidR="00B00255" w:rsidRPr="00260A1D" w:rsidTr="00353D7F">
        <w:trPr>
          <w:trHeight w:val="320"/>
        </w:trPr>
        <w:tc>
          <w:tcPr>
            <w:tcW w:w="1034" w:type="pct"/>
            <w:tcBorders>
              <w:top w:val="single" w:sz="4" w:space="0" w:color="auto"/>
              <w:left w:val="nil"/>
              <w:bottom w:val="single" w:sz="4" w:space="0" w:color="auto"/>
              <w:right w:val="nil"/>
            </w:tcBorders>
            <w:shd w:val="clear" w:color="auto" w:fill="auto"/>
            <w:noWrap/>
            <w:vAlign w:val="center"/>
            <w:hideMark/>
          </w:tcPr>
          <w:p w:rsidR="00B00255" w:rsidRPr="00260A1D" w:rsidRDefault="00B00255" w:rsidP="00353D7F">
            <w:pPr>
              <w:jc w:val="center"/>
              <w:rPr>
                <w:rFonts w:ascii="Times New Roman" w:eastAsia="Times New Roman" w:hAnsi="Times New Roman" w:cs="Times New Roman"/>
                <w:b/>
                <w:bCs/>
                <w:color w:val="000000"/>
                <w:sz w:val="22"/>
                <w:szCs w:val="22"/>
              </w:rPr>
            </w:pPr>
          </w:p>
        </w:tc>
        <w:tc>
          <w:tcPr>
            <w:tcW w:w="1044" w:type="pct"/>
            <w:tcBorders>
              <w:top w:val="single" w:sz="4" w:space="0" w:color="auto"/>
              <w:left w:val="nil"/>
              <w:bottom w:val="single" w:sz="4" w:space="0" w:color="auto"/>
              <w:right w:val="nil"/>
            </w:tcBorders>
            <w:shd w:val="clear" w:color="auto" w:fill="auto"/>
            <w:noWrap/>
            <w:vAlign w:val="center"/>
            <w:hideMark/>
          </w:tcPr>
          <w:p w:rsidR="00B00255" w:rsidRPr="00260A1D" w:rsidRDefault="00B00255" w:rsidP="00353D7F">
            <w:pPr>
              <w:jc w:val="center"/>
              <w:rPr>
                <w:rFonts w:ascii="Times New Roman" w:eastAsia="Times New Roman" w:hAnsi="Times New Roman" w:cs="Times New Roman"/>
                <w:b/>
                <w:bCs/>
                <w:color w:val="000000"/>
                <w:sz w:val="22"/>
                <w:szCs w:val="22"/>
              </w:rPr>
            </w:pPr>
            <w:r w:rsidRPr="00260A1D">
              <w:rPr>
                <w:rFonts w:ascii="Times New Roman" w:eastAsia="Times New Roman" w:hAnsi="Times New Roman" w:cs="Times New Roman"/>
                <w:b/>
                <w:bCs/>
                <w:color w:val="000000"/>
                <w:sz w:val="22"/>
                <w:szCs w:val="22"/>
              </w:rPr>
              <w:t>Study Cohort (n=73)</w:t>
            </w:r>
          </w:p>
        </w:tc>
        <w:tc>
          <w:tcPr>
            <w:tcW w:w="2201" w:type="pct"/>
            <w:tcBorders>
              <w:top w:val="single" w:sz="4" w:space="0" w:color="auto"/>
              <w:left w:val="nil"/>
              <w:bottom w:val="single" w:sz="4" w:space="0" w:color="auto"/>
              <w:right w:val="nil"/>
            </w:tcBorders>
            <w:shd w:val="clear" w:color="auto" w:fill="auto"/>
            <w:noWrap/>
            <w:vAlign w:val="center"/>
            <w:hideMark/>
          </w:tcPr>
          <w:p w:rsidR="00B00255" w:rsidRPr="00260A1D" w:rsidRDefault="00B00255" w:rsidP="00353D7F">
            <w:pPr>
              <w:jc w:val="center"/>
              <w:rPr>
                <w:rFonts w:ascii="Times New Roman" w:eastAsia="Times New Roman" w:hAnsi="Times New Roman" w:cs="Times New Roman"/>
                <w:b/>
                <w:bCs/>
                <w:color w:val="000000"/>
                <w:sz w:val="22"/>
                <w:szCs w:val="22"/>
              </w:rPr>
            </w:pPr>
            <w:r w:rsidRPr="00260A1D">
              <w:rPr>
                <w:rFonts w:ascii="Times New Roman" w:eastAsia="Times New Roman" w:hAnsi="Times New Roman" w:cs="Times New Roman"/>
                <w:b/>
                <w:bCs/>
                <w:color w:val="000000"/>
                <w:sz w:val="22"/>
                <w:szCs w:val="22"/>
              </w:rPr>
              <w:t>Excluded Participants (n=29)</w:t>
            </w:r>
          </w:p>
        </w:tc>
        <w:tc>
          <w:tcPr>
            <w:tcW w:w="721" w:type="pct"/>
            <w:tcBorders>
              <w:top w:val="single" w:sz="4" w:space="0" w:color="auto"/>
              <w:left w:val="nil"/>
              <w:bottom w:val="single" w:sz="4" w:space="0" w:color="auto"/>
              <w:right w:val="nil"/>
            </w:tcBorders>
            <w:shd w:val="clear" w:color="auto" w:fill="auto"/>
            <w:noWrap/>
            <w:vAlign w:val="center"/>
            <w:hideMark/>
          </w:tcPr>
          <w:p w:rsidR="00B00255" w:rsidRPr="00260A1D" w:rsidRDefault="00B00255" w:rsidP="00353D7F">
            <w:pPr>
              <w:jc w:val="center"/>
              <w:rPr>
                <w:rFonts w:ascii="Times New Roman" w:eastAsia="Times New Roman" w:hAnsi="Times New Roman" w:cs="Times New Roman"/>
                <w:b/>
                <w:bCs/>
                <w:color w:val="000000"/>
                <w:sz w:val="22"/>
                <w:szCs w:val="22"/>
              </w:rPr>
            </w:pPr>
            <w:r w:rsidRPr="00260A1D">
              <w:rPr>
                <w:rFonts w:ascii="Times New Roman" w:eastAsia="Times New Roman" w:hAnsi="Times New Roman" w:cs="Times New Roman"/>
                <w:b/>
                <w:bCs/>
                <w:color w:val="000000"/>
                <w:sz w:val="22"/>
                <w:szCs w:val="22"/>
              </w:rPr>
              <w:t>p-value</w:t>
            </w:r>
          </w:p>
        </w:tc>
      </w:tr>
      <w:tr w:rsidR="00B00255" w:rsidRPr="00260A1D" w:rsidTr="00353D7F">
        <w:trPr>
          <w:trHeight w:val="320"/>
        </w:trPr>
        <w:tc>
          <w:tcPr>
            <w:tcW w:w="1034" w:type="pct"/>
            <w:tcBorders>
              <w:top w:val="nil"/>
              <w:left w:val="nil"/>
              <w:bottom w:val="nil"/>
              <w:right w:val="nil"/>
            </w:tcBorders>
            <w:shd w:val="clear" w:color="auto" w:fill="auto"/>
            <w:noWrap/>
            <w:vAlign w:val="bottom"/>
            <w:hideMark/>
          </w:tcPr>
          <w:p w:rsidR="00B00255" w:rsidRPr="00260A1D" w:rsidRDefault="00B00255" w:rsidP="00353D7F">
            <w:pPr>
              <w:rPr>
                <w:rFonts w:ascii="Times New Roman" w:eastAsia="Times New Roman" w:hAnsi="Times New Roman" w:cs="Times New Roman"/>
                <w:i/>
                <w:color w:val="000000"/>
                <w:sz w:val="22"/>
                <w:szCs w:val="22"/>
              </w:rPr>
            </w:pPr>
            <w:r w:rsidRPr="00260A1D">
              <w:rPr>
                <w:rFonts w:ascii="Times New Roman" w:eastAsia="Times New Roman" w:hAnsi="Times New Roman" w:cs="Times New Roman"/>
                <w:color w:val="000000"/>
                <w:sz w:val="22"/>
                <w:szCs w:val="22"/>
              </w:rPr>
              <w:t xml:space="preserve">Age, </w:t>
            </w:r>
            <w:r w:rsidRPr="00260A1D">
              <w:rPr>
                <w:rFonts w:ascii="Times New Roman" w:eastAsia="Times New Roman" w:hAnsi="Times New Roman" w:cs="Times New Roman"/>
                <w:i/>
                <w:color w:val="000000"/>
                <w:sz w:val="22"/>
                <w:szCs w:val="22"/>
              </w:rPr>
              <w:t>in years</w:t>
            </w:r>
          </w:p>
        </w:tc>
        <w:tc>
          <w:tcPr>
            <w:tcW w:w="1044" w:type="pct"/>
            <w:tcBorders>
              <w:top w:val="nil"/>
              <w:left w:val="nil"/>
              <w:bottom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34.2 ±13.5</w:t>
            </w:r>
          </w:p>
        </w:tc>
        <w:tc>
          <w:tcPr>
            <w:tcW w:w="2201" w:type="pct"/>
            <w:tcBorders>
              <w:top w:val="nil"/>
              <w:left w:val="nil"/>
              <w:bottom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34.3 ±15.9</w:t>
            </w:r>
          </w:p>
        </w:tc>
        <w:tc>
          <w:tcPr>
            <w:tcW w:w="721" w:type="pct"/>
            <w:tcBorders>
              <w:top w:val="nil"/>
              <w:left w:val="nil"/>
              <w:bottom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0.97</w:t>
            </w:r>
          </w:p>
        </w:tc>
      </w:tr>
      <w:tr w:rsidR="00B00255" w:rsidRPr="00260A1D" w:rsidTr="00353D7F">
        <w:trPr>
          <w:trHeight w:val="320"/>
        </w:trPr>
        <w:tc>
          <w:tcPr>
            <w:tcW w:w="1034" w:type="pct"/>
            <w:tcBorders>
              <w:top w:val="nil"/>
              <w:left w:val="nil"/>
              <w:bottom w:val="nil"/>
              <w:right w:val="nil"/>
            </w:tcBorders>
            <w:shd w:val="clear" w:color="auto" w:fill="auto"/>
            <w:noWrap/>
            <w:vAlign w:val="bottom"/>
            <w:hideMark/>
          </w:tcPr>
          <w:p w:rsidR="00B00255" w:rsidRPr="00260A1D" w:rsidRDefault="00B00255" w:rsidP="00353D7F">
            <w:pPr>
              <w:rPr>
                <w:rFonts w:ascii="Times New Roman" w:eastAsia="Times New Roman" w:hAnsi="Times New Roman" w:cs="Times New Roman"/>
                <w:i/>
                <w:color w:val="000000"/>
                <w:sz w:val="22"/>
                <w:szCs w:val="22"/>
              </w:rPr>
            </w:pPr>
            <w:r w:rsidRPr="00260A1D">
              <w:rPr>
                <w:rFonts w:ascii="Times New Roman" w:eastAsia="Times New Roman" w:hAnsi="Times New Roman" w:cs="Times New Roman"/>
                <w:color w:val="000000"/>
                <w:sz w:val="22"/>
                <w:szCs w:val="22"/>
              </w:rPr>
              <w:t xml:space="preserve">Male, </w:t>
            </w:r>
            <w:r w:rsidRPr="00260A1D">
              <w:rPr>
                <w:rFonts w:ascii="Times New Roman" w:eastAsia="Times New Roman" w:hAnsi="Times New Roman" w:cs="Times New Roman"/>
                <w:i/>
                <w:color w:val="000000"/>
                <w:sz w:val="22"/>
                <w:szCs w:val="22"/>
              </w:rPr>
              <w:t>(%)</w:t>
            </w:r>
          </w:p>
        </w:tc>
        <w:tc>
          <w:tcPr>
            <w:tcW w:w="1044" w:type="pct"/>
            <w:tcBorders>
              <w:top w:val="nil"/>
              <w:left w:val="nil"/>
              <w:bottom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37 (50.7)</w:t>
            </w:r>
          </w:p>
        </w:tc>
        <w:tc>
          <w:tcPr>
            <w:tcW w:w="2201" w:type="pct"/>
            <w:tcBorders>
              <w:top w:val="nil"/>
              <w:left w:val="nil"/>
              <w:bottom w:val="nil"/>
              <w:right w:val="nil"/>
            </w:tcBorders>
            <w:shd w:val="clear" w:color="auto" w:fill="auto"/>
            <w:noWrap/>
            <w:vAlign w:val="bottom"/>
            <w:hideMark/>
          </w:tcPr>
          <w:p w:rsidR="00B00255" w:rsidRPr="00260A1D" w:rsidRDefault="00926CE0"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16</w:t>
            </w:r>
            <w:r w:rsidR="00B00255" w:rsidRPr="00260A1D">
              <w:rPr>
                <w:rFonts w:ascii="Times New Roman" w:eastAsia="Times New Roman" w:hAnsi="Times New Roman" w:cs="Times New Roman"/>
                <w:color w:val="000000"/>
                <w:sz w:val="22"/>
                <w:szCs w:val="22"/>
              </w:rPr>
              <w:t xml:space="preserve"> (5</w:t>
            </w:r>
            <w:r w:rsidRPr="00260A1D">
              <w:rPr>
                <w:rFonts w:ascii="Times New Roman" w:eastAsia="Times New Roman" w:hAnsi="Times New Roman" w:cs="Times New Roman"/>
                <w:color w:val="000000"/>
                <w:sz w:val="22"/>
                <w:szCs w:val="22"/>
              </w:rPr>
              <w:t>5.1</w:t>
            </w:r>
            <w:r w:rsidR="00B00255" w:rsidRPr="00260A1D">
              <w:rPr>
                <w:rFonts w:ascii="Times New Roman" w:eastAsia="Times New Roman" w:hAnsi="Times New Roman" w:cs="Times New Roman"/>
                <w:color w:val="000000"/>
                <w:sz w:val="22"/>
                <w:szCs w:val="22"/>
              </w:rPr>
              <w:t>)</w:t>
            </w:r>
          </w:p>
        </w:tc>
        <w:tc>
          <w:tcPr>
            <w:tcW w:w="721" w:type="pct"/>
            <w:tcBorders>
              <w:top w:val="nil"/>
              <w:left w:val="nil"/>
              <w:bottom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0.</w:t>
            </w:r>
            <w:r w:rsidR="00926CE0" w:rsidRPr="00260A1D">
              <w:rPr>
                <w:rFonts w:ascii="Times New Roman" w:eastAsia="Times New Roman" w:hAnsi="Times New Roman" w:cs="Times New Roman"/>
                <w:color w:val="000000"/>
                <w:sz w:val="22"/>
                <w:szCs w:val="22"/>
              </w:rPr>
              <w:t>69</w:t>
            </w:r>
          </w:p>
        </w:tc>
      </w:tr>
      <w:tr w:rsidR="00B00255" w:rsidRPr="00260A1D" w:rsidTr="00353D7F">
        <w:trPr>
          <w:trHeight w:val="320"/>
        </w:trPr>
        <w:tc>
          <w:tcPr>
            <w:tcW w:w="1034" w:type="pct"/>
            <w:tcBorders>
              <w:top w:val="nil"/>
              <w:left w:val="nil"/>
              <w:right w:val="nil"/>
            </w:tcBorders>
            <w:shd w:val="clear" w:color="auto" w:fill="auto"/>
            <w:noWrap/>
            <w:vAlign w:val="bottom"/>
            <w:hideMark/>
          </w:tcPr>
          <w:p w:rsidR="00B00255" w:rsidRPr="00260A1D" w:rsidRDefault="00B00255" w:rsidP="00353D7F">
            <w:pPr>
              <w:rPr>
                <w:rFonts w:ascii="Times New Roman" w:eastAsia="Times New Roman" w:hAnsi="Times New Roman" w:cs="Times New Roman"/>
                <w:i/>
                <w:color w:val="000000"/>
                <w:sz w:val="22"/>
                <w:szCs w:val="22"/>
              </w:rPr>
            </w:pPr>
            <w:r w:rsidRPr="00260A1D">
              <w:rPr>
                <w:rFonts w:ascii="Times New Roman" w:eastAsia="Times New Roman" w:hAnsi="Times New Roman" w:cs="Times New Roman"/>
                <w:color w:val="000000"/>
                <w:sz w:val="22"/>
                <w:szCs w:val="22"/>
              </w:rPr>
              <w:t xml:space="preserve">TFC,  </w:t>
            </w:r>
            <w:r w:rsidRPr="00260A1D">
              <w:rPr>
                <w:rFonts w:ascii="Times New Roman" w:eastAsia="Times New Roman" w:hAnsi="Times New Roman" w:cs="Times New Roman"/>
                <w:i/>
                <w:color w:val="000000"/>
                <w:sz w:val="22"/>
                <w:szCs w:val="22"/>
              </w:rPr>
              <w:t>median [IQR]</w:t>
            </w:r>
          </w:p>
        </w:tc>
        <w:tc>
          <w:tcPr>
            <w:tcW w:w="1044" w:type="pct"/>
            <w:tcBorders>
              <w:top w:val="nil"/>
              <w:left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6 [5-7]</w:t>
            </w:r>
          </w:p>
        </w:tc>
        <w:tc>
          <w:tcPr>
            <w:tcW w:w="2201" w:type="pct"/>
            <w:tcBorders>
              <w:top w:val="nil"/>
              <w:left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6 [5-7]</w:t>
            </w:r>
          </w:p>
        </w:tc>
        <w:tc>
          <w:tcPr>
            <w:tcW w:w="721" w:type="pct"/>
            <w:tcBorders>
              <w:top w:val="nil"/>
              <w:left w:val="nil"/>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0.46</w:t>
            </w:r>
          </w:p>
        </w:tc>
      </w:tr>
      <w:tr w:rsidR="00B00255" w:rsidRPr="00260A1D" w:rsidTr="00353D7F">
        <w:trPr>
          <w:trHeight w:val="320"/>
        </w:trPr>
        <w:tc>
          <w:tcPr>
            <w:tcW w:w="1034" w:type="pct"/>
            <w:tcBorders>
              <w:top w:val="nil"/>
              <w:left w:val="nil"/>
              <w:bottom w:val="single" w:sz="4" w:space="0" w:color="auto"/>
              <w:right w:val="nil"/>
            </w:tcBorders>
            <w:shd w:val="clear" w:color="auto" w:fill="auto"/>
            <w:noWrap/>
            <w:vAlign w:val="bottom"/>
            <w:hideMark/>
          </w:tcPr>
          <w:p w:rsidR="00B00255" w:rsidRPr="00260A1D" w:rsidRDefault="00B00255" w:rsidP="00353D7F">
            <w:pPr>
              <w:rPr>
                <w:rFonts w:ascii="Times New Roman" w:eastAsia="Times New Roman" w:hAnsi="Times New Roman" w:cs="Times New Roman"/>
                <w:i/>
                <w:color w:val="000000"/>
                <w:sz w:val="22"/>
                <w:szCs w:val="22"/>
              </w:rPr>
            </w:pPr>
            <w:r w:rsidRPr="00260A1D">
              <w:rPr>
                <w:rFonts w:ascii="Times New Roman" w:eastAsia="Times New Roman" w:hAnsi="Times New Roman" w:cs="Times New Roman"/>
                <w:color w:val="000000"/>
                <w:sz w:val="22"/>
                <w:szCs w:val="22"/>
              </w:rPr>
              <w:t xml:space="preserve">Proband, </w:t>
            </w:r>
            <w:r w:rsidRPr="00260A1D">
              <w:rPr>
                <w:rFonts w:ascii="Times New Roman" w:eastAsia="Times New Roman" w:hAnsi="Times New Roman" w:cs="Times New Roman"/>
                <w:i/>
                <w:color w:val="000000"/>
                <w:sz w:val="22"/>
                <w:szCs w:val="22"/>
              </w:rPr>
              <w:t>(%)</w:t>
            </w:r>
          </w:p>
        </w:tc>
        <w:tc>
          <w:tcPr>
            <w:tcW w:w="1044" w:type="pct"/>
            <w:tcBorders>
              <w:top w:val="nil"/>
              <w:left w:val="nil"/>
              <w:bottom w:val="single" w:sz="4" w:space="0" w:color="auto"/>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41 (56.2)</w:t>
            </w:r>
          </w:p>
        </w:tc>
        <w:tc>
          <w:tcPr>
            <w:tcW w:w="2201" w:type="pct"/>
            <w:tcBorders>
              <w:top w:val="nil"/>
              <w:left w:val="nil"/>
              <w:bottom w:val="single" w:sz="4" w:space="0" w:color="auto"/>
              <w:right w:val="nil"/>
            </w:tcBorders>
            <w:shd w:val="clear" w:color="auto" w:fill="auto"/>
            <w:noWrap/>
            <w:vAlign w:val="bottom"/>
            <w:hideMark/>
          </w:tcPr>
          <w:p w:rsidR="00B00255" w:rsidRPr="00260A1D" w:rsidRDefault="00926CE0"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16</w:t>
            </w:r>
            <w:r w:rsidR="00B00255" w:rsidRPr="00260A1D">
              <w:rPr>
                <w:rFonts w:ascii="Times New Roman" w:eastAsia="Times New Roman" w:hAnsi="Times New Roman" w:cs="Times New Roman"/>
                <w:color w:val="000000"/>
                <w:sz w:val="22"/>
                <w:szCs w:val="22"/>
              </w:rPr>
              <w:t xml:space="preserve"> (55.</w:t>
            </w:r>
            <w:r w:rsidRPr="00260A1D">
              <w:rPr>
                <w:rFonts w:ascii="Times New Roman" w:eastAsia="Times New Roman" w:hAnsi="Times New Roman" w:cs="Times New Roman"/>
                <w:color w:val="000000"/>
                <w:sz w:val="22"/>
                <w:szCs w:val="22"/>
              </w:rPr>
              <w:t>1</w:t>
            </w:r>
            <w:r w:rsidR="00B00255" w:rsidRPr="00260A1D">
              <w:rPr>
                <w:rFonts w:ascii="Times New Roman" w:eastAsia="Times New Roman" w:hAnsi="Times New Roman" w:cs="Times New Roman"/>
                <w:color w:val="000000"/>
                <w:sz w:val="22"/>
                <w:szCs w:val="22"/>
              </w:rPr>
              <w:t>)</w:t>
            </w:r>
          </w:p>
        </w:tc>
        <w:tc>
          <w:tcPr>
            <w:tcW w:w="721" w:type="pct"/>
            <w:tcBorders>
              <w:top w:val="nil"/>
              <w:left w:val="nil"/>
              <w:bottom w:val="single" w:sz="4" w:space="0" w:color="auto"/>
              <w:right w:val="nil"/>
            </w:tcBorders>
            <w:shd w:val="clear" w:color="auto" w:fill="auto"/>
            <w:noWrap/>
            <w:vAlign w:val="bottom"/>
            <w:hideMark/>
          </w:tcPr>
          <w:p w:rsidR="00B00255" w:rsidRPr="00260A1D" w:rsidRDefault="00B00255" w:rsidP="00353D7F">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0.9</w:t>
            </w:r>
            <w:r w:rsidR="00926CE0" w:rsidRPr="00260A1D">
              <w:rPr>
                <w:rFonts w:ascii="Times New Roman" w:eastAsia="Times New Roman" w:hAnsi="Times New Roman" w:cs="Times New Roman"/>
                <w:color w:val="000000"/>
                <w:sz w:val="22"/>
                <w:szCs w:val="22"/>
              </w:rPr>
              <w:t>2</w:t>
            </w:r>
          </w:p>
        </w:tc>
      </w:tr>
    </w:tbl>
    <w:p w:rsidR="00276090" w:rsidRPr="00260A1D" w:rsidRDefault="00276090" w:rsidP="00B00255">
      <w:pPr>
        <w:rPr>
          <w:rFonts w:ascii="Times New Roman" w:hAnsi="Times New Roman" w:cs="Times New Roman"/>
          <w:sz w:val="22"/>
          <w:szCs w:val="22"/>
        </w:rPr>
      </w:pPr>
    </w:p>
    <w:p w:rsidR="00276090" w:rsidRPr="00260A1D" w:rsidRDefault="00276090" w:rsidP="00B00255">
      <w:pPr>
        <w:rPr>
          <w:rFonts w:ascii="Times New Roman" w:hAnsi="Times New Roman" w:cs="Times New Roman"/>
          <w:sz w:val="22"/>
          <w:szCs w:val="22"/>
        </w:rPr>
      </w:pPr>
    </w:p>
    <w:p w:rsidR="00276090" w:rsidRPr="00260A1D" w:rsidRDefault="00276090" w:rsidP="00B00255">
      <w:pPr>
        <w:rPr>
          <w:rFonts w:ascii="Times New Roman" w:hAnsi="Times New Roman" w:cs="Times New Roman"/>
          <w:sz w:val="22"/>
          <w:szCs w:val="22"/>
        </w:rPr>
        <w:sectPr w:rsidR="00276090" w:rsidRPr="00260A1D" w:rsidSect="00B00255">
          <w:pgSz w:w="11906" w:h="16838" w:code="9"/>
          <w:pgMar w:top="1440" w:right="1440" w:bottom="1440" w:left="1440" w:header="720" w:footer="720" w:gutter="0"/>
          <w:cols w:space="720"/>
          <w:docGrid w:linePitch="360"/>
        </w:sectPr>
      </w:pPr>
    </w:p>
    <w:tbl>
      <w:tblPr>
        <w:tblpPr w:leftFromText="180" w:rightFromText="180" w:vertAnchor="page" w:horzAnchor="margin" w:tblpY="2277"/>
        <w:tblW w:w="5000" w:type="pct"/>
        <w:tblLook w:val="04A0" w:firstRow="1" w:lastRow="0" w:firstColumn="1" w:lastColumn="0" w:noHBand="0" w:noVBand="1"/>
      </w:tblPr>
      <w:tblGrid>
        <w:gridCol w:w="987"/>
        <w:gridCol w:w="1346"/>
        <w:gridCol w:w="1226"/>
        <w:gridCol w:w="3554"/>
        <w:gridCol w:w="2976"/>
      </w:tblGrid>
      <w:tr w:rsidR="00864D35" w:rsidRPr="00260A1D" w:rsidTr="00C639D9">
        <w:trPr>
          <w:trHeight w:val="243"/>
        </w:trPr>
        <w:tc>
          <w:tcPr>
            <w:tcW w:w="551" w:type="pct"/>
            <w:tcBorders>
              <w:top w:val="single" w:sz="4" w:space="0" w:color="auto"/>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b/>
                <w:bCs/>
                <w:sz w:val="22"/>
                <w:szCs w:val="22"/>
              </w:rPr>
            </w:pPr>
            <w:r w:rsidRPr="00260A1D">
              <w:rPr>
                <w:rFonts w:ascii="Times New Roman" w:eastAsia="Times New Roman" w:hAnsi="Times New Roman" w:cs="Times New Roman"/>
                <w:b/>
                <w:bCs/>
                <w:sz w:val="22"/>
                <w:szCs w:val="22"/>
              </w:rPr>
              <w:lastRenderedPageBreak/>
              <w:t>Patient ID</w:t>
            </w:r>
          </w:p>
        </w:tc>
        <w:tc>
          <w:tcPr>
            <w:tcW w:w="656" w:type="pct"/>
            <w:tcBorders>
              <w:top w:val="single" w:sz="4" w:space="0" w:color="auto"/>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b/>
                <w:bCs/>
                <w:sz w:val="22"/>
                <w:szCs w:val="22"/>
              </w:rPr>
            </w:pPr>
            <w:r w:rsidRPr="00260A1D">
              <w:rPr>
                <w:rFonts w:ascii="Times New Roman" w:eastAsia="Times New Roman" w:hAnsi="Times New Roman" w:cs="Times New Roman"/>
                <w:b/>
                <w:bCs/>
                <w:sz w:val="22"/>
                <w:szCs w:val="22"/>
              </w:rPr>
              <w:t>Pedigree</w:t>
            </w:r>
          </w:p>
        </w:tc>
        <w:tc>
          <w:tcPr>
            <w:tcW w:w="634" w:type="pct"/>
            <w:tcBorders>
              <w:top w:val="single" w:sz="4" w:space="0" w:color="auto"/>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b/>
                <w:bCs/>
                <w:sz w:val="22"/>
                <w:szCs w:val="22"/>
              </w:rPr>
            </w:pPr>
            <w:r w:rsidRPr="00260A1D">
              <w:rPr>
                <w:rFonts w:ascii="Times New Roman" w:eastAsia="Times New Roman" w:hAnsi="Times New Roman" w:cs="Times New Roman"/>
                <w:b/>
                <w:bCs/>
                <w:sz w:val="22"/>
                <w:szCs w:val="22"/>
              </w:rPr>
              <w:t>Gene</w:t>
            </w:r>
          </w:p>
        </w:tc>
        <w:tc>
          <w:tcPr>
            <w:tcW w:w="1722" w:type="pct"/>
            <w:tcBorders>
              <w:top w:val="single" w:sz="4" w:space="0" w:color="auto"/>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b/>
                <w:bCs/>
                <w:sz w:val="22"/>
                <w:szCs w:val="22"/>
              </w:rPr>
            </w:pPr>
            <w:r w:rsidRPr="00260A1D">
              <w:rPr>
                <w:rFonts w:ascii="Times New Roman" w:eastAsia="Times New Roman" w:hAnsi="Times New Roman" w:cs="Times New Roman"/>
                <w:b/>
                <w:bCs/>
                <w:sz w:val="22"/>
                <w:szCs w:val="22"/>
              </w:rPr>
              <w:t xml:space="preserve">DNA Change </w:t>
            </w:r>
          </w:p>
        </w:tc>
        <w:tc>
          <w:tcPr>
            <w:tcW w:w="1437" w:type="pct"/>
            <w:tcBorders>
              <w:top w:val="single" w:sz="4" w:space="0" w:color="auto"/>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b/>
                <w:bCs/>
                <w:sz w:val="22"/>
                <w:szCs w:val="22"/>
              </w:rPr>
            </w:pPr>
            <w:r w:rsidRPr="00260A1D">
              <w:rPr>
                <w:rFonts w:ascii="Times New Roman" w:eastAsia="Times New Roman" w:hAnsi="Times New Roman" w:cs="Times New Roman"/>
                <w:b/>
                <w:bCs/>
                <w:sz w:val="22"/>
                <w:szCs w:val="22"/>
              </w:rPr>
              <w:t xml:space="preserve">Amino Acid Change  </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c.2197_2202delCACACCinsG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p.(His733Alafs*8)</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2</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c.235C&gt;T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p.(Arg79*)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c.1237C&gt;T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p.(Arg413*)</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5</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c.1803delC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p.(Glu601fs*55)</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7</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c.2509delA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p.(Ser837Valfs*94)</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9</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c.2197_2202delCACACCinsG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p.(His733Alafs*8)</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11</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c.235C&gt;T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p.(Arg79*)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12</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c.2489+1G&gt;A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mutant splice product</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13</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c.968_971delAGGC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p.(Gln323fs)</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14</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c.2509delA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p.(Ser837Valfs*94)</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15</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c.968_971delAGGC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p.(Gln323fs)</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16</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c.2146-1G&gt;C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mutant splice product</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18</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c.1613G&gt;A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p.(Trp538*)</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27</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c.235C&gt;T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p.(Arg79*)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28</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c.1759delG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p.(Ser587fs*69)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30</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c.1844C&gt;T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p.(Ser615Phe)</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32</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c.2013delC</w:t>
            </w:r>
          </w:p>
        </w:tc>
        <w:tc>
          <w:tcPr>
            <w:tcW w:w="1437" w:type="pct"/>
            <w:tcBorders>
              <w:top w:val="nil"/>
              <w:left w:val="nil"/>
              <w:bottom w:val="nil"/>
              <w:right w:val="nil"/>
            </w:tcBorders>
            <w:shd w:val="clear" w:color="auto" w:fill="auto"/>
            <w:noWrap/>
            <w:vAlign w:val="center"/>
            <w:hideMark/>
          </w:tcPr>
          <w:p w:rsidR="00276090" w:rsidRPr="00260A1D" w:rsidRDefault="00B75C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p.(Lys672ArgfsX12)</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33</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c.1237C&gt;T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p.(Arg413*)</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37</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c.2509delA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p.(Ser837Valfs*94)</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39</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c.2169_2172dupAGTT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p.(Val7255Serfs*19)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41</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c.2489+1G&gt;A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mutant splice product</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44</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864D35"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PKP2/DSP*</w:t>
            </w:r>
          </w:p>
        </w:tc>
        <w:tc>
          <w:tcPr>
            <w:tcW w:w="1722" w:type="pct"/>
            <w:tcBorders>
              <w:top w:val="nil"/>
              <w:left w:val="nil"/>
              <w:bottom w:val="nil"/>
              <w:right w:val="nil"/>
            </w:tcBorders>
            <w:shd w:val="clear" w:color="auto" w:fill="auto"/>
            <w:noWrap/>
            <w:vAlign w:val="center"/>
            <w:hideMark/>
          </w:tcPr>
          <w:p w:rsidR="00276090" w:rsidRPr="00260A1D" w:rsidRDefault="00864D35"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c.2197_2202delCACACCinsG</w:t>
            </w:r>
            <w:r w:rsidR="00B75C90" w:rsidRPr="00260A1D">
              <w:rPr>
                <w:rFonts w:ascii="Times New Roman" w:eastAsia="Times New Roman" w:hAnsi="Times New Roman" w:cs="Times New Roman"/>
                <w:color w:val="000000"/>
                <w:sz w:val="22"/>
                <w:szCs w:val="22"/>
              </w:rPr>
              <w:t xml:space="preserve">; </w:t>
            </w:r>
            <w:r w:rsidRPr="00260A1D">
              <w:rPr>
                <w:rFonts w:ascii="Times New Roman" w:eastAsia="Times New Roman" w:hAnsi="Times New Roman" w:cs="Times New Roman"/>
                <w:color w:val="000000"/>
                <w:sz w:val="22"/>
                <w:szCs w:val="22"/>
              </w:rPr>
              <w:t>c.del6p24.1p25</w:t>
            </w:r>
          </w:p>
        </w:tc>
        <w:tc>
          <w:tcPr>
            <w:tcW w:w="1437" w:type="pct"/>
            <w:tcBorders>
              <w:top w:val="nil"/>
              <w:left w:val="nil"/>
              <w:bottom w:val="nil"/>
              <w:right w:val="nil"/>
            </w:tcBorders>
            <w:shd w:val="clear" w:color="auto" w:fill="auto"/>
            <w:noWrap/>
            <w:vAlign w:val="center"/>
            <w:hideMark/>
          </w:tcPr>
          <w:p w:rsidR="00276090" w:rsidRPr="00260A1D" w:rsidRDefault="00864D35"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 xml:space="preserve">p.(His733Alafs*8); </w:t>
            </w:r>
            <w:r w:rsidR="00B75C90" w:rsidRPr="00260A1D">
              <w:rPr>
                <w:rFonts w:ascii="Times New Roman" w:eastAsia="Times New Roman" w:hAnsi="Times New Roman" w:cs="Times New Roman"/>
                <w:color w:val="000000"/>
                <w:sz w:val="22"/>
                <w:szCs w:val="22"/>
              </w:rPr>
              <w:t>multi-gene deletion</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46</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DSP</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c.151C&gt;T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p.(Gln51*)</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48</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864D35"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DSG2/DSG2*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c.1038_1040delGAA; c.523+2T&gt;C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p.(Lys346del); mutant splice product</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49</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c.2013delC</w:t>
            </w:r>
          </w:p>
        </w:tc>
        <w:tc>
          <w:tcPr>
            <w:tcW w:w="1437" w:type="pct"/>
            <w:tcBorders>
              <w:top w:val="nil"/>
              <w:left w:val="nil"/>
              <w:bottom w:val="nil"/>
              <w:right w:val="nil"/>
            </w:tcBorders>
            <w:shd w:val="clear" w:color="auto" w:fill="auto"/>
            <w:noWrap/>
            <w:vAlign w:val="center"/>
            <w:hideMark/>
          </w:tcPr>
          <w:p w:rsidR="00276090" w:rsidRPr="00260A1D" w:rsidRDefault="00B75C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p.(Lys672ArgfsX12)</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51</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c.148_151delACAG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p.(Thr50Serfs*61)</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55</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c.2197_2202delCACACCinsG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p.(His733Alafs*8)</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56</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c.1760delT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p.(Val587fs*69)</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58</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c.1613G&gt;A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p.(Trp538*)</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60</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DSG</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c.136C&gt;T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p.(Arg46Trp)</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61</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c.148_151delACAG</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p.(Thr50Serfs*61)</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lastRenderedPageBreak/>
              <w:t>64</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c.2146-1G&gt;C</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mutant splice product</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68</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Family Member</w:t>
            </w:r>
          </w:p>
        </w:tc>
        <w:tc>
          <w:tcPr>
            <w:tcW w:w="634" w:type="pct"/>
            <w:tcBorders>
              <w:top w:val="nil"/>
              <w:left w:val="nil"/>
              <w:bottom w:val="nil"/>
              <w:right w:val="nil"/>
            </w:tcBorders>
            <w:shd w:val="clear" w:color="auto" w:fill="auto"/>
            <w:noWrap/>
            <w:vAlign w:val="center"/>
            <w:hideMark/>
          </w:tcPr>
          <w:p w:rsidR="00276090" w:rsidRPr="00260A1D" w:rsidRDefault="00864D35"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PLN</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c.40_42delAGA</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p.(Arg14del)</w:t>
            </w:r>
          </w:p>
        </w:tc>
      </w:tr>
      <w:tr w:rsidR="00864D35" w:rsidRPr="00260A1D" w:rsidTr="00C639D9">
        <w:trPr>
          <w:trHeight w:val="243"/>
        </w:trPr>
        <w:tc>
          <w:tcPr>
            <w:tcW w:w="551"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70</w:t>
            </w:r>
          </w:p>
        </w:tc>
        <w:tc>
          <w:tcPr>
            <w:tcW w:w="656"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c.235C&gt;T</w:t>
            </w:r>
          </w:p>
        </w:tc>
        <w:tc>
          <w:tcPr>
            <w:tcW w:w="1437" w:type="pct"/>
            <w:tcBorders>
              <w:top w:val="nil"/>
              <w:left w:val="nil"/>
              <w:bottom w:val="nil"/>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p.(Arg79*)</w:t>
            </w:r>
          </w:p>
        </w:tc>
      </w:tr>
      <w:tr w:rsidR="00864D35" w:rsidRPr="00260A1D" w:rsidTr="00C639D9">
        <w:trPr>
          <w:trHeight w:val="243"/>
        </w:trPr>
        <w:tc>
          <w:tcPr>
            <w:tcW w:w="551" w:type="pct"/>
            <w:tcBorders>
              <w:top w:val="nil"/>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73</w:t>
            </w:r>
          </w:p>
        </w:tc>
        <w:tc>
          <w:tcPr>
            <w:tcW w:w="656" w:type="pct"/>
            <w:tcBorders>
              <w:top w:val="nil"/>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Proband</w:t>
            </w:r>
          </w:p>
        </w:tc>
        <w:tc>
          <w:tcPr>
            <w:tcW w:w="634" w:type="pct"/>
            <w:tcBorders>
              <w:top w:val="nil"/>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sz w:val="22"/>
                <w:szCs w:val="22"/>
              </w:rPr>
            </w:pPr>
            <w:r w:rsidRPr="00260A1D">
              <w:rPr>
                <w:rFonts w:ascii="Times New Roman" w:eastAsia="Times New Roman" w:hAnsi="Times New Roman" w:cs="Times New Roman"/>
                <w:sz w:val="22"/>
                <w:szCs w:val="22"/>
              </w:rPr>
              <w:t>PKP2</w:t>
            </w:r>
          </w:p>
        </w:tc>
        <w:tc>
          <w:tcPr>
            <w:tcW w:w="1722" w:type="pct"/>
            <w:tcBorders>
              <w:top w:val="nil"/>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c.2146-1G&gt;C</w:t>
            </w:r>
          </w:p>
        </w:tc>
        <w:tc>
          <w:tcPr>
            <w:tcW w:w="1437" w:type="pct"/>
            <w:tcBorders>
              <w:top w:val="nil"/>
              <w:left w:val="nil"/>
              <w:bottom w:val="single" w:sz="4" w:space="0" w:color="auto"/>
              <w:right w:val="nil"/>
            </w:tcBorders>
            <w:shd w:val="clear" w:color="auto" w:fill="auto"/>
            <w:noWrap/>
            <w:vAlign w:val="center"/>
            <w:hideMark/>
          </w:tcPr>
          <w:p w:rsidR="00276090" w:rsidRPr="00260A1D" w:rsidRDefault="00276090" w:rsidP="00C639D9">
            <w:pPr>
              <w:jc w:val="center"/>
              <w:rPr>
                <w:rFonts w:ascii="Times New Roman" w:eastAsia="Times New Roman" w:hAnsi="Times New Roman" w:cs="Times New Roman"/>
                <w:color w:val="000000"/>
                <w:sz w:val="22"/>
                <w:szCs w:val="22"/>
              </w:rPr>
            </w:pPr>
            <w:r w:rsidRPr="00260A1D">
              <w:rPr>
                <w:rFonts w:ascii="Times New Roman" w:eastAsia="Times New Roman" w:hAnsi="Times New Roman" w:cs="Times New Roman"/>
                <w:color w:val="000000"/>
                <w:sz w:val="22"/>
                <w:szCs w:val="22"/>
              </w:rPr>
              <w:t>mutant splice product</w:t>
            </w:r>
          </w:p>
        </w:tc>
      </w:tr>
    </w:tbl>
    <w:p w:rsidR="00C639D9" w:rsidRPr="00260A1D" w:rsidRDefault="00260A1D" w:rsidP="00276090">
      <w:pPr>
        <w:rPr>
          <w:rFonts w:ascii="Times New Roman" w:hAnsi="Times New Roman" w:cs="Times New Roman"/>
          <w:sz w:val="22"/>
          <w:szCs w:val="22"/>
        </w:rPr>
      </w:pPr>
      <w:r w:rsidRPr="00260A1D">
        <w:rPr>
          <w:rFonts w:ascii="Times New Roman" w:hAnsi="Times New Roman" w:cs="Times New Roman"/>
          <w:sz w:val="22"/>
          <w:szCs w:val="22"/>
        </w:rPr>
        <w:t xml:space="preserve">Additional file 1: </w:t>
      </w:r>
      <w:r w:rsidR="00276090" w:rsidRPr="00260A1D">
        <w:rPr>
          <w:rFonts w:ascii="Times New Roman" w:hAnsi="Times New Roman" w:cs="Times New Roman"/>
          <w:sz w:val="22"/>
          <w:szCs w:val="22"/>
        </w:rPr>
        <w:t xml:space="preserve">Table </w:t>
      </w:r>
      <w:r w:rsidRPr="00260A1D">
        <w:rPr>
          <w:rFonts w:ascii="Times New Roman" w:hAnsi="Times New Roman" w:cs="Times New Roman"/>
          <w:sz w:val="22"/>
          <w:szCs w:val="22"/>
        </w:rPr>
        <w:t>S</w:t>
      </w:r>
      <w:r w:rsidR="00276090" w:rsidRPr="00260A1D">
        <w:rPr>
          <w:rFonts w:ascii="Times New Roman" w:hAnsi="Times New Roman" w:cs="Times New Roman"/>
          <w:sz w:val="22"/>
          <w:szCs w:val="22"/>
        </w:rPr>
        <w:t>2. Table summarizing genetic characteristics of study participants with ARVC/D</w:t>
      </w:r>
      <w:r w:rsidR="00C639D9" w:rsidRPr="00260A1D">
        <w:rPr>
          <w:rFonts w:ascii="Times New Roman" w:hAnsi="Times New Roman" w:cs="Times New Roman"/>
          <w:sz w:val="22"/>
          <w:szCs w:val="22"/>
        </w:rPr>
        <w:t xml:space="preserve"> </w:t>
      </w:r>
      <w:r w:rsidR="00276090" w:rsidRPr="00260A1D">
        <w:rPr>
          <w:rFonts w:ascii="Times New Roman" w:hAnsi="Times New Roman" w:cs="Times New Roman"/>
          <w:sz w:val="22"/>
          <w:szCs w:val="22"/>
        </w:rPr>
        <w:t>associated mutations.</w:t>
      </w:r>
    </w:p>
    <w:p w:rsidR="00864D35" w:rsidRPr="00260A1D" w:rsidRDefault="00864D35" w:rsidP="00276090">
      <w:pPr>
        <w:rPr>
          <w:rFonts w:ascii="Times New Roman" w:hAnsi="Times New Roman" w:cs="Times New Roman"/>
          <w:sz w:val="22"/>
          <w:szCs w:val="22"/>
        </w:rPr>
      </w:pPr>
    </w:p>
    <w:p w:rsidR="00864D35" w:rsidRPr="00260A1D" w:rsidRDefault="00864D35" w:rsidP="00276090">
      <w:pPr>
        <w:rPr>
          <w:rFonts w:ascii="Times New Roman" w:hAnsi="Times New Roman" w:cs="Times New Roman"/>
          <w:i/>
          <w:sz w:val="22"/>
          <w:szCs w:val="22"/>
        </w:rPr>
      </w:pPr>
      <w:r w:rsidRPr="00260A1D">
        <w:rPr>
          <w:rFonts w:ascii="Times New Roman" w:hAnsi="Times New Roman" w:cs="Times New Roman"/>
          <w:i/>
          <w:sz w:val="22"/>
          <w:szCs w:val="22"/>
        </w:rPr>
        <w:t>*Compound mutation.</w:t>
      </w:r>
    </w:p>
    <w:p w:rsidR="00C639D9" w:rsidRPr="00260A1D" w:rsidRDefault="00C639D9" w:rsidP="00276090">
      <w:pPr>
        <w:rPr>
          <w:rFonts w:ascii="Times New Roman" w:hAnsi="Times New Roman" w:cs="Times New Roman"/>
          <w:sz w:val="22"/>
          <w:szCs w:val="22"/>
        </w:rPr>
      </w:pPr>
    </w:p>
    <w:p w:rsidR="00C639D9" w:rsidRPr="00260A1D" w:rsidRDefault="00C639D9" w:rsidP="00276090">
      <w:pPr>
        <w:rPr>
          <w:rFonts w:ascii="Times New Roman" w:hAnsi="Times New Roman" w:cs="Times New Roman"/>
          <w:sz w:val="22"/>
          <w:szCs w:val="22"/>
        </w:rPr>
      </w:pPr>
      <w:r w:rsidRPr="00260A1D">
        <w:rPr>
          <w:rFonts w:ascii="Times New Roman" w:hAnsi="Times New Roman" w:cs="Times New Roman"/>
          <w:sz w:val="22"/>
          <w:szCs w:val="22"/>
        </w:rPr>
        <w:br w:type="page"/>
      </w:r>
    </w:p>
    <w:p w:rsidR="00C639D9" w:rsidRPr="00260A1D" w:rsidRDefault="00260A1D" w:rsidP="00276090">
      <w:pPr>
        <w:rPr>
          <w:rFonts w:ascii="Times New Roman" w:hAnsi="Times New Roman" w:cs="Times New Roman"/>
          <w:sz w:val="22"/>
          <w:szCs w:val="22"/>
        </w:rPr>
      </w:pPr>
      <w:r w:rsidRPr="00260A1D">
        <w:rPr>
          <w:rFonts w:ascii="Times New Roman" w:hAnsi="Times New Roman" w:cs="Times New Roman"/>
          <w:sz w:val="22"/>
          <w:szCs w:val="22"/>
        </w:rPr>
        <w:lastRenderedPageBreak/>
        <w:t xml:space="preserve">Additional file 1: </w:t>
      </w:r>
      <w:r w:rsidR="00C639D9" w:rsidRPr="00260A1D">
        <w:rPr>
          <w:rFonts w:ascii="Times New Roman" w:hAnsi="Times New Roman" w:cs="Times New Roman"/>
          <w:sz w:val="22"/>
          <w:szCs w:val="22"/>
        </w:rPr>
        <w:t xml:space="preserve">Table </w:t>
      </w:r>
      <w:r w:rsidRPr="00260A1D">
        <w:rPr>
          <w:rFonts w:ascii="Times New Roman" w:hAnsi="Times New Roman" w:cs="Times New Roman"/>
          <w:sz w:val="22"/>
          <w:szCs w:val="22"/>
        </w:rPr>
        <w:t>S</w:t>
      </w:r>
      <w:r w:rsidR="00C639D9" w:rsidRPr="00260A1D">
        <w:rPr>
          <w:rFonts w:ascii="Times New Roman" w:hAnsi="Times New Roman" w:cs="Times New Roman"/>
          <w:sz w:val="22"/>
          <w:szCs w:val="22"/>
        </w:rPr>
        <w:t>3 - Table summarizing clinical</w:t>
      </w:r>
      <w:r w:rsidR="00356FAF" w:rsidRPr="00260A1D">
        <w:rPr>
          <w:rFonts w:ascii="Times New Roman" w:hAnsi="Times New Roman" w:cs="Times New Roman"/>
          <w:sz w:val="22"/>
          <w:szCs w:val="22"/>
        </w:rPr>
        <w:t xml:space="preserve"> and</w:t>
      </w:r>
      <w:r w:rsidR="00C639D9" w:rsidRPr="00260A1D">
        <w:rPr>
          <w:rFonts w:ascii="Times New Roman" w:hAnsi="Times New Roman" w:cs="Times New Roman"/>
          <w:sz w:val="22"/>
          <w:szCs w:val="22"/>
        </w:rPr>
        <w:t xml:space="preserve"> </w:t>
      </w:r>
      <w:r w:rsidR="00356FAF" w:rsidRPr="00260A1D">
        <w:rPr>
          <w:rFonts w:ascii="Times New Roman" w:hAnsi="Times New Roman" w:cs="Times New Roman"/>
          <w:sz w:val="22"/>
          <w:szCs w:val="22"/>
        </w:rPr>
        <w:t xml:space="preserve">CMR </w:t>
      </w:r>
      <w:r w:rsidR="00C639D9" w:rsidRPr="00260A1D">
        <w:rPr>
          <w:rFonts w:ascii="Times New Roman" w:hAnsi="Times New Roman" w:cs="Times New Roman"/>
          <w:sz w:val="22"/>
          <w:szCs w:val="22"/>
        </w:rPr>
        <w:t xml:space="preserve">characteristics of </w:t>
      </w:r>
      <w:r w:rsidR="00356FAF" w:rsidRPr="00260A1D">
        <w:rPr>
          <w:rFonts w:ascii="Times New Roman" w:hAnsi="Times New Roman" w:cs="Times New Roman"/>
          <w:sz w:val="22"/>
          <w:szCs w:val="22"/>
        </w:rPr>
        <w:t>ARVC/D study</w:t>
      </w:r>
      <w:r w:rsidR="00C639D9" w:rsidRPr="00260A1D">
        <w:rPr>
          <w:rFonts w:ascii="Times New Roman" w:hAnsi="Times New Roman" w:cs="Times New Roman"/>
          <w:sz w:val="22"/>
          <w:szCs w:val="22"/>
        </w:rPr>
        <w:t xml:space="preserve"> participants with </w:t>
      </w:r>
      <w:r w:rsidR="00356FAF" w:rsidRPr="00260A1D">
        <w:rPr>
          <w:rFonts w:ascii="Times New Roman" w:hAnsi="Times New Roman" w:cs="Times New Roman"/>
          <w:sz w:val="22"/>
          <w:szCs w:val="22"/>
        </w:rPr>
        <w:t>isolated LV involvement</w:t>
      </w:r>
      <w:r w:rsidR="00C639D9" w:rsidRPr="00260A1D">
        <w:rPr>
          <w:rFonts w:ascii="Times New Roman" w:hAnsi="Times New Roman" w:cs="Times New Roman"/>
          <w:sz w:val="22"/>
          <w:szCs w:val="22"/>
        </w:rPr>
        <w:t>.</w:t>
      </w:r>
      <w:r w:rsidR="00356FAF" w:rsidRPr="00260A1D">
        <w:rPr>
          <w:rFonts w:ascii="Times New Roman" w:hAnsi="Times New Roman" w:cs="Times New Roman"/>
          <w:sz w:val="22"/>
          <w:szCs w:val="22"/>
        </w:rPr>
        <w:t xml:space="preserve"> ARVC/D: Arrhythmogenic right ventricular cardiomyopathy/dysplasia, LGE: late-gadolinium enhancement, LV: left ventricular, RV: right ventricular, TFC: task force criteria.</w:t>
      </w:r>
    </w:p>
    <w:p w:rsidR="00C639D9" w:rsidRPr="00260A1D" w:rsidRDefault="00C639D9" w:rsidP="00276090">
      <w:pPr>
        <w:rPr>
          <w:rFonts w:ascii="Times New Roman" w:hAnsi="Times New Roman" w:cs="Times New Roman"/>
          <w:sz w:val="22"/>
          <w:szCs w:val="22"/>
        </w:rPr>
      </w:pPr>
    </w:p>
    <w:tbl>
      <w:tblPr>
        <w:tblStyle w:val="TableGrid"/>
        <w:tblpPr w:leftFromText="180" w:rightFromText="180" w:vertAnchor="page" w:horzAnchor="margin" w:tblpY="2838"/>
        <w:tblW w:w="0" w:type="auto"/>
        <w:tblLayout w:type="fixed"/>
        <w:tblLook w:val="04A0" w:firstRow="1" w:lastRow="0" w:firstColumn="1" w:lastColumn="0" w:noHBand="0" w:noVBand="1"/>
      </w:tblPr>
      <w:tblGrid>
        <w:gridCol w:w="2648"/>
        <w:gridCol w:w="3197"/>
        <w:gridCol w:w="3171"/>
      </w:tblGrid>
      <w:tr w:rsidR="00356FAF" w:rsidRPr="00260A1D" w:rsidTr="00013FE2">
        <w:tc>
          <w:tcPr>
            <w:tcW w:w="2648" w:type="dxa"/>
            <w:vAlign w:val="center"/>
          </w:tcPr>
          <w:p w:rsidR="00356FAF" w:rsidRPr="00260A1D" w:rsidRDefault="00356FAF" w:rsidP="00013FE2">
            <w:pPr>
              <w:jc w:val="center"/>
              <w:rPr>
                <w:rFonts w:ascii="Times New Roman" w:hAnsi="Times New Roman" w:cs="Times New Roman"/>
                <w:b/>
                <w:sz w:val="22"/>
                <w:szCs w:val="22"/>
              </w:rPr>
            </w:pPr>
            <w:r w:rsidRPr="00260A1D">
              <w:rPr>
                <w:rFonts w:ascii="Times New Roman" w:hAnsi="Times New Roman" w:cs="Times New Roman"/>
                <w:b/>
                <w:sz w:val="22"/>
                <w:szCs w:val="22"/>
              </w:rPr>
              <w:t>Clinical Characteristics</w:t>
            </w:r>
          </w:p>
        </w:tc>
        <w:tc>
          <w:tcPr>
            <w:tcW w:w="3197" w:type="dxa"/>
            <w:vAlign w:val="center"/>
          </w:tcPr>
          <w:p w:rsidR="00356FAF" w:rsidRPr="00260A1D" w:rsidRDefault="00356FAF" w:rsidP="00013FE2">
            <w:pPr>
              <w:jc w:val="center"/>
              <w:rPr>
                <w:rFonts w:ascii="Times New Roman" w:hAnsi="Times New Roman" w:cs="Times New Roman"/>
                <w:b/>
                <w:sz w:val="22"/>
                <w:szCs w:val="22"/>
              </w:rPr>
            </w:pPr>
            <w:r w:rsidRPr="00260A1D">
              <w:rPr>
                <w:rFonts w:ascii="Times New Roman" w:hAnsi="Times New Roman" w:cs="Times New Roman"/>
                <w:b/>
                <w:sz w:val="22"/>
                <w:szCs w:val="22"/>
              </w:rPr>
              <w:t>Patient 46</w:t>
            </w:r>
          </w:p>
        </w:tc>
        <w:tc>
          <w:tcPr>
            <w:tcW w:w="3171" w:type="dxa"/>
            <w:vAlign w:val="center"/>
          </w:tcPr>
          <w:p w:rsidR="00356FAF" w:rsidRPr="00260A1D" w:rsidRDefault="00356FAF" w:rsidP="00013FE2">
            <w:pPr>
              <w:jc w:val="center"/>
              <w:rPr>
                <w:rFonts w:ascii="Times New Roman" w:hAnsi="Times New Roman" w:cs="Times New Roman"/>
                <w:b/>
                <w:sz w:val="22"/>
                <w:szCs w:val="22"/>
              </w:rPr>
            </w:pPr>
            <w:r w:rsidRPr="00260A1D">
              <w:rPr>
                <w:rFonts w:ascii="Times New Roman" w:hAnsi="Times New Roman" w:cs="Times New Roman"/>
                <w:b/>
                <w:sz w:val="22"/>
                <w:szCs w:val="22"/>
              </w:rPr>
              <w:t>Patient 68</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2010 Task Force Criteria met for diagnosis of ARVC</w:t>
            </w:r>
          </w:p>
        </w:tc>
        <w:tc>
          <w:tcPr>
            <w:tcW w:w="3197" w:type="dxa"/>
            <w:vAlign w:val="center"/>
          </w:tcPr>
          <w:p w:rsidR="00356FAF" w:rsidRPr="00260A1D" w:rsidRDefault="00356FAF" w:rsidP="00013FE2">
            <w:pPr>
              <w:pStyle w:val="ListParagraph"/>
              <w:numPr>
                <w:ilvl w:val="0"/>
                <w:numId w:val="1"/>
              </w:numPr>
              <w:rPr>
                <w:color w:val="000000"/>
                <w:sz w:val="22"/>
                <w:szCs w:val="22"/>
              </w:rPr>
            </w:pPr>
            <w:r w:rsidRPr="00260A1D">
              <w:rPr>
                <w:color w:val="000000"/>
                <w:sz w:val="22"/>
                <w:szCs w:val="22"/>
              </w:rPr>
              <w:t>Major repolarization abnormalities criteria (negative T-wave in V1-3)</w:t>
            </w:r>
          </w:p>
          <w:p w:rsidR="00356FAF" w:rsidRPr="00260A1D" w:rsidRDefault="00356FAF" w:rsidP="00013FE2">
            <w:pPr>
              <w:pStyle w:val="ListParagraph"/>
              <w:numPr>
                <w:ilvl w:val="0"/>
                <w:numId w:val="1"/>
              </w:numPr>
              <w:rPr>
                <w:color w:val="000000"/>
                <w:sz w:val="22"/>
                <w:szCs w:val="22"/>
              </w:rPr>
            </w:pPr>
            <w:r w:rsidRPr="00260A1D">
              <w:rPr>
                <w:color w:val="000000"/>
                <w:sz w:val="22"/>
                <w:szCs w:val="22"/>
              </w:rPr>
              <w:t>Major and minor depolarization/conduction abnormalities criteria (epsilon wave in V1-3, terminal activation duration of QRS &gt;55ms in V1-3)</w:t>
            </w:r>
          </w:p>
          <w:p w:rsidR="00356FAF" w:rsidRPr="00260A1D" w:rsidRDefault="00356FAF" w:rsidP="00013FE2">
            <w:pPr>
              <w:pStyle w:val="ListParagraph"/>
              <w:numPr>
                <w:ilvl w:val="0"/>
                <w:numId w:val="1"/>
              </w:numPr>
              <w:rPr>
                <w:color w:val="000000"/>
                <w:sz w:val="22"/>
                <w:szCs w:val="22"/>
              </w:rPr>
            </w:pPr>
            <w:r w:rsidRPr="00260A1D">
              <w:rPr>
                <w:color w:val="000000"/>
                <w:sz w:val="22"/>
                <w:szCs w:val="22"/>
              </w:rPr>
              <w:t>Minor arrhythmia criteria (&gt;500 PVCs/24h)</w:t>
            </w:r>
          </w:p>
          <w:p w:rsidR="00356FAF" w:rsidRPr="00260A1D" w:rsidRDefault="00356FAF" w:rsidP="00013FE2">
            <w:pPr>
              <w:pStyle w:val="ListParagraph"/>
              <w:numPr>
                <w:ilvl w:val="0"/>
                <w:numId w:val="1"/>
              </w:numPr>
              <w:rPr>
                <w:color w:val="000000"/>
                <w:sz w:val="22"/>
                <w:szCs w:val="22"/>
              </w:rPr>
            </w:pPr>
            <w:r w:rsidRPr="00260A1D">
              <w:rPr>
                <w:color w:val="000000"/>
                <w:sz w:val="22"/>
                <w:szCs w:val="22"/>
              </w:rPr>
              <w:t>Major family history criteria (ARVD/C-associated pathogenic mutation).</w:t>
            </w:r>
          </w:p>
        </w:tc>
        <w:tc>
          <w:tcPr>
            <w:tcW w:w="3171" w:type="dxa"/>
            <w:vAlign w:val="center"/>
          </w:tcPr>
          <w:p w:rsidR="00356FAF" w:rsidRPr="00260A1D" w:rsidRDefault="00356FAF" w:rsidP="00013FE2">
            <w:pPr>
              <w:pStyle w:val="ListParagraph"/>
              <w:numPr>
                <w:ilvl w:val="0"/>
                <w:numId w:val="1"/>
              </w:numPr>
              <w:rPr>
                <w:sz w:val="22"/>
                <w:szCs w:val="22"/>
              </w:rPr>
            </w:pPr>
            <w:r w:rsidRPr="00260A1D">
              <w:rPr>
                <w:sz w:val="22"/>
                <w:szCs w:val="22"/>
              </w:rPr>
              <w:t>Minor repolarization abnormalities criteria (T-wave inversion in V4-6)</w:t>
            </w:r>
          </w:p>
          <w:p w:rsidR="00356FAF" w:rsidRPr="00260A1D" w:rsidRDefault="00356FAF" w:rsidP="00013FE2">
            <w:pPr>
              <w:pStyle w:val="ListParagraph"/>
              <w:numPr>
                <w:ilvl w:val="0"/>
                <w:numId w:val="1"/>
              </w:numPr>
              <w:rPr>
                <w:sz w:val="22"/>
                <w:szCs w:val="22"/>
              </w:rPr>
            </w:pPr>
            <w:r w:rsidRPr="00260A1D">
              <w:rPr>
                <w:sz w:val="22"/>
                <w:szCs w:val="22"/>
              </w:rPr>
              <w:t>Minor arrhythmia criteria (&gt;500 PVCs/24h)</w:t>
            </w:r>
          </w:p>
          <w:p w:rsidR="00356FAF" w:rsidRPr="00260A1D" w:rsidRDefault="00356FAF" w:rsidP="00013FE2">
            <w:pPr>
              <w:pStyle w:val="ListParagraph"/>
              <w:numPr>
                <w:ilvl w:val="0"/>
                <w:numId w:val="1"/>
              </w:numPr>
              <w:rPr>
                <w:sz w:val="22"/>
                <w:szCs w:val="22"/>
              </w:rPr>
            </w:pPr>
            <w:r w:rsidRPr="00260A1D">
              <w:rPr>
                <w:sz w:val="22"/>
                <w:szCs w:val="22"/>
              </w:rPr>
              <w:t>Major and minor family history criteria (ARVD/C-associated pathogenic mutation, history of ARVC/D in a first-degree relative in whom it is not possible to determine whether the family member meets current TFC).</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2010 TFC Score</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7</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5</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Age</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48</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39</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Gender</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Female</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Female</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Proband</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Proband</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Family Member</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Mutation</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DSP(c.151C&gt;T)</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PLN(c.40_42delAGA)</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RV Ejection Fraction</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51%</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47%</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 xml:space="preserve">LV Ejection Fraction </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43%</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57%</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 xml:space="preserve">LV Morpho-Functional Abnormalities, </w:t>
            </w:r>
            <w:r w:rsidRPr="00260A1D">
              <w:rPr>
                <w:rFonts w:ascii="Times New Roman" w:hAnsi="Times New Roman" w:cs="Times New Roman"/>
                <w:i/>
                <w:sz w:val="22"/>
                <w:szCs w:val="22"/>
              </w:rPr>
              <w:t>if present</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LV wall motion abnormalities</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None</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sz w:val="22"/>
                <w:szCs w:val="22"/>
              </w:rPr>
              <w:t>LV Tissue Abnormalities</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Mid- and Sub-epicardial LGE (AHA segments 1-10, 12, 16) in both patchy and linear patterns</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Mid- and Sub-epicardial LGE (AHA segments 5, 11, 15, 16) in both patchy and linear patterns</w:t>
            </w:r>
          </w:p>
        </w:tc>
      </w:tr>
      <w:tr w:rsidR="00356FAF" w:rsidRPr="00260A1D" w:rsidTr="00013FE2">
        <w:tc>
          <w:tcPr>
            <w:tcW w:w="2648" w:type="dxa"/>
            <w:vAlign w:val="center"/>
          </w:tcPr>
          <w:p w:rsidR="00356FAF" w:rsidRPr="00260A1D" w:rsidRDefault="00356FAF" w:rsidP="00013FE2">
            <w:pPr>
              <w:rPr>
                <w:rFonts w:ascii="Times New Roman" w:hAnsi="Times New Roman" w:cs="Times New Roman"/>
                <w:sz w:val="22"/>
                <w:szCs w:val="22"/>
              </w:rPr>
            </w:pPr>
            <w:r w:rsidRPr="00260A1D">
              <w:rPr>
                <w:rFonts w:ascii="Times New Roman" w:hAnsi="Times New Roman" w:cs="Times New Roman"/>
                <w:color w:val="000000"/>
                <w:sz w:val="22"/>
                <w:szCs w:val="22"/>
              </w:rPr>
              <w:t>VT During Follow-up</w:t>
            </w:r>
          </w:p>
        </w:tc>
        <w:tc>
          <w:tcPr>
            <w:tcW w:w="3197"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No</w:t>
            </w:r>
          </w:p>
        </w:tc>
        <w:tc>
          <w:tcPr>
            <w:tcW w:w="3171" w:type="dxa"/>
            <w:vAlign w:val="center"/>
          </w:tcPr>
          <w:p w:rsidR="00356FAF" w:rsidRPr="00260A1D" w:rsidRDefault="00356FAF" w:rsidP="00013FE2">
            <w:pPr>
              <w:jc w:val="center"/>
              <w:rPr>
                <w:rFonts w:ascii="Times New Roman" w:hAnsi="Times New Roman" w:cs="Times New Roman"/>
                <w:sz w:val="22"/>
                <w:szCs w:val="22"/>
              </w:rPr>
            </w:pPr>
            <w:r w:rsidRPr="00260A1D">
              <w:rPr>
                <w:rFonts w:ascii="Times New Roman" w:hAnsi="Times New Roman" w:cs="Times New Roman"/>
                <w:sz w:val="22"/>
                <w:szCs w:val="22"/>
              </w:rPr>
              <w:t>No</w:t>
            </w:r>
          </w:p>
        </w:tc>
      </w:tr>
    </w:tbl>
    <w:p w:rsidR="002D4163" w:rsidRPr="00260A1D" w:rsidRDefault="002D4163" w:rsidP="00276090">
      <w:pPr>
        <w:rPr>
          <w:rFonts w:ascii="Times New Roman" w:hAnsi="Times New Roman" w:cs="Times New Roman"/>
          <w:sz w:val="22"/>
          <w:szCs w:val="22"/>
        </w:rPr>
        <w:sectPr w:rsidR="002D4163" w:rsidRPr="00260A1D" w:rsidSect="00C639D9">
          <w:pgSz w:w="11906" w:h="16838" w:code="9"/>
          <w:pgMar w:top="1440" w:right="846" w:bottom="1440" w:left="971" w:header="720" w:footer="720" w:gutter="0"/>
          <w:cols w:space="720"/>
          <w:docGrid w:linePitch="360"/>
        </w:sectPr>
      </w:pPr>
    </w:p>
    <w:p w:rsidR="00013FE2" w:rsidRPr="00260A1D" w:rsidRDefault="00260A1D" w:rsidP="00013FE2">
      <w:pPr>
        <w:rPr>
          <w:rFonts w:ascii="Times New Roman" w:hAnsi="Times New Roman" w:cs="Times New Roman"/>
          <w:sz w:val="22"/>
          <w:szCs w:val="22"/>
        </w:rPr>
      </w:pPr>
      <w:r w:rsidRPr="00260A1D">
        <w:rPr>
          <w:rFonts w:ascii="Times New Roman" w:hAnsi="Times New Roman" w:cs="Times New Roman"/>
          <w:sz w:val="22"/>
          <w:szCs w:val="22"/>
        </w:rPr>
        <w:lastRenderedPageBreak/>
        <w:t xml:space="preserve">Additional file 1: </w:t>
      </w:r>
      <w:r w:rsidR="00013FE2" w:rsidRPr="00260A1D">
        <w:rPr>
          <w:rFonts w:ascii="Times New Roman" w:hAnsi="Times New Roman" w:cs="Times New Roman"/>
          <w:sz w:val="22"/>
          <w:szCs w:val="22"/>
        </w:rPr>
        <w:t xml:space="preserve">Table </w:t>
      </w:r>
      <w:r w:rsidRPr="00260A1D">
        <w:rPr>
          <w:rFonts w:ascii="Times New Roman" w:hAnsi="Times New Roman" w:cs="Times New Roman"/>
          <w:sz w:val="22"/>
          <w:szCs w:val="22"/>
        </w:rPr>
        <w:t>S</w:t>
      </w:r>
      <w:r w:rsidR="00013FE2" w:rsidRPr="00260A1D">
        <w:rPr>
          <w:rFonts w:ascii="Times New Roman" w:hAnsi="Times New Roman" w:cs="Times New Roman"/>
          <w:sz w:val="22"/>
          <w:szCs w:val="22"/>
        </w:rPr>
        <w:t xml:space="preserve">4- Table comparing baseline demographic, clinical and genetic characteristics as well as arrhythmic outcomes between study participants with normal left ventricular EF with </w:t>
      </w:r>
      <w:r w:rsidR="0015643E" w:rsidRPr="00260A1D">
        <w:rPr>
          <w:rFonts w:ascii="Times New Roman" w:hAnsi="Times New Roman" w:cs="Times New Roman"/>
          <w:sz w:val="22"/>
          <w:szCs w:val="22"/>
        </w:rPr>
        <w:t>vs. without LV tissue abnormalities</w:t>
      </w:r>
      <w:r w:rsidR="00013FE2" w:rsidRPr="00260A1D">
        <w:rPr>
          <w:rFonts w:ascii="Times New Roman" w:hAnsi="Times New Roman" w:cs="Times New Roman"/>
          <w:sz w:val="22"/>
          <w:szCs w:val="22"/>
        </w:rPr>
        <w:t>.</w:t>
      </w:r>
      <w:r w:rsidR="0015643E" w:rsidRPr="00260A1D">
        <w:rPr>
          <w:rFonts w:ascii="Times New Roman" w:hAnsi="Times New Roman" w:cs="Times New Roman"/>
          <w:sz w:val="22"/>
          <w:szCs w:val="22"/>
        </w:rPr>
        <w:t xml:space="preserve"> CMR: cardiac magnetic resonance imaging, EF: ejection fraction, LV: left ventricular, TFC: task force criteria, VT: ventricular tachycardia.</w:t>
      </w:r>
    </w:p>
    <w:p w:rsidR="00013FE2" w:rsidRPr="00260A1D" w:rsidRDefault="00013FE2" w:rsidP="00013FE2">
      <w:pPr>
        <w:rPr>
          <w:rFonts w:ascii="Times New Roman" w:hAnsi="Times New Roman" w:cs="Times New Roman"/>
          <w:sz w:val="22"/>
          <w:szCs w:val="22"/>
        </w:rPr>
      </w:pPr>
    </w:p>
    <w:tbl>
      <w:tblPr>
        <w:tblpPr w:leftFromText="180" w:rightFromText="180" w:vertAnchor="text" w:horzAnchor="margin" w:tblpY="332"/>
        <w:tblW w:w="0" w:type="auto"/>
        <w:tblLook w:val="04A0" w:firstRow="1" w:lastRow="0" w:firstColumn="1" w:lastColumn="0" w:noHBand="0" w:noVBand="1"/>
      </w:tblPr>
      <w:tblGrid>
        <w:gridCol w:w="2710"/>
        <w:gridCol w:w="3280"/>
        <w:gridCol w:w="3186"/>
        <w:gridCol w:w="913"/>
      </w:tblGrid>
      <w:tr w:rsidR="0015643E" w:rsidRPr="00260A1D" w:rsidTr="0015643E">
        <w:trPr>
          <w:trHeight w:val="640"/>
        </w:trPr>
        <w:tc>
          <w:tcPr>
            <w:tcW w:w="0" w:type="auto"/>
            <w:tcBorders>
              <w:top w:val="nil"/>
              <w:left w:val="nil"/>
              <w:bottom w:val="single" w:sz="4" w:space="0" w:color="auto"/>
              <w:right w:val="nil"/>
            </w:tcBorders>
            <w:shd w:val="clear" w:color="auto" w:fill="auto"/>
            <w:noWrap/>
            <w:vAlign w:val="bottom"/>
            <w:hideMark/>
          </w:tcPr>
          <w:p w:rsidR="0015643E" w:rsidRPr="00260A1D" w:rsidRDefault="0015643E" w:rsidP="0015643E">
            <w:pPr>
              <w:rPr>
                <w:rFonts w:ascii="Times New Roman" w:hAnsi="Times New Roman" w:cs="Times New Roman"/>
                <w:b/>
                <w:bCs/>
                <w:color w:val="000000"/>
                <w:sz w:val="22"/>
                <w:szCs w:val="22"/>
              </w:rPr>
            </w:pPr>
            <w:r w:rsidRPr="00260A1D">
              <w:rPr>
                <w:rFonts w:ascii="Times New Roman" w:hAnsi="Times New Roman" w:cs="Times New Roman"/>
                <w:b/>
                <w:bCs/>
                <w:color w:val="000000"/>
                <w:sz w:val="22"/>
                <w:szCs w:val="22"/>
              </w:rPr>
              <w:t> </w:t>
            </w:r>
          </w:p>
        </w:tc>
        <w:tc>
          <w:tcPr>
            <w:tcW w:w="0" w:type="auto"/>
            <w:tcBorders>
              <w:top w:val="nil"/>
              <w:left w:val="nil"/>
              <w:bottom w:val="single" w:sz="4" w:space="0" w:color="auto"/>
              <w:right w:val="nil"/>
            </w:tcBorders>
            <w:vAlign w:val="bottom"/>
          </w:tcPr>
          <w:p w:rsidR="0015643E" w:rsidRPr="00260A1D" w:rsidRDefault="0015643E" w:rsidP="0015643E">
            <w:pPr>
              <w:ind w:right="-154"/>
              <w:jc w:val="center"/>
              <w:rPr>
                <w:rFonts w:ascii="Times New Roman" w:hAnsi="Times New Roman" w:cs="Times New Roman"/>
                <w:b/>
                <w:bCs/>
                <w:color w:val="000000"/>
                <w:sz w:val="22"/>
                <w:szCs w:val="22"/>
              </w:rPr>
            </w:pPr>
            <w:r w:rsidRPr="00260A1D">
              <w:rPr>
                <w:rFonts w:ascii="Times New Roman" w:hAnsi="Times New Roman" w:cs="Times New Roman"/>
                <w:b/>
                <w:bCs/>
                <w:color w:val="000000"/>
                <w:sz w:val="22"/>
                <w:szCs w:val="22"/>
              </w:rPr>
              <w:t>Participants with normal LVEF and no LV tissue abnormalities (n=36)</w:t>
            </w:r>
          </w:p>
        </w:tc>
        <w:tc>
          <w:tcPr>
            <w:tcW w:w="0" w:type="auto"/>
            <w:tcBorders>
              <w:top w:val="nil"/>
              <w:left w:val="nil"/>
              <w:bottom w:val="single" w:sz="4" w:space="0" w:color="auto"/>
              <w:right w:val="nil"/>
            </w:tcBorders>
            <w:vAlign w:val="bottom"/>
          </w:tcPr>
          <w:p w:rsidR="0015643E" w:rsidRPr="00260A1D" w:rsidRDefault="0015643E" w:rsidP="0015643E">
            <w:pPr>
              <w:ind w:right="-154"/>
              <w:jc w:val="center"/>
              <w:rPr>
                <w:rFonts w:ascii="Times New Roman" w:hAnsi="Times New Roman" w:cs="Times New Roman"/>
                <w:b/>
                <w:bCs/>
                <w:color w:val="000000"/>
                <w:sz w:val="22"/>
                <w:szCs w:val="22"/>
              </w:rPr>
            </w:pPr>
            <w:r w:rsidRPr="00260A1D">
              <w:rPr>
                <w:rFonts w:ascii="Times New Roman" w:hAnsi="Times New Roman" w:cs="Times New Roman"/>
                <w:b/>
                <w:bCs/>
                <w:color w:val="000000"/>
                <w:sz w:val="22"/>
                <w:szCs w:val="22"/>
              </w:rPr>
              <w:t>Participants with normal LVEF and LV tissue abnormalities (n=19)</w:t>
            </w:r>
          </w:p>
        </w:tc>
        <w:tc>
          <w:tcPr>
            <w:tcW w:w="0" w:type="auto"/>
            <w:tcBorders>
              <w:top w:val="nil"/>
              <w:left w:val="nil"/>
              <w:bottom w:val="single" w:sz="4" w:space="0" w:color="auto"/>
              <w:right w:val="nil"/>
            </w:tcBorders>
            <w:shd w:val="clear" w:color="auto" w:fill="auto"/>
            <w:noWrap/>
            <w:vAlign w:val="center"/>
            <w:hideMark/>
          </w:tcPr>
          <w:p w:rsidR="0015643E" w:rsidRPr="00260A1D" w:rsidRDefault="0015643E" w:rsidP="0015643E">
            <w:pPr>
              <w:jc w:val="center"/>
              <w:rPr>
                <w:rFonts w:ascii="Times New Roman" w:hAnsi="Times New Roman" w:cs="Times New Roman"/>
                <w:b/>
                <w:bCs/>
                <w:color w:val="000000"/>
                <w:sz w:val="22"/>
                <w:szCs w:val="22"/>
              </w:rPr>
            </w:pPr>
            <w:r w:rsidRPr="00260A1D">
              <w:rPr>
                <w:rFonts w:ascii="Times New Roman" w:hAnsi="Times New Roman" w:cs="Times New Roman"/>
                <w:b/>
                <w:bCs/>
                <w:color w:val="000000"/>
                <w:sz w:val="22"/>
                <w:szCs w:val="22"/>
              </w:rPr>
              <w:t>p-value</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Age, </w:t>
            </w:r>
            <w:r w:rsidRPr="00260A1D">
              <w:rPr>
                <w:rFonts w:ascii="Times New Roman" w:hAnsi="Times New Roman" w:cs="Times New Roman"/>
                <w:i/>
                <w:iCs/>
                <w:color w:val="000000"/>
                <w:sz w:val="22"/>
                <w:szCs w:val="22"/>
              </w:rPr>
              <w:t xml:space="preserve">in </w:t>
            </w:r>
            <w:proofErr w:type="spellStart"/>
            <w:r w:rsidRPr="00260A1D">
              <w:rPr>
                <w:rFonts w:ascii="Times New Roman" w:hAnsi="Times New Roman" w:cs="Times New Roman"/>
                <w:i/>
                <w:iCs/>
                <w:color w:val="000000"/>
                <w:sz w:val="22"/>
                <w:szCs w:val="22"/>
              </w:rPr>
              <w:t>yrs</w:t>
            </w:r>
            <w:proofErr w:type="spellEnd"/>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34.8</w:t>
            </w:r>
            <w:r w:rsidRPr="00260A1D">
              <w:rPr>
                <w:rFonts w:ascii="Times New Roman" w:hAnsi="Times New Roman" w:cs="Times New Roman"/>
                <w:b/>
                <w:color w:val="000000"/>
                <w:sz w:val="22"/>
                <w:szCs w:val="22"/>
              </w:rPr>
              <w:t>±</w:t>
            </w:r>
            <w:r w:rsidRPr="00260A1D">
              <w:rPr>
                <w:rFonts w:ascii="Times New Roman" w:hAnsi="Times New Roman" w:cs="Times New Roman"/>
                <w:color w:val="000000"/>
                <w:sz w:val="22"/>
                <w:szCs w:val="22"/>
              </w:rPr>
              <w:t>15.7</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35.6</w:t>
            </w:r>
            <w:r w:rsidRPr="00260A1D">
              <w:rPr>
                <w:rFonts w:ascii="Times New Roman" w:hAnsi="Times New Roman" w:cs="Times New Roman"/>
                <w:b/>
                <w:color w:val="000000"/>
                <w:sz w:val="22"/>
                <w:szCs w:val="22"/>
              </w:rPr>
              <w:t>±</w:t>
            </w:r>
            <w:r w:rsidRPr="00260A1D">
              <w:rPr>
                <w:rFonts w:ascii="Times New Roman" w:hAnsi="Times New Roman" w:cs="Times New Roman"/>
                <w:color w:val="000000"/>
                <w:sz w:val="22"/>
                <w:szCs w:val="22"/>
              </w:rPr>
              <w:t>12.4</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0.85</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Male Gender, </w:t>
            </w:r>
            <w:proofErr w:type="gramStart"/>
            <w:r w:rsidRPr="00260A1D">
              <w:rPr>
                <w:rFonts w:ascii="Times New Roman" w:hAnsi="Times New Roman" w:cs="Times New Roman"/>
                <w:i/>
                <w:iCs/>
                <w:color w:val="000000"/>
                <w:sz w:val="22"/>
                <w:szCs w:val="22"/>
              </w:rPr>
              <w:t>n(</w:t>
            </w:r>
            <w:proofErr w:type="gramEnd"/>
            <w:r w:rsidRPr="00260A1D">
              <w:rPr>
                <w:rFonts w:ascii="Times New Roman" w:hAnsi="Times New Roman" w:cs="Times New Roman"/>
                <w:i/>
                <w:iCs/>
                <w:color w:val="000000"/>
                <w:sz w:val="22"/>
                <w:szCs w:val="22"/>
              </w:rPr>
              <w:t>%)</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16 (44.4)</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10 (52.6)</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0.58</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TFC, </w:t>
            </w:r>
            <w:r w:rsidRPr="00260A1D">
              <w:rPr>
                <w:rFonts w:ascii="Times New Roman" w:hAnsi="Times New Roman" w:cs="Times New Roman"/>
                <w:i/>
                <w:iCs/>
                <w:color w:val="000000"/>
                <w:sz w:val="22"/>
                <w:szCs w:val="22"/>
              </w:rPr>
              <w:t>median [IQR]</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5 (4-6.5)</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6 (5-8)</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0.011</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Proband, </w:t>
            </w:r>
            <w:proofErr w:type="gramStart"/>
            <w:r w:rsidRPr="00260A1D">
              <w:rPr>
                <w:rFonts w:ascii="Times New Roman" w:hAnsi="Times New Roman" w:cs="Times New Roman"/>
                <w:i/>
                <w:iCs/>
                <w:color w:val="000000"/>
                <w:sz w:val="22"/>
                <w:szCs w:val="22"/>
              </w:rPr>
              <w:t>n(</w:t>
            </w:r>
            <w:proofErr w:type="gramEnd"/>
            <w:r w:rsidRPr="00260A1D">
              <w:rPr>
                <w:rFonts w:ascii="Times New Roman" w:hAnsi="Times New Roman" w:cs="Times New Roman"/>
                <w:i/>
                <w:iCs/>
                <w:color w:val="000000"/>
                <w:sz w:val="22"/>
                <w:szCs w:val="22"/>
              </w:rPr>
              <w:t>%)</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14 (38.9)</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14 (73.7)</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0.023</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Gene Positive, </w:t>
            </w:r>
            <w:proofErr w:type="gramStart"/>
            <w:r w:rsidRPr="00260A1D">
              <w:rPr>
                <w:rFonts w:ascii="Times New Roman" w:hAnsi="Times New Roman" w:cs="Times New Roman"/>
                <w:i/>
                <w:iCs/>
                <w:color w:val="000000"/>
                <w:sz w:val="22"/>
                <w:szCs w:val="22"/>
              </w:rPr>
              <w:t>n(</w:t>
            </w:r>
            <w:proofErr w:type="gramEnd"/>
            <w:r w:rsidRPr="00260A1D">
              <w:rPr>
                <w:rFonts w:ascii="Times New Roman" w:hAnsi="Times New Roman" w:cs="Times New Roman"/>
                <w:i/>
                <w:iCs/>
                <w:color w:val="000000"/>
                <w:sz w:val="22"/>
                <w:szCs w:val="22"/>
              </w:rPr>
              <w:t>%)</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17 (47.2)</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9 (47.4)</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1.00</w:t>
            </w:r>
          </w:p>
        </w:tc>
      </w:tr>
      <w:tr w:rsidR="0015643E" w:rsidRPr="00260A1D" w:rsidTr="0015643E">
        <w:trPr>
          <w:trHeight w:val="320"/>
        </w:trPr>
        <w:tc>
          <w:tcPr>
            <w:tcW w:w="0" w:type="auto"/>
            <w:tcBorders>
              <w:top w:val="nil"/>
              <w:left w:val="nil"/>
              <w:bottom w:val="nil"/>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VT Prior to CMR, </w:t>
            </w:r>
            <w:proofErr w:type="gramStart"/>
            <w:r w:rsidRPr="00260A1D">
              <w:rPr>
                <w:rFonts w:ascii="Times New Roman" w:hAnsi="Times New Roman" w:cs="Times New Roman"/>
                <w:i/>
                <w:iCs/>
                <w:color w:val="000000"/>
                <w:sz w:val="22"/>
                <w:szCs w:val="22"/>
              </w:rPr>
              <w:t>n(</w:t>
            </w:r>
            <w:proofErr w:type="gramEnd"/>
            <w:r w:rsidRPr="00260A1D">
              <w:rPr>
                <w:rFonts w:ascii="Times New Roman" w:hAnsi="Times New Roman" w:cs="Times New Roman"/>
                <w:i/>
                <w:iCs/>
                <w:color w:val="000000"/>
                <w:sz w:val="22"/>
                <w:szCs w:val="22"/>
              </w:rPr>
              <w:t>%)</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12 (33.3)</w:t>
            </w:r>
          </w:p>
        </w:tc>
        <w:tc>
          <w:tcPr>
            <w:tcW w:w="0" w:type="auto"/>
            <w:tcBorders>
              <w:top w:val="nil"/>
              <w:left w:val="nil"/>
              <w:bottom w:val="nil"/>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9 (47.4)</w:t>
            </w:r>
          </w:p>
        </w:tc>
        <w:tc>
          <w:tcPr>
            <w:tcW w:w="0" w:type="auto"/>
            <w:tcBorders>
              <w:top w:val="nil"/>
              <w:left w:val="nil"/>
              <w:bottom w:val="nil"/>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0.39</w:t>
            </w:r>
          </w:p>
        </w:tc>
      </w:tr>
      <w:tr w:rsidR="0015643E" w:rsidRPr="00260A1D" w:rsidTr="0015643E">
        <w:trPr>
          <w:trHeight w:val="320"/>
        </w:trPr>
        <w:tc>
          <w:tcPr>
            <w:tcW w:w="0" w:type="auto"/>
            <w:tcBorders>
              <w:top w:val="nil"/>
              <w:left w:val="nil"/>
              <w:bottom w:val="single" w:sz="4" w:space="0" w:color="auto"/>
              <w:right w:val="nil"/>
            </w:tcBorders>
            <w:shd w:val="clear" w:color="auto" w:fill="auto"/>
            <w:noWrap/>
            <w:vAlign w:val="center"/>
            <w:hideMark/>
          </w:tcPr>
          <w:p w:rsidR="0015643E" w:rsidRPr="00260A1D" w:rsidRDefault="0015643E" w:rsidP="0015643E">
            <w:pPr>
              <w:rPr>
                <w:rFonts w:ascii="Times New Roman" w:hAnsi="Times New Roman" w:cs="Times New Roman"/>
                <w:color w:val="000000"/>
                <w:sz w:val="22"/>
                <w:szCs w:val="22"/>
              </w:rPr>
            </w:pPr>
            <w:r w:rsidRPr="00260A1D">
              <w:rPr>
                <w:rFonts w:ascii="Times New Roman" w:hAnsi="Times New Roman" w:cs="Times New Roman"/>
                <w:color w:val="000000"/>
                <w:sz w:val="22"/>
                <w:szCs w:val="22"/>
              </w:rPr>
              <w:t xml:space="preserve">VT During Follow-up, </w:t>
            </w:r>
            <w:proofErr w:type="gramStart"/>
            <w:r w:rsidRPr="00260A1D">
              <w:rPr>
                <w:rFonts w:ascii="Times New Roman" w:hAnsi="Times New Roman" w:cs="Times New Roman"/>
                <w:i/>
                <w:iCs/>
                <w:color w:val="000000"/>
                <w:sz w:val="22"/>
                <w:szCs w:val="22"/>
              </w:rPr>
              <w:t>n(</w:t>
            </w:r>
            <w:proofErr w:type="gramEnd"/>
            <w:r w:rsidRPr="00260A1D">
              <w:rPr>
                <w:rFonts w:ascii="Times New Roman" w:hAnsi="Times New Roman" w:cs="Times New Roman"/>
                <w:i/>
                <w:iCs/>
                <w:color w:val="000000"/>
                <w:sz w:val="22"/>
                <w:szCs w:val="22"/>
              </w:rPr>
              <w:t>%)</w:t>
            </w:r>
          </w:p>
        </w:tc>
        <w:tc>
          <w:tcPr>
            <w:tcW w:w="0" w:type="auto"/>
            <w:tcBorders>
              <w:top w:val="nil"/>
              <w:left w:val="nil"/>
              <w:bottom w:val="single" w:sz="4" w:space="0" w:color="auto"/>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15 (41.7)</w:t>
            </w:r>
          </w:p>
        </w:tc>
        <w:tc>
          <w:tcPr>
            <w:tcW w:w="0" w:type="auto"/>
            <w:tcBorders>
              <w:top w:val="nil"/>
              <w:left w:val="nil"/>
              <w:bottom w:val="single" w:sz="4" w:space="0" w:color="auto"/>
              <w:right w:val="nil"/>
            </w:tcBorders>
            <w:vAlign w:val="center"/>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12 (63.2)</w:t>
            </w:r>
          </w:p>
        </w:tc>
        <w:tc>
          <w:tcPr>
            <w:tcW w:w="0" w:type="auto"/>
            <w:tcBorders>
              <w:top w:val="nil"/>
              <w:left w:val="nil"/>
              <w:bottom w:val="single" w:sz="4" w:space="0" w:color="auto"/>
              <w:right w:val="nil"/>
            </w:tcBorders>
            <w:shd w:val="clear" w:color="auto" w:fill="auto"/>
            <w:noWrap/>
            <w:vAlign w:val="center"/>
            <w:hideMark/>
          </w:tcPr>
          <w:p w:rsidR="0015643E" w:rsidRPr="00260A1D" w:rsidRDefault="0015643E" w:rsidP="0015643E">
            <w:pPr>
              <w:jc w:val="center"/>
              <w:rPr>
                <w:rFonts w:ascii="Times New Roman" w:hAnsi="Times New Roman" w:cs="Times New Roman"/>
                <w:color w:val="000000"/>
                <w:sz w:val="22"/>
                <w:szCs w:val="22"/>
              </w:rPr>
            </w:pPr>
            <w:r w:rsidRPr="00260A1D">
              <w:rPr>
                <w:rFonts w:ascii="Times New Roman" w:hAnsi="Times New Roman" w:cs="Times New Roman"/>
                <w:color w:val="000000"/>
                <w:sz w:val="22"/>
                <w:szCs w:val="22"/>
              </w:rPr>
              <w:t>0.16</w:t>
            </w:r>
          </w:p>
        </w:tc>
      </w:tr>
    </w:tbl>
    <w:p w:rsidR="00013FE2" w:rsidRPr="00260A1D" w:rsidRDefault="00013FE2" w:rsidP="00013FE2">
      <w:pPr>
        <w:rPr>
          <w:rFonts w:ascii="Times New Roman" w:hAnsi="Times New Roman" w:cs="Times New Roman"/>
          <w:sz w:val="22"/>
          <w:szCs w:val="22"/>
        </w:rPr>
      </w:pPr>
      <w:r w:rsidRPr="00260A1D">
        <w:rPr>
          <w:rFonts w:ascii="Times New Roman" w:hAnsi="Times New Roman" w:cs="Times New Roman"/>
          <w:sz w:val="22"/>
          <w:szCs w:val="22"/>
        </w:rPr>
        <w:br w:type="page"/>
      </w:r>
    </w:p>
    <w:p w:rsidR="002D4163" w:rsidRPr="00260A1D" w:rsidRDefault="002D4163" w:rsidP="002D4163">
      <w:pPr>
        <w:jc w:val="center"/>
        <w:rPr>
          <w:rFonts w:ascii="Times New Roman" w:hAnsi="Times New Roman" w:cs="Times New Roman"/>
          <w:b/>
          <w:sz w:val="22"/>
          <w:szCs w:val="22"/>
        </w:rPr>
      </w:pPr>
      <w:r w:rsidRPr="00260A1D">
        <w:rPr>
          <w:rFonts w:ascii="Times New Roman" w:hAnsi="Times New Roman" w:cs="Times New Roman"/>
          <w:b/>
          <w:sz w:val="22"/>
          <w:szCs w:val="22"/>
        </w:rPr>
        <w:lastRenderedPageBreak/>
        <w:t>Online Appendix</w:t>
      </w:r>
    </w:p>
    <w:p w:rsidR="002D4163" w:rsidRPr="00260A1D" w:rsidRDefault="002D4163" w:rsidP="002D4163">
      <w:pPr>
        <w:jc w:val="center"/>
        <w:rPr>
          <w:rFonts w:ascii="Times New Roman" w:hAnsi="Times New Roman" w:cs="Times New Roman"/>
          <w:sz w:val="22"/>
          <w:szCs w:val="22"/>
        </w:rPr>
      </w:pPr>
      <w:r w:rsidRPr="00260A1D">
        <w:rPr>
          <w:rFonts w:ascii="Times New Roman" w:hAnsi="Times New Roman" w:cs="Times New Roman"/>
          <w:sz w:val="22"/>
          <w:szCs w:val="22"/>
        </w:rPr>
        <w:t>Figures</w:t>
      </w:r>
    </w:p>
    <w:p w:rsidR="002D4163" w:rsidRPr="00260A1D" w:rsidRDefault="002D4163" w:rsidP="002D4163">
      <w:pPr>
        <w:rPr>
          <w:rFonts w:ascii="Times New Roman" w:hAnsi="Times New Roman" w:cs="Times New Roman"/>
          <w:sz w:val="22"/>
          <w:szCs w:val="22"/>
        </w:rPr>
      </w:pPr>
    </w:p>
    <w:p w:rsidR="002D4163" w:rsidRPr="00260A1D" w:rsidRDefault="00260A1D" w:rsidP="002D4163">
      <w:pPr>
        <w:rPr>
          <w:rFonts w:ascii="Times New Roman" w:hAnsi="Times New Roman" w:cs="Times New Roman"/>
          <w:b/>
          <w:sz w:val="22"/>
          <w:szCs w:val="22"/>
        </w:rPr>
      </w:pPr>
      <w:r w:rsidRPr="00260A1D">
        <w:rPr>
          <w:rFonts w:ascii="Times New Roman" w:hAnsi="Times New Roman" w:cs="Times New Roman"/>
          <w:sz w:val="22"/>
          <w:szCs w:val="22"/>
        </w:rPr>
        <w:t xml:space="preserve">Additional file 1: </w:t>
      </w:r>
      <w:r w:rsidR="002D4163" w:rsidRPr="00260A1D">
        <w:rPr>
          <w:rFonts w:ascii="Times New Roman" w:hAnsi="Times New Roman" w:cs="Times New Roman"/>
          <w:sz w:val="22"/>
          <w:szCs w:val="22"/>
        </w:rPr>
        <w:t xml:space="preserve">Figure </w:t>
      </w:r>
      <w:r w:rsidRPr="00260A1D">
        <w:rPr>
          <w:rFonts w:ascii="Times New Roman" w:hAnsi="Times New Roman" w:cs="Times New Roman"/>
          <w:sz w:val="22"/>
          <w:szCs w:val="22"/>
        </w:rPr>
        <w:t>S</w:t>
      </w:r>
      <w:r w:rsidR="002D4163" w:rsidRPr="00260A1D">
        <w:rPr>
          <w:rFonts w:ascii="Times New Roman" w:hAnsi="Times New Roman" w:cs="Times New Roman"/>
          <w:sz w:val="22"/>
          <w:szCs w:val="22"/>
        </w:rPr>
        <w:t>1- Kaplan-Meier Survival function curve comparing frequency incident life-threatening ventricular arrhythmias in ARVC/D patients with preserved left ventricular EF with and without LV tissue abnormalities on CMR (LGE or fat infiltration). P-value of log-rank test comparing the two curves was 0.08.</w:t>
      </w:r>
    </w:p>
    <w:p w:rsidR="002D4163" w:rsidRPr="00260A1D" w:rsidRDefault="002D4163" w:rsidP="002D4163">
      <w:pPr>
        <w:rPr>
          <w:rFonts w:ascii="Times New Roman" w:hAnsi="Times New Roman" w:cs="Times New Roman"/>
          <w:sz w:val="22"/>
          <w:szCs w:val="22"/>
        </w:rPr>
      </w:pPr>
    </w:p>
    <w:p w:rsidR="002D4163" w:rsidRPr="00260A1D" w:rsidRDefault="002D4163" w:rsidP="002D4163">
      <w:pPr>
        <w:rPr>
          <w:rFonts w:ascii="Times New Roman" w:hAnsi="Times New Roman" w:cs="Times New Roman"/>
          <w:sz w:val="22"/>
          <w:szCs w:val="22"/>
        </w:rPr>
      </w:pPr>
    </w:p>
    <w:p w:rsidR="002D4163" w:rsidRPr="00260A1D" w:rsidRDefault="002D4163" w:rsidP="002D4163">
      <w:pPr>
        <w:rPr>
          <w:rFonts w:ascii="Times New Roman" w:hAnsi="Times New Roman" w:cs="Times New Roman"/>
          <w:sz w:val="22"/>
          <w:szCs w:val="22"/>
        </w:rPr>
      </w:pPr>
      <w:r w:rsidRPr="00260A1D">
        <w:rPr>
          <w:rFonts w:ascii="Times New Roman" w:hAnsi="Times New Roman" w:cs="Times New Roman"/>
          <w:b/>
          <w:noProof/>
          <w:sz w:val="22"/>
          <w:szCs w:val="22"/>
        </w:rPr>
        <w:drawing>
          <wp:inline distT="0" distB="0" distL="0" distR="0" wp14:anchorId="1FB40359" wp14:editId="57F12CDF">
            <wp:extent cx="5731510" cy="4168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M_Supp.tif"/>
                    <pic:cNvPicPr/>
                  </pic:nvPicPr>
                  <pic:blipFill>
                    <a:blip r:embed="rId6">
                      <a:extLst>
                        <a:ext uri="{28A0092B-C50C-407E-A947-70E740481C1C}">
                          <a14:useLocalDpi xmlns:a14="http://schemas.microsoft.com/office/drawing/2010/main" val="0"/>
                        </a:ext>
                      </a:extLst>
                    </a:blip>
                    <a:stretch>
                      <a:fillRect/>
                    </a:stretch>
                  </pic:blipFill>
                  <pic:spPr>
                    <a:xfrm>
                      <a:off x="0" y="0"/>
                      <a:ext cx="5731510" cy="4168140"/>
                    </a:xfrm>
                    <a:prstGeom prst="rect">
                      <a:avLst/>
                    </a:prstGeom>
                  </pic:spPr>
                </pic:pic>
              </a:graphicData>
            </a:graphic>
          </wp:inline>
        </w:drawing>
      </w:r>
    </w:p>
    <w:bookmarkEnd w:id="0"/>
    <w:p w:rsidR="00C639D9" w:rsidRPr="00260A1D" w:rsidRDefault="00C639D9" w:rsidP="00276090">
      <w:pPr>
        <w:rPr>
          <w:rFonts w:ascii="Times New Roman" w:hAnsi="Times New Roman" w:cs="Times New Roman"/>
          <w:sz w:val="22"/>
          <w:szCs w:val="22"/>
        </w:rPr>
      </w:pPr>
    </w:p>
    <w:sectPr w:rsidR="00C639D9" w:rsidRPr="00260A1D" w:rsidSect="00C639D9">
      <w:pgSz w:w="11906" w:h="16838" w:code="9"/>
      <w:pgMar w:top="1440" w:right="846" w:bottom="1440" w:left="97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7F1DF5"/>
    <w:multiLevelType w:val="hybridMultilevel"/>
    <w:tmpl w:val="B77C8B50"/>
    <w:lvl w:ilvl="0" w:tplc="3E280FBA">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55"/>
    <w:rsid w:val="00013FE2"/>
    <w:rsid w:val="000B04D2"/>
    <w:rsid w:val="0015643E"/>
    <w:rsid w:val="001E3FAC"/>
    <w:rsid w:val="00223E15"/>
    <w:rsid w:val="00260A1D"/>
    <w:rsid w:val="00276090"/>
    <w:rsid w:val="002D4163"/>
    <w:rsid w:val="00356FAF"/>
    <w:rsid w:val="004413D5"/>
    <w:rsid w:val="0048116A"/>
    <w:rsid w:val="00494A58"/>
    <w:rsid w:val="005D1EB6"/>
    <w:rsid w:val="00695B6F"/>
    <w:rsid w:val="007E60F8"/>
    <w:rsid w:val="00852E51"/>
    <w:rsid w:val="00864D35"/>
    <w:rsid w:val="00891AEE"/>
    <w:rsid w:val="008C08E5"/>
    <w:rsid w:val="00926CE0"/>
    <w:rsid w:val="009A41E8"/>
    <w:rsid w:val="00B00255"/>
    <w:rsid w:val="00B75C90"/>
    <w:rsid w:val="00C639D9"/>
    <w:rsid w:val="00D1492C"/>
    <w:rsid w:val="00E02102"/>
    <w:rsid w:val="00FE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A251E-0D20-BB49-A4E6-5D910BBC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9D9"/>
    <w:pPr>
      <w:ind w:left="720"/>
      <w:contextualSpacing/>
    </w:pPr>
    <w:rPr>
      <w:rFonts w:ascii="Times New Roman" w:eastAsia="Times New Roman" w:hAnsi="Times New Roman" w:cs="Times New Roman"/>
    </w:rPr>
  </w:style>
  <w:style w:type="table" w:styleId="TableGrid">
    <w:name w:val="Table Grid"/>
    <w:basedOn w:val="TableNormal"/>
    <w:uiPriority w:val="39"/>
    <w:rsid w:val="00C63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206976">
      <w:bodyDiv w:val="1"/>
      <w:marLeft w:val="0"/>
      <w:marRight w:val="0"/>
      <w:marTop w:val="0"/>
      <w:marBottom w:val="0"/>
      <w:divBdr>
        <w:top w:val="none" w:sz="0" w:space="0" w:color="auto"/>
        <w:left w:val="none" w:sz="0" w:space="0" w:color="auto"/>
        <w:bottom w:val="none" w:sz="0" w:space="0" w:color="auto"/>
        <w:right w:val="none" w:sz="0" w:space="0" w:color="auto"/>
      </w:divBdr>
    </w:div>
    <w:div w:id="937757409">
      <w:bodyDiv w:val="1"/>
      <w:marLeft w:val="0"/>
      <w:marRight w:val="0"/>
      <w:marTop w:val="0"/>
      <w:marBottom w:val="0"/>
      <w:divBdr>
        <w:top w:val="none" w:sz="0" w:space="0" w:color="auto"/>
        <w:left w:val="none" w:sz="0" w:space="0" w:color="auto"/>
        <w:bottom w:val="none" w:sz="0" w:space="0" w:color="auto"/>
        <w:right w:val="none" w:sz="0" w:space="0" w:color="auto"/>
      </w:divBdr>
    </w:div>
    <w:div w:id="979924983">
      <w:bodyDiv w:val="1"/>
      <w:marLeft w:val="0"/>
      <w:marRight w:val="0"/>
      <w:marTop w:val="0"/>
      <w:marBottom w:val="0"/>
      <w:divBdr>
        <w:top w:val="none" w:sz="0" w:space="0" w:color="auto"/>
        <w:left w:val="none" w:sz="0" w:space="0" w:color="auto"/>
        <w:bottom w:val="none" w:sz="0" w:space="0" w:color="auto"/>
        <w:right w:val="none" w:sz="0" w:space="0" w:color="auto"/>
      </w:divBdr>
    </w:div>
    <w:div w:id="1082946486">
      <w:bodyDiv w:val="1"/>
      <w:marLeft w:val="0"/>
      <w:marRight w:val="0"/>
      <w:marTop w:val="0"/>
      <w:marBottom w:val="0"/>
      <w:divBdr>
        <w:top w:val="none" w:sz="0" w:space="0" w:color="auto"/>
        <w:left w:val="none" w:sz="0" w:space="0" w:color="auto"/>
        <w:bottom w:val="none" w:sz="0" w:space="0" w:color="auto"/>
        <w:right w:val="none" w:sz="0" w:space="0" w:color="auto"/>
      </w:divBdr>
    </w:div>
    <w:div w:id="1256792652">
      <w:bodyDiv w:val="1"/>
      <w:marLeft w:val="0"/>
      <w:marRight w:val="0"/>
      <w:marTop w:val="0"/>
      <w:marBottom w:val="0"/>
      <w:divBdr>
        <w:top w:val="none" w:sz="0" w:space="0" w:color="auto"/>
        <w:left w:val="none" w:sz="0" w:space="0" w:color="auto"/>
        <w:bottom w:val="none" w:sz="0" w:space="0" w:color="auto"/>
        <w:right w:val="none" w:sz="0" w:space="0" w:color="auto"/>
      </w:divBdr>
    </w:div>
    <w:div w:id="138040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7D734-5598-4BC0-8123-CF0671D4D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8</Pages>
  <Words>5608</Words>
  <Characters>31971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Tarek Zghaib</dc:creator>
  <cp:keywords/>
  <dc:description/>
  <cp:lastModifiedBy>Pavithra K.</cp:lastModifiedBy>
  <cp:revision>23</cp:revision>
  <dcterms:created xsi:type="dcterms:W3CDTF">2019-02-19T01:28:00Z</dcterms:created>
  <dcterms:modified xsi:type="dcterms:W3CDTF">2020-12-18T14:17:00Z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http://www.zotero.org/styles/circulation</vt:lpwstr>
  </property>
  <property fmtid="{D5CDD505-2E9C-101B-9397-08002B2CF9AE}" pid="5" name="Mendeley Recent Style Name 1_1">
    <vt:lpwstr>Circulation</vt:lpwstr>
  </property>
  <property fmtid="{D5CDD505-2E9C-101B-9397-08002B2CF9AE}" pid="6" name="Mendeley Recent Style Id 2_1">
    <vt:lpwstr>http://www.zotero.org/styles/europace</vt:lpwstr>
  </property>
  <property fmtid="{D5CDD505-2E9C-101B-9397-08002B2CF9AE}" pid="7" name="Mendeley Recent Style Name 2_1">
    <vt:lpwstr>Europace</vt:lpwstr>
  </property>
  <property fmtid="{D5CDD505-2E9C-101B-9397-08002B2CF9AE}" pid="8" name="Mendeley Recent Style Id 3_1">
    <vt:lpwstr>http://www.zotero.org/styles/european-heart-journal</vt:lpwstr>
  </property>
  <property fmtid="{D5CDD505-2E9C-101B-9397-08002B2CF9AE}" pid="9" name="Mendeley Recent Style Name 3_1">
    <vt:lpwstr>European Heart Journal</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http://www.zotero.org/styles/journal-of-the-american-college-of-cardiology</vt:lpwstr>
  </property>
  <property fmtid="{D5CDD505-2E9C-101B-9397-08002B2CF9AE}" pid="15" name="Mendeley Recent Style Name 6_1">
    <vt:lpwstr>Journal of the American College of Cardiology</vt:lpwstr>
  </property>
  <property fmtid="{D5CDD505-2E9C-101B-9397-08002B2CF9AE}" pid="16" name="Mendeley Recent Style Id 7_1">
    <vt:lpwstr>http://www.zotero.org/styles/journal-of-the-american-society-of-echocardiography</vt:lpwstr>
  </property>
  <property fmtid="{D5CDD505-2E9C-101B-9397-08002B2CF9AE}" pid="17" name="Mendeley Recent Style Name 7_1">
    <vt:lpwstr>Journal of the American Society of Echocardiography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http://www.zotero.org/styles/the-new-england-journal-of-medicine</vt:lpwstr>
  </property>
  <property fmtid="{D5CDD505-2E9C-101B-9397-08002B2CF9AE}" pid="21" name="Mendeley Recent Style Name 9_1">
    <vt:lpwstr>The New England Journal of Medicine</vt:lpwstr>
  </property>
  <property fmtid="{D5CDD505-2E9C-101B-9397-08002B2CF9AE}" pid="22" name="Mendeley Citation Style_1">
    <vt:lpwstr>http://www.zotero.org/styles/journal-of-the-american-college-of-cardiology</vt:lpwstr>
  </property>
  <property fmtid="{D5CDD505-2E9C-101B-9397-08002B2CF9AE}" pid="23" name="Mendeley Document_1">
    <vt:lpwstr>True</vt:lpwstr>
  </property>
  <property fmtid="{D5CDD505-2E9C-101B-9397-08002B2CF9AE}" pid="24" name="Mendeley Unique User Id_1">
    <vt:lpwstr>66bb5061-e931-373c-a7c7-1e28967a9472</vt:lpwstr>
  </property>
</Properties>
</file>