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C43BA" w14:textId="4C8A6DF5" w:rsidR="009F7A1A" w:rsidRDefault="00274CC0" w:rsidP="00116AB8">
      <w:pPr>
        <w:shd w:val="clear" w:color="auto" w:fill="FFFFFF"/>
        <w:spacing w:line="480" w:lineRule="auto"/>
        <w:rPr>
          <w:b/>
        </w:rPr>
      </w:pPr>
      <w:r>
        <w:rPr>
          <w:b/>
        </w:rPr>
        <w:t xml:space="preserve">ADDITIONAL </w:t>
      </w:r>
      <w:bookmarkStart w:id="0" w:name="_GoBack"/>
      <w:bookmarkEnd w:id="0"/>
      <w:r w:rsidR="009F7A1A">
        <w:rPr>
          <w:b/>
        </w:rPr>
        <w:t>MATERIAL</w:t>
      </w:r>
    </w:p>
    <w:p w14:paraId="5E13EA17" w14:textId="77777777" w:rsidR="009F7A1A" w:rsidRDefault="009F7A1A" w:rsidP="00116AB8">
      <w:pPr>
        <w:shd w:val="clear" w:color="auto" w:fill="FFFFFF"/>
        <w:spacing w:line="480" w:lineRule="auto"/>
        <w:rPr>
          <w:b/>
        </w:rPr>
      </w:pPr>
    </w:p>
    <w:p w14:paraId="34C43AA4" w14:textId="5C077FA6" w:rsidR="00116AB8" w:rsidRPr="00C005A2" w:rsidRDefault="00116AB8" w:rsidP="00116AB8">
      <w:pPr>
        <w:shd w:val="clear" w:color="auto" w:fill="FFFFFF"/>
        <w:spacing w:line="480" w:lineRule="auto"/>
        <w:rPr>
          <w:b/>
        </w:rPr>
      </w:pPr>
      <w:r w:rsidRPr="00C005A2">
        <w:rPr>
          <w:b/>
        </w:rPr>
        <w:t xml:space="preserve">APPENDIX A – Relative pressure estimation by </w:t>
      </w:r>
      <w:r w:rsidRPr="00C005A2">
        <w:rPr>
          <w:b/>
          <w:i/>
        </w:rPr>
        <w:t>v</w:t>
      </w:r>
      <w:r w:rsidRPr="00C005A2">
        <w:rPr>
          <w:b/>
        </w:rPr>
        <w:t>WERP</w:t>
      </w:r>
    </w:p>
    <w:p w14:paraId="06DE3144" w14:textId="77777777" w:rsidR="003A6F94" w:rsidRPr="00C005A2" w:rsidRDefault="003A6F94" w:rsidP="003A6F94">
      <w:pPr>
        <w:spacing w:line="480" w:lineRule="auto"/>
        <w:ind w:firstLine="720"/>
      </w:pPr>
      <w:r w:rsidRPr="00C005A2">
        <w:t>The virtual Work-Energy Relative Pressure (</w:t>
      </w:r>
      <w:r w:rsidRPr="00C005A2">
        <w:rPr>
          <w:i/>
        </w:rPr>
        <w:t>v</w:t>
      </w:r>
      <w:r w:rsidRPr="00C005A2">
        <w:t>WERP) method - utilized to estimate changes in pressure over arbitrary vascular regions - originates from the Navier Stokes equations, defining the relationship between fluid velocity and pressure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530"/>
      </w:tblGrid>
      <w:tr w:rsidR="00C005A2" w:rsidRPr="00C005A2" w14:paraId="06200D15" w14:textId="77777777" w:rsidTr="003A6F94">
        <w:tc>
          <w:tcPr>
            <w:tcW w:w="8046" w:type="dxa"/>
            <w:shd w:val="clear" w:color="auto" w:fill="auto"/>
            <w:vAlign w:val="center"/>
          </w:tcPr>
          <w:p w14:paraId="356E4A8A" w14:textId="7292E7AA" w:rsidR="003A6F94" w:rsidRPr="00C005A2" w:rsidRDefault="003A6F94" w:rsidP="003A6F94">
            <w:pPr>
              <w:spacing w:line="480" w:lineRule="auto"/>
              <w:jc w:val="center"/>
            </w:pPr>
            <m:oMathPara>
              <m:oMath>
                <m:r>
                  <w:rPr>
                    <w:rFonts w:ascii="Cambria Math" w:hAnsi="Cambria Math"/>
                  </w:rPr>
                  <m:t>ρ</m:t>
                </m:r>
                <m:f>
                  <m:fPr>
                    <m:ctrlPr>
                      <w:rPr>
                        <w:rFonts w:ascii="Cambria Math" w:hAnsi="Cambria Math"/>
                      </w:rPr>
                    </m:ctrlPr>
                  </m:fPr>
                  <m:num>
                    <m:r>
                      <w:rPr>
                        <w:rFonts w:ascii="Cambria Math" w:hAnsi="Cambria Math"/>
                      </w:rPr>
                      <m:t>∂</m:t>
                    </m:r>
                  </m:num>
                  <m:den>
                    <m:r>
                      <w:rPr>
                        <w:rFonts w:ascii="Cambria Math" w:hAnsi="Cambria Math"/>
                      </w:rPr>
                      <m:t>∂t</m:t>
                    </m:r>
                  </m:den>
                </m:f>
                <m:r>
                  <m:rPr>
                    <m:sty m:val="bi"/>
                  </m:rPr>
                  <w:rPr>
                    <w:rFonts w:ascii="Cambria Math" w:hAnsi="Cambria Math"/>
                  </w:rPr>
                  <m:t>v+</m:t>
                </m:r>
                <m:r>
                  <w:rPr>
                    <w:rFonts w:ascii="Cambria Math" w:hAnsi="Cambria Math"/>
                  </w:rPr>
                  <m:t>ρ</m:t>
                </m:r>
                <m:r>
                  <m:rPr>
                    <m:sty m:val="bi"/>
                  </m:rPr>
                  <w:rPr>
                    <w:rFonts w:ascii="Cambria Math" w:hAnsi="Cambria Math"/>
                  </w:rPr>
                  <m:t>v</m:t>
                </m:r>
                <m:r>
                  <w:rPr>
                    <w:rFonts w:ascii="Cambria Math" w:hAnsi="Cambria Math"/>
                  </w:rPr>
                  <m:t>⋅</m:t>
                </m:r>
                <m:r>
                  <m:rPr>
                    <m:sty m:val="p"/>
                  </m:rPr>
                  <w:rPr>
                    <w:rFonts w:ascii="Cambria Math" w:hAnsi="Cambria Math"/>
                  </w:rPr>
                  <m:t>∇</m:t>
                </m:r>
                <m:r>
                  <m:rPr>
                    <m:sty m:val="bi"/>
                  </m:rPr>
                  <w:rPr>
                    <w:rFonts w:ascii="Cambria Math" w:hAnsi="Cambria Math"/>
                  </w:rPr>
                  <m:t>v</m:t>
                </m:r>
                <m:r>
                  <w:rPr>
                    <w:rFonts w:ascii="Cambria Math" w:hAnsi="Cambria Math"/>
                  </w:rPr>
                  <m:t>-μ</m:t>
                </m:r>
                <m:sSup>
                  <m:sSupPr>
                    <m:ctrlPr>
                      <w:rPr>
                        <w:rFonts w:ascii="Cambria Math" w:hAnsi="Cambria Math"/>
                        <w:i/>
                      </w:rPr>
                    </m:ctrlPr>
                  </m:sSupPr>
                  <m:e>
                    <m:r>
                      <m:rPr>
                        <m:sty m:val="p"/>
                      </m:rPr>
                      <w:rPr>
                        <w:rFonts w:ascii="Cambria Math" w:hAnsi="Cambria Math"/>
                      </w:rPr>
                      <m:t>∇</m:t>
                    </m:r>
                    <m:ctrlPr>
                      <w:rPr>
                        <w:rFonts w:ascii="Cambria Math" w:hAnsi="Cambria Math"/>
                      </w:rPr>
                    </m:ctrlPr>
                  </m:e>
                  <m:sup>
                    <m:r>
                      <w:rPr>
                        <w:rFonts w:ascii="Cambria Math" w:hAnsi="Cambria Math"/>
                      </w:rPr>
                      <m:t>2</m:t>
                    </m:r>
                  </m:sup>
                </m:sSup>
                <m:r>
                  <m:rPr>
                    <m:sty m:val="bi"/>
                  </m:rPr>
                  <w:rPr>
                    <w:rFonts w:ascii="Cambria Math" w:hAnsi="Cambria Math"/>
                  </w:rPr>
                  <m:t>v</m:t>
                </m:r>
                <m:r>
                  <w:rPr>
                    <w:rFonts w:ascii="Cambria Math" w:hAnsi="Cambria Math"/>
                  </w:rPr>
                  <m:t>+</m:t>
                </m:r>
                <m:r>
                  <m:rPr>
                    <m:sty m:val="p"/>
                  </m:rPr>
                  <w:rPr>
                    <w:rFonts w:ascii="Cambria Math" w:hAnsi="Cambria Math"/>
                  </w:rPr>
                  <m:t>∇</m:t>
                </m:r>
                <m:r>
                  <w:rPr>
                    <w:rFonts w:ascii="Cambria Math" w:hAnsi="Cambria Math"/>
                  </w:rPr>
                  <m:t>p=0</m:t>
                </m:r>
              </m:oMath>
            </m:oMathPara>
          </w:p>
        </w:tc>
        <w:tc>
          <w:tcPr>
            <w:tcW w:w="1530" w:type="dxa"/>
            <w:shd w:val="clear" w:color="auto" w:fill="auto"/>
            <w:vAlign w:val="center"/>
          </w:tcPr>
          <w:p w14:paraId="632E6686" w14:textId="2D7FD652" w:rsidR="003A6F94" w:rsidRPr="00C005A2" w:rsidRDefault="003A6F94" w:rsidP="003A6F94">
            <w:pPr>
              <w:spacing w:line="480" w:lineRule="auto"/>
              <w:jc w:val="center"/>
            </w:pPr>
            <w:r w:rsidRPr="00C005A2">
              <w:t>(1)</w:t>
            </w:r>
          </w:p>
        </w:tc>
      </w:tr>
      <w:tr w:rsidR="003A6F94" w:rsidRPr="00C005A2" w14:paraId="28954F03" w14:textId="77777777" w:rsidTr="003A6F94">
        <w:tc>
          <w:tcPr>
            <w:tcW w:w="8046" w:type="dxa"/>
            <w:shd w:val="clear" w:color="auto" w:fill="auto"/>
            <w:vAlign w:val="center"/>
          </w:tcPr>
          <w:p w14:paraId="16A28F69" w14:textId="3E3E3767" w:rsidR="003A6F94" w:rsidRPr="00C005A2" w:rsidRDefault="003A6F94" w:rsidP="003A6F94">
            <w:pPr>
              <w:spacing w:line="480" w:lineRule="auto"/>
              <w:jc w:val="center"/>
            </w:pPr>
            <m:oMathPara>
              <m:oMath>
                <m:r>
                  <m:rPr>
                    <m:sty m:val="p"/>
                  </m:rPr>
                  <w:rPr>
                    <w:rFonts w:ascii="Cambria Math" w:hAnsi="Cambria Math"/>
                  </w:rPr>
                  <m:t>∇</m:t>
                </m:r>
                <m:r>
                  <w:rPr>
                    <w:rFonts w:ascii="Cambria Math" w:hAnsi="Cambria Math"/>
                  </w:rPr>
                  <m:t>⋅</m:t>
                </m:r>
                <m:r>
                  <m:rPr>
                    <m:sty m:val="bi"/>
                  </m:rPr>
                  <w:rPr>
                    <w:rFonts w:ascii="Cambria Math" w:hAnsi="Cambria Math"/>
                  </w:rPr>
                  <m:t>v</m:t>
                </m:r>
                <m:r>
                  <w:rPr>
                    <w:rFonts w:ascii="Cambria Math" w:hAnsi="Cambria Math"/>
                  </w:rPr>
                  <m:t>=0</m:t>
                </m:r>
              </m:oMath>
            </m:oMathPara>
          </w:p>
        </w:tc>
        <w:tc>
          <w:tcPr>
            <w:tcW w:w="1530" w:type="dxa"/>
            <w:shd w:val="clear" w:color="auto" w:fill="auto"/>
            <w:vAlign w:val="center"/>
          </w:tcPr>
          <w:p w14:paraId="75646C22" w14:textId="0E892A2F" w:rsidR="003A6F94" w:rsidRPr="00C005A2" w:rsidRDefault="003A6F94" w:rsidP="003A6F94">
            <w:pPr>
              <w:spacing w:line="480" w:lineRule="auto"/>
              <w:jc w:val="center"/>
            </w:pPr>
            <w:r w:rsidRPr="00C005A2">
              <w:t>(2)</w:t>
            </w:r>
          </w:p>
        </w:tc>
      </w:tr>
    </w:tbl>
    <w:p w14:paraId="1DC3DEA7" w14:textId="77777777" w:rsidR="00116AB8" w:rsidRPr="00C005A2" w:rsidRDefault="00116AB8" w:rsidP="00116AB8">
      <w:pPr>
        <w:shd w:val="clear" w:color="auto" w:fill="FFFFFF"/>
        <w:spacing w:line="480" w:lineRule="auto"/>
        <w:rPr>
          <w:b/>
        </w:rPr>
      </w:pPr>
    </w:p>
    <w:p w14:paraId="3814D15D" w14:textId="4E423780" w:rsidR="003A6F94" w:rsidRPr="00C005A2" w:rsidRDefault="003A6F94" w:rsidP="003A6F94">
      <w:pPr>
        <w:spacing w:line="480" w:lineRule="auto"/>
      </w:pPr>
      <w:r w:rsidRPr="00C005A2">
        <w:t xml:space="preserve">with </w:t>
      </w:r>
      <m:oMath>
        <m:r>
          <m:rPr>
            <m:sty m:val="bi"/>
          </m:rPr>
          <w:rPr>
            <w:rFonts w:ascii="Cambria Math" w:hAnsi="Cambria Math"/>
          </w:rPr>
          <m:t>v</m:t>
        </m:r>
      </m:oMath>
      <w:r w:rsidRPr="00C005A2">
        <w:rPr>
          <w:b/>
        </w:rPr>
        <w:t xml:space="preserve"> </w:t>
      </w:r>
      <w:r w:rsidRPr="00C005A2">
        <w:t xml:space="preserve">being velocity, </w:t>
      </w:r>
      <m:oMath>
        <m:r>
          <w:rPr>
            <w:rFonts w:ascii="Cambria Math" w:hAnsi="Cambria Math"/>
          </w:rPr>
          <m:t>p</m:t>
        </m:r>
      </m:oMath>
      <w:r w:rsidRPr="00C005A2">
        <w:t xml:space="preserve"> pressure, </w:t>
      </w:r>
      <m:oMath>
        <m:r>
          <w:rPr>
            <w:rFonts w:ascii="Cambria Math" w:hAnsi="Cambria Math"/>
          </w:rPr>
          <m:t>ρ</m:t>
        </m:r>
      </m:oMath>
      <w:r w:rsidRPr="00C005A2">
        <w:t xml:space="preserve"> fluid density, and </w:t>
      </w:r>
      <m:oMath>
        <m:r>
          <w:rPr>
            <w:rFonts w:ascii="Cambria Math" w:hAnsi="Cambria Math"/>
          </w:rPr>
          <m:t>μ</m:t>
        </m:r>
      </m:oMath>
      <w:r w:rsidRPr="00C005A2">
        <w:t xml:space="preserve"> dynamic viscosity. As derived in previous work </w:t>
      </w:r>
      <w:r w:rsidRPr="00C005A2">
        <w:fldChar w:fldCharType="begin"/>
      </w:r>
      <w:r w:rsidRPr="00C005A2">
        <w:instrText xml:space="preserve"> ADDIN EN.CITE &lt;EndNote&gt;&lt;Cite&gt;&lt;Author&gt;Marlevi&lt;/Author&gt;&lt;Year&gt;2019&lt;/Year&gt;&lt;RecNum&gt;474&lt;/RecNum&gt;&lt;DisplayText&gt;(25)&lt;/DisplayText&gt;&lt;record&gt;&lt;rec-number&gt;474&lt;/rec-number&gt;&lt;foreign-keys&gt;&lt;key app="EN" db-id="d0xs5w9akzwzz3e2rd552edce2v2pfdf990s" timestamp="1559844903"&gt;474&lt;/key&gt;&lt;/foreign-keys&gt;&lt;ref-type name="Journal Article"&gt;17&lt;/ref-type&gt;&lt;contributors&gt;&lt;authors&gt;&lt;author&gt;Marlevi, David&lt;/author&gt;&lt;author&gt;Ruijsink, Bram&lt;/author&gt;&lt;author&gt;Balmus, Maximilian&lt;/author&gt;&lt;author&gt;Dillon-Murphy, Desmond&lt;/author&gt;&lt;author&gt;Fovargue, Daniel&lt;/author&gt;&lt;author&gt;Pushparajah, Kuberan&lt;/author&gt;&lt;author&gt;Bertoglio, Cristóbal&lt;/author&gt;&lt;author&gt;Colarieti-Tosti, Massimiliano&lt;/author&gt;&lt;author&gt;Larsson, Matilda&lt;/author&gt;&lt;author&gt;Lamata, Pablo&lt;/author&gt;&lt;author&gt;Figueroa, C Alberto&lt;/author&gt;&lt;author&gt;Razavi, Reza&lt;/author&gt;&lt;author&gt;Nordsletten, D&lt;/author&gt;&lt;/authors&gt;&lt;/contributors&gt;&lt;titles&gt;&lt;title&gt;Estimation of Cardiovascular Relative Pressure Using Virtual Work-Energy&lt;/title&gt;&lt;secondary-title&gt;Scientific reports&lt;/secondary-title&gt;&lt;/titles&gt;&lt;periodical&gt;&lt;full-title&gt;Scientific Reports&lt;/full-title&gt;&lt;abbr-1&gt;Sci. Rep.&lt;/abbr-1&gt;&lt;abbr-2&gt;Sci Rep&lt;/abbr-2&gt;&lt;/periodical&gt;&lt;pages&gt;1375&lt;/pages&gt;&lt;volume&gt;9&lt;/volume&gt;&lt;number&gt;1&lt;/number&gt;&lt;dates&gt;&lt;year&gt;2019&lt;/year&gt;&lt;/dates&gt;&lt;isbn&gt;2045-2322&lt;/isbn&gt;&lt;urls&gt;&lt;/urls&gt;&lt;/record&gt;&lt;/Cite&gt;&lt;/EndNote&gt;</w:instrText>
      </w:r>
      <w:r w:rsidRPr="00C005A2">
        <w:fldChar w:fldCharType="separate"/>
      </w:r>
      <w:r w:rsidRPr="00C005A2">
        <w:rPr>
          <w:noProof/>
        </w:rPr>
        <w:t>(25)</w:t>
      </w:r>
      <w:r w:rsidRPr="00C005A2">
        <w:fldChar w:fldCharType="end"/>
      </w:r>
      <w:r w:rsidRPr="00C005A2">
        <w:t xml:space="preserve">, a </w:t>
      </w:r>
      <w:r w:rsidRPr="00C005A2">
        <w:rPr>
          <w:i/>
        </w:rPr>
        <w:t>virtual</w:t>
      </w:r>
      <w:r w:rsidRPr="00C005A2">
        <w:t xml:space="preserve"> work-energy form can then be reached by multiplying  Eq. (1) with an introduced, auxiliary virtual field </w:t>
      </w:r>
      <m:oMath>
        <m:r>
          <m:rPr>
            <m:sty m:val="bi"/>
          </m:rPr>
          <w:rPr>
            <w:rFonts w:ascii="Cambria Math" w:hAnsi="Cambria Math"/>
          </w:rPr>
          <m:t>w</m:t>
        </m:r>
      </m:oMath>
      <w:r w:rsidRPr="00C005A2">
        <w:t xml:space="preserve">, and evaluating each resulting term over the vascular section of interest </w:t>
      </w:r>
      <m:oMath>
        <m:r>
          <m:rPr>
            <m:sty m:val="p"/>
          </m:rPr>
          <w:rPr>
            <w:rFonts w:ascii="Cambria Math" w:hAnsi="Cambria Math"/>
          </w:rPr>
          <m:t>Ω</m:t>
        </m:r>
      </m:oMath>
      <w:r w:rsidRPr="00C005A2">
        <w:t xml:space="preserve"> with inlet plane </w:t>
      </w:r>
      <m:oMath>
        <m:sSub>
          <m:sSubPr>
            <m:ctrlPr>
              <w:rPr>
                <w:rFonts w:ascii="Cambria Math" w:hAnsi="Cambria Math"/>
              </w:rPr>
            </m:ctrlPr>
          </m:sSubPr>
          <m:e>
            <m:r>
              <m:rPr>
                <m:sty m:val="p"/>
              </m:rPr>
              <w:rPr>
                <w:rFonts w:ascii="Cambria Math" w:hAnsi="Cambria Math"/>
              </w:rPr>
              <m:t>Γ</m:t>
            </m:r>
          </m:e>
          <m:sub>
            <m:r>
              <m:rPr>
                <m:sty m:val="p"/>
              </m:rPr>
              <w:rPr>
                <w:rFonts w:ascii="Cambria Math" w:hAnsi="Cambria Math"/>
              </w:rPr>
              <m:t xml:space="preserve">i </m:t>
            </m:r>
          </m:sub>
        </m:sSub>
      </m:oMath>
      <w:r w:rsidRPr="00C005A2">
        <w:t xml:space="preserve"> and outlet plane </w:t>
      </w:r>
      <m:oMath>
        <m:sSub>
          <m:sSubPr>
            <m:ctrlPr>
              <w:rPr>
                <w:rFonts w:ascii="Cambria Math" w:hAnsi="Cambria Math"/>
              </w:rPr>
            </m:ctrlPr>
          </m:sSubPr>
          <m:e>
            <m:r>
              <m:rPr>
                <m:sty m:val="p"/>
              </m:rPr>
              <w:rPr>
                <w:rFonts w:ascii="Cambria Math" w:hAnsi="Cambria Math"/>
              </w:rPr>
              <m:t>Γ</m:t>
            </m:r>
          </m:e>
          <m:sub>
            <m:r>
              <m:rPr>
                <m:sty m:val="p"/>
              </m:rPr>
              <w:rPr>
                <w:rFonts w:ascii="Cambria Math" w:hAnsi="Cambria Math"/>
              </w:rPr>
              <m:t>o</m:t>
            </m:r>
          </m:sub>
        </m:sSub>
      </m:oMath>
      <w:r w:rsidRPr="00C005A2">
        <w:t xml:space="preserve">. The final </w:t>
      </w:r>
      <w:r w:rsidRPr="00C005A2">
        <w:rPr>
          <w:i/>
        </w:rPr>
        <w:t>v</w:t>
      </w:r>
      <w:r w:rsidRPr="00C005A2">
        <w:t xml:space="preserve">WERP form for estimating relative pressure </w:t>
      </w:r>
      <m:oMath>
        <m:r>
          <m:rPr>
            <m:sty m:val="p"/>
          </m:rPr>
          <w:rPr>
            <w:rFonts w:ascii="Cambria Math" w:hAnsi="Cambria Math"/>
          </w:rPr>
          <m:t>Δ</m:t>
        </m:r>
        <m:r>
          <w:rPr>
            <w:rFonts w:ascii="Cambria Math" w:hAnsi="Cambria Math"/>
          </w:rPr>
          <m:t>p</m:t>
        </m:r>
      </m:oMath>
      <w:r w:rsidRPr="00C005A2">
        <w:t xml:space="preserve"> then takes on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530"/>
      </w:tblGrid>
      <w:tr w:rsidR="00C005A2" w:rsidRPr="00C005A2" w14:paraId="091A0832" w14:textId="77777777" w:rsidTr="006138CC">
        <w:tc>
          <w:tcPr>
            <w:tcW w:w="8046" w:type="dxa"/>
            <w:shd w:val="clear" w:color="auto" w:fill="auto"/>
            <w:vAlign w:val="center"/>
          </w:tcPr>
          <w:p w14:paraId="3ACE169A" w14:textId="22C7D2A5" w:rsidR="003A6F94" w:rsidRPr="00C005A2" w:rsidRDefault="003A6F94" w:rsidP="003A6F94">
            <w:pPr>
              <w:spacing w:line="480" w:lineRule="auto"/>
              <w:jc w:val="center"/>
            </w:pPr>
            <m:oMathPara>
              <m:oMath>
                <m:r>
                  <m:rPr>
                    <m:sty m:val="p"/>
                  </m:rPr>
                  <w:rPr>
                    <w:rFonts w:ascii="Cambria Math" w:hAnsi="Cambria Math"/>
                  </w:rPr>
                  <m:t>Δ</m:t>
                </m:r>
                <m:r>
                  <w:rPr>
                    <w:rFonts w:ascii="Cambria Math" w:hAnsi="Cambria Math"/>
                  </w:rPr>
                  <m:t>p= -</m:t>
                </m:r>
                <m:f>
                  <m:fPr>
                    <m:ctrlPr>
                      <w:rPr>
                        <w:rFonts w:ascii="Cambria Math" w:hAnsi="Cambria Math"/>
                      </w:rPr>
                    </m:ctrlPr>
                  </m:fPr>
                  <m:num>
                    <m:r>
                      <w:rPr>
                        <w:rFonts w:ascii="Cambria Math" w:hAnsi="Cambria Math"/>
                      </w:rPr>
                      <m:t>1</m:t>
                    </m:r>
                  </m:num>
                  <m:den>
                    <m:sSub>
                      <m:sSubPr>
                        <m:ctrlPr>
                          <w:rPr>
                            <w:rFonts w:ascii="Cambria Math" w:hAnsi="Cambria Math"/>
                            <w:i/>
                            <w:iCs/>
                          </w:rPr>
                        </m:ctrlPr>
                      </m:sSubPr>
                      <m:e>
                        <m:r>
                          <w:rPr>
                            <w:rFonts w:ascii="Cambria Math" w:hAnsi="Cambria Math"/>
                          </w:rPr>
                          <m:t>Q</m:t>
                        </m:r>
                      </m:e>
                      <m:sub>
                        <m:r>
                          <w:rPr>
                            <w:rFonts w:ascii="Cambria Math" w:hAnsi="Cambria Math"/>
                          </w:rPr>
                          <m:t>e</m:t>
                        </m:r>
                      </m:sub>
                    </m:sSub>
                  </m:den>
                </m:f>
                <m:d>
                  <m:dPr>
                    <m:ctrlPr>
                      <w:rPr>
                        <w:rFonts w:ascii="Cambria Math" w:hAnsi="Cambria Math"/>
                        <w:b/>
                        <w:i/>
                      </w:rPr>
                    </m:ctrlPr>
                  </m:dPr>
                  <m:e>
                    <m:f>
                      <m:fPr>
                        <m:ctrlPr>
                          <w:rPr>
                            <w:rFonts w:ascii="Cambria Math" w:hAnsi="Cambria Math"/>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e</m:t>
                        </m:r>
                      </m:sub>
                    </m:sSub>
                  </m:e>
                </m:d>
              </m:oMath>
            </m:oMathPara>
          </w:p>
        </w:tc>
        <w:tc>
          <w:tcPr>
            <w:tcW w:w="1530" w:type="dxa"/>
            <w:shd w:val="clear" w:color="auto" w:fill="auto"/>
            <w:vAlign w:val="center"/>
          </w:tcPr>
          <w:p w14:paraId="0F45F022" w14:textId="32855B67" w:rsidR="003A6F94" w:rsidRPr="00C005A2" w:rsidRDefault="003A6F94" w:rsidP="003A6F94">
            <w:pPr>
              <w:spacing w:line="480" w:lineRule="auto"/>
              <w:jc w:val="center"/>
            </w:pPr>
            <w:r w:rsidRPr="00C005A2">
              <w:t>(3)</w:t>
            </w:r>
          </w:p>
        </w:tc>
      </w:tr>
    </w:tbl>
    <w:p w14:paraId="7A73F127" w14:textId="1B60E3AE" w:rsidR="003A6F94" w:rsidRPr="00C005A2" w:rsidRDefault="003A6F94" w:rsidP="003A6F94">
      <w:pPr>
        <w:spacing w:line="480" w:lineRule="auto"/>
      </w:pPr>
      <w:r w:rsidRPr="00C005A2">
        <w:t xml:space="preserve">with each entry in (3) representing a </w:t>
      </w:r>
      <w:r w:rsidRPr="00C005A2">
        <w:rPr>
          <w:i/>
        </w:rPr>
        <w:t>virtual</w:t>
      </w:r>
      <w:r w:rsidRPr="00C005A2">
        <w:t xml:space="preserve"> energy component relating to both </w:t>
      </w:r>
      <m:oMath>
        <m:r>
          <m:rPr>
            <m:sty m:val="bi"/>
          </m:rPr>
          <w:rPr>
            <w:rFonts w:ascii="Cambria Math" w:hAnsi="Cambria Math"/>
          </w:rPr>
          <m:t>w</m:t>
        </m:r>
      </m:oMath>
      <w:r w:rsidRPr="00C005A2">
        <w:rPr>
          <w:b/>
        </w:rPr>
        <w:t xml:space="preserve"> </w:t>
      </w:r>
      <w:r w:rsidRPr="00C005A2">
        <w:t xml:space="preserve">and </w:t>
      </w:r>
      <m:oMath>
        <m:r>
          <m:rPr>
            <m:sty m:val="bi"/>
          </m:rPr>
          <w:rPr>
            <w:rFonts w:ascii="Cambria Math" w:hAnsi="Cambria Math"/>
          </w:rPr>
          <m:t>v</m:t>
        </m:r>
      </m:oMath>
      <w:r w:rsidRPr="00C005A2">
        <w:rPr>
          <w:b/>
        </w:rPr>
        <w:t xml:space="preserve"> </w:t>
      </w:r>
      <w:r w:rsidRPr="00C005A2">
        <w: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530"/>
      </w:tblGrid>
      <w:tr w:rsidR="00C005A2" w:rsidRPr="00C005A2" w14:paraId="1D22BD50" w14:textId="77777777" w:rsidTr="006138CC">
        <w:tc>
          <w:tcPr>
            <w:tcW w:w="8046" w:type="dxa"/>
            <w:shd w:val="clear" w:color="auto" w:fill="auto"/>
            <w:vAlign w:val="center"/>
          </w:tcPr>
          <w:p w14:paraId="5F19D91B" w14:textId="57155547" w:rsidR="003A6F94" w:rsidRPr="00C005A2" w:rsidRDefault="001B0837" w:rsidP="003A6F94">
            <w:pPr>
              <w:spacing w:line="480" w:lineRule="auto"/>
              <w:jc w:val="center"/>
            </w:pPr>
            <m:oMathPara>
              <m:oMath>
                <m:f>
                  <m:fPr>
                    <m:ctrlPr>
                      <w:rPr>
                        <w:rFonts w:ascii="Cambria Math" w:hAnsi="Cambria Math"/>
                      </w:rPr>
                    </m:ctrlPr>
                  </m:fPr>
                  <m:num>
                    <m:r>
                      <w:rPr>
                        <w:rFonts w:ascii="Cambria Math" w:hAnsi="Cambria Math"/>
                      </w:rPr>
                      <m:t>∂</m:t>
                    </m:r>
                  </m:num>
                  <m:den>
                    <m:r>
                      <w:rPr>
                        <w:rFonts w:ascii="Cambria Math" w:hAnsi="Cambria Math"/>
                      </w:rPr>
                      <m:t>∂t</m:t>
                    </m:r>
                  </m:den>
                </m:f>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=ρ</m:t>
                </m:r>
                <m:nary>
                  <m:naryPr>
                    <m:limLoc m:val="undOvr"/>
                    <m:ctrlPr>
                      <w:rPr>
                        <w:rFonts w:ascii="Cambria Math" w:hAnsi="Cambria Math"/>
                        <w:i/>
                      </w:rPr>
                    </m:ctrlPr>
                  </m:naryPr>
                  <m:sub>
                    <m:r>
                      <m:rPr>
                        <m:sty m:val="p"/>
                      </m:rPr>
                      <w:rPr>
                        <w:rFonts w:ascii="Cambria Math" w:hAnsi="Cambria Math"/>
                      </w:rPr>
                      <m:t>Ω</m:t>
                    </m:r>
                  </m:sub>
                  <m:sup/>
                  <m:e>
                    <m:f>
                      <m:fPr>
                        <m:ctrlPr>
                          <w:rPr>
                            <w:rFonts w:ascii="Cambria Math" w:hAnsi="Cambria Math"/>
                            <w:i/>
                          </w:rPr>
                        </m:ctrlPr>
                      </m:fPr>
                      <m:num>
                        <m:r>
                          <w:rPr>
                            <w:rFonts w:ascii="Cambria Math" w:hAnsi="Cambria Math"/>
                          </w:rPr>
                          <m:t>∂</m:t>
                        </m:r>
                        <m:r>
                          <m:rPr>
                            <m:sty m:val="bi"/>
                          </m:rPr>
                          <w:rPr>
                            <w:rFonts w:ascii="Cambria Math" w:hAnsi="Cambria Math"/>
                          </w:rPr>
                          <m:t>v</m:t>
                        </m:r>
                      </m:num>
                      <m:den>
                        <m:r>
                          <w:rPr>
                            <w:rFonts w:ascii="Cambria Math" w:hAnsi="Cambria Math"/>
                          </w:rPr>
                          <m:t>∂t</m:t>
                        </m:r>
                      </m:den>
                    </m:f>
                    <m:r>
                      <w:rPr>
                        <w:rFonts w:ascii="Cambria Math" w:hAnsi="Cambria Math"/>
                      </w:rPr>
                      <m:t>⋅</m:t>
                    </m:r>
                    <m:r>
                      <m:rPr>
                        <m:sty m:val="bi"/>
                      </m:rPr>
                      <w:rPr>
                        <w:rFonts w:ascii="Cambria Math" w:hAnsi="Cambria Math"/>
                      </w:rPr>
                      <m:t xml:space="preserve">w </m:t>
                    </m:r>
                    <m:r>
                      <w:rPr>
                        <w:rFonts w:ascii="Cambria Math" w:hAnsi="Cambria Math"/>
                      </w:rPr>
                      <m:t>d</m:t>
                    </m:r>
                    <m:r>
                      <m:rPr>
                        <m:sty m:val="p"/>
                      </m:rPr>
                      <w:rPr>
                        <w:rFonts w:ascii="Cambria Math" w:hAnsi="Cambria Math"/>
                      </w:rPr>
                      <m:t>Ω</m:t>
                    </m:r>
                  </m:e>
                </m:nary>
              </m:oMath>
            </m:oMathPara>
          </w:p>
        </w:tc>
        <w:tc>
          <w:tcPr>
            <w:tcW w:w="1530" w:type="dxa"/>
            <w:shd w:val="clear" w:color="auto" w:fill="auto"/>
            <w:vAlign w:val="center"/>
          </w:tcPr>
          <w:p w14:paraId="7DAAD10C" w14:textId="7C8C6F56" w:rsidR="003A6F94" w:rsidRPr="00C005A2" w:rsidRDefault="003A6F94" w:rsidP="003A6F94">
            <w:pPr>
              <w:spacing w:line="480" w:lineRule="auto"/>
              <w:jc w:val="center"/>
            </w:pPr>
            <w:r w:rsidRPr="00C005A2">
              <w:t>(4)</w:t>
            </w:r>
          </w:p>
        </w:tc>
      </w:tr>
      <w:tr w:rsidR="00C005A2" w:rsidRPr="00C005A2" w14:paraId="4DB16F71" w14:textId="77777777" w:rsidTr="006138CC">
        <w:tc>
          <w:tcPr>
            <w:tcW w:w="8046" w:type="dxa"/>
            <w:shd w:val="clear" w:color="auto" w:fill="auto"/>
            <w:vAlign w:val="center"/>
          </w:tcPr>
          <w:p w14:paraId="58C55497" w14:textId="1B354A6D" w:rsidR="003A6F94" w:rsidRPr="00C005A2" w:rsidRDefault="001B0837" w:rsidP="003A6F94">
            <w:pPr>
              <w:spacing w:line="480" w:lineRule="auto"/>
              <w:jc w:val="center"/>
            </w:pPr>
            <m:oMathPara>
              <m:oMath>
                <m:sSub>
                  <m:sSubPr>
                    <m:ctrlPr>
                      <w:rPr>
                        <w:rFonts w:ascii="Cambria Math" w:hAnsi="Cambria Math"/>
                        <w:i/>
                        <w:iCs/>
                      </w:rPr>
                    </m:ctrlPr>
                  </m:sSubPr>
                  <m:e>
                    <m:r>
                      <w:rPr>
                        <w:rFonts w:ascii="Cambria Math" w:hAnsi="Cambria Math"/>
                      </w:rPr>
                      <m:t>A</m:t>
                    </m:r>
                  </m:e>
                  <m:sub>
                    <m:r>
                      <w:rPr>
                        <w:rFonts w:ascii="Cambria Math" w:hAnsi="Cambria Math"/>
                      </w:rPr>
                      <m:t>e</m:t>
                    </m:r>
                  </m:sub>
                </m:sSub>
                <m:r>
                  <w:rPr>
                    <w:rFonts w:ascii="Cambria Math" w:hAnsi="Cambria Math"/>
                  </w:rPr>
                  <m:t>= ρ</m:t>
                </m:r>
                <m:nary>
                  <m:naryPr>
                    <m:limLoc m:val="undOvr"/>
                    <m:ctrlPr>
                      <w:rPr>
                        <w:rFonts w:ascii="Cambria Math" w:hAnsi="Cambria Math"/>
                        <w:i/>
                      </w:rPr>
                    </m:ctrlPr>
                  </m:naryPr>
                  <m:sub>
                    <m:r>
                      <m:rPr>
                        <m:sty m:val="p"/>
                      </m:rPr>
                      <w:rPr>
                        <w:rFonts w:ascii="Cambria Math" w:hAnsi="Cambria Math"/>
                      </w:rPr>
                      <m:t>Ω</m:t>
                    </m:r>
                  </m:sub>
                  <m:sup/>
                  <m:e>
                    <m:d>
                      <m:dPr>
                        <m:ctrlPr>
                          <w:rPr>
                            <w:rFonts w:ascii="Cambria Math" w:hAnsi="Cambria Math"/>
                            <w:i/>
                          </w:rPr>
                        </m:ctrlPr>
                      </m:dPr>
                      <m:e>
                        <m:r>
                          <m:rPr>
                            <m:sty m:val="bi"/>
                          </m:rPr>
                          <w:rPr>
                            <w:rFonts w:ascii="Cambria Math" w:hAnsi="Cambria Math"/>
                          </w:rPr>
                          <m:t>v</m:t>
                        </m:r>
                        <m:r>
                          <w:rPr>
                            <w:rFonts w:ascii="Cambria Math" w:hAnsi="Cambria Math"/>
                          </w:rPr>
                          <m:t>⋅</m:t>
                        </m:r>
                        <m:r>
                          <m:rPr>
                            <m:sty m:val="p"/>
                          </m:rPr>
                          <w:rPr>
                            <w:rFonts w:ascii="Cambria Math" w:hAnsi="Cambria Math"/>
                          </w:rPr>
                          <m:t>∇</m:t>
                        </m:r>
                        <m:r>
                          <m:rPr>
                            <m:sty m:val="bi"/>
                          </m:rPr>
                          <w:rPr>
                            <w:rFonts w:ascii="Cambria Math" w:hAnsi="Cambria Math"/>
                          </w:rPr>
                          <m:t>v</m:t>
                        </m:r>
                      </m:e>
                    </m:d>
                    <m:r>
                      <w:rPr>
                        <w:rFonts w:ascii="Cambria Math" w:hAnsi="Cambria Math"/>
                      </w:rPr>
                      <m:t>⋅</m:t>
                    </m:r>
                    <m:r>
                      <m:rPr>
                        <m:sty m:val="bi"/>
                      </m:rPr>
                      <w:rPr>
                        <w:rFonts w:ascii="Cambria Math" w:hAnsi="Cambria Math"/>
                      </w:rPr>
                      <m:t xml:space="preserve">w </m:t>
                    </m:r>
                    <m:r>
                      <w:rPr>
                        <w:rFonts w:ascii="Cambria Math" w:hAnsi="Cambria Math"/>
                      </w:rPr>
                      <m:t>d</m:t>
                    </m:r>
                    <m:r>
                      <m:rPr>
                        <m:sty m:val="p"/>
                      </m:rPr>
                      <w:rPr>
                        <w:rFonts w:ascii="Cambria Math" w:hAnsi="Cambria Math"/>
                      </w:rPr>
                      <m:t>Ω</m:t>
                    </m:r>
                  </m:e>
                </m:nary>
              </m:oMath>
            </m:oMathPara>
          </w:p>
        </w:tc>
        <w:tc>
          <w:tcPr>
            <w:tcW w:w="1530" w:type="dxa"/>
            <w:shd w:val="clear" w:color="auto" w:fill="auto"/>
            <w:vAlign w:val="center"/>
          </w:tcPr>
          <w:p w14:paraId="254B1D58" w14:textId="6845ADBF" w:rsidR="003A6F94" w:rsidRPr="00C005A2" w:rsidRDefault="003A6F94" w:rsidP="003A6F94">
            <w:pPr>
              <w:spacing w:line="480" w:lineRule="auto"/>
              <w:jc w:val="center"/>
            </w:pPr>
            <w:r w:rsidRPr="00C005A2">
              <w:t>(5)</w:t>
            </w:r>
          </w:p>
        </w:tc>
      </w:tr>
      <w:tr w:rsidR="00C005A2" w:rsidRPr="00C005A2" w14:paraId="5A4F9803" w14:textId="77777777" w:rsidTr="006138CC">
        <w:tc>
          <w:tcPr>
            <w:tcW w:w="8046" w:type="dxa"/>
            <w:shd w:val="clear" w:color="auto" w:fill="auto"/>
            <w:vAlign w:val="center"/>
          </w:tcPr>
          <w:p w14:paraId="39414981" w14:textId="797B8C7A" w:rsidR="003A6F94" w:rsidRPr="00C005A2" w:rsidRDefault="001B0837" w:rsidP="003A6F94">
            <w:pPr>
              <w:spacing w:line="480" w:lineRule="auto"/>
              <w:jc w:val="center"/>
              <w:rPr>
                <w:iCs/>
              </w:rPr>
            </w:pPr>
            <m:oMathPara>
              <m:oMath>
                <m:sSub>
                  <m:sSubPr>
                    <m:ctrlPr>
                      <w:rPr>
                        <w:rFonts w:ascii="Cambria Math" w:hAnsi="Cambria Math"/>
                        <w:i/>
                        <w:iCs/>
                      </w:rPr>
                    </m:ctrlPr>
                  </m:sSubPr>
                  <m:e>
                    <m:r>
                      <w:rPr>
                        <w:rFonts w:ascii="Cambria Math" w:hAnsi="Cambria Math"/>
                      </w:rPr>
                      <m:t>V</m:t>
                    </m:r>
                  </m:e>
                  <m:sub>
                    <m:r>
                      <w:rPr>
                        <w:rFonts w:ascii="Cambria Math" w:hAnsi="Cambria Math"/>
                      </w:rPr>
                      <m:t>e</m:t>
                    </m:r>
                  </m:sub>
                </m:sSub>
                <m:r>
                  <w:rPr>
                    <w:rFonts w:ascii="Cambria Math" w:hAnsi="Cambria Math"/>
                  </w:rPr>
                  <m:t>= ρ</m:t>
                </m:r>
                <m:nary>
                  <m:naryPr>
                    <m:limLoc m:val="undOvr"/>
                    <m:ctrlPr>
                      <w:rPr>
                        <w:rFonts w:ascii="Cambria Math" w:hAnsi="Cambria Math"/>
                        <w:i/>
                      </w:rPr>
                    </m:ctrlPr>
                  </m:naryPr>
                  <m:sub>
                    <m:r>
                      <m:rPr>
                        <m:sty m:val="p"/>
                      </m:rPr>
                      <w:rPr>
                        <w:rFonts w:ascii="Cambria Math" w:hAnsi="Cambria Math"/>
                      </w:rPr>
                      <m:t>Ω</m:t>
                    </m:r>
                  </m:sub>
                  <m:sup/>
                  <m:e>
                    <m:r>
                      <m:rPr>
                        <m:sty m:val="p"/>
                      </m:rPr>
                      <w:rPr>
                        <w:rFonts w:ascii="Cambria Math" w:hAnsi="Cambria Math"/>
                      </w:rPr>
                      <m:t>∇</m:t>
                    </m:r>
                    <m:r>
                      <m:rPr>
                        <m:sty m:val="bi"/>
                      </m:rPr>
                      <w:rPr>
                        <w:rFonts w:ascii="Cambria Math" w:hAnsi="Cambria Math"/>
                      </w:rPr>
                      <m:t xml:space="preserve">v </m:t>
                    </m:r>
                    <m:r>
                      <w:rPr>
                        <w:rFonts w:ascii="Cambria Math" w:hAnsi="Cambria Math"/>
                      </w:rPr>
                      <m:t>:</m:t>
                    </m:r>
                    <m:r>
                      <m:rPr>
                        <m:sty m:val="p"/>
                      </m:rPr>
                      <w:rPr>
                        <w:rFonts w:ascii="Cambria Math" w:hAnsi="Cambria Math"/>
                      </w:rPr>
                      <m:t>∇</m:t>
                    </m:r>
                    <m:r>
                      <m:rPr>
                        <m:sty m:val="bi"/>
                      </m:rPr>
                      <w:rPr>
                        <w:rFonts w:ascii="Cambria Math" w:hAnsi="Cambria Math"/>
                      </w:rPr>
                      <m:t xml:space="preserve">w </m:t>
                    </m:r>
                    <m:r>
                      <w:rPr>
                        <w:rFonts w:ascii="Cambria Math" w:hAnsi="Cambria Math"/>
                      </w:rPr>
                      <m:t>d</m:t>
                    </m:r>
                    <m:r>
                      <m:rPr>
                        <m:sty m:val="p"/>
                      </m:rPr>
                      <w:rPr>
                        <w:rFonts w:ascii="Cambria Math" w:hAnsi="Cambria Math"/>
                      </w:rPr>
                      <m:t>Ω</m:t>
                    </m:r>
                  </m:e>
                </m:nary>
              </m:oMath>
            </m:oMathPara>
          </w:p>
        </w:tc>
        <w:tc>
          <w:tcPr>
            <w:tcW w:w="1530" w:type="dxa"/>
            <w:shd w:val="clear" w:color="auto" w:fill="auto"/>
            <w:vAlign w:val="center"/>
          </w:tcPr>
          <w:p w14:paraId="18ADB042" w14:textId="083B98C4" w:rsidR="003A6F94" w:rsidRPr="00C005A2" w:rsidRDefault="003A6F94" w:rsidP="003A6F94">
            <w:pPr>
              <w:spacing w:line="480" w:lineRule="auto"/>
              <w:jc w:val="center"/>
            </w:pPr>
            <w:r w:rsidRPr="00C005A2">
              <w:t>(6)</w:t>
            </w:r>
          </w:p>
        </w:tc>
      </w:tr>
      <w:tr w:rsidR="00C005A2" w:rsidRPr="00C005A2" w14:paraId="06800D12" w14:textId="77777777" w:rsidTr="006138CC">
        <w:tc>
          <w:tcPr>
            <w:tcW w:w="8046" w:type="dxa"/>
            <w:shd w:val="clear" w:color="auto" w:fill="auto"/>
            <w:vAlign w:val="center"/>
          </w:tcPr>
          <w:p w14:paraId="1A19CE9A" w14:textId="262A45A2" w:rsidR="003A6F94" w:rsidRPr="00C005A2" w:rsidRDefault="001B0837" w:rsidP="003A6F94">
            <w:pPr>
              <w:spacing w:line="480" w:lineRule="auto"/>
              <w:jc w:val="center"/>
              <w:rPr>
                <w:iCs/>
              </w:rPr>
            </w:pPr>
            <m:oMathPara>
              <m:oMath>
                <m:sSub>
                  <m:sSubPr>
                    <m:ctrlPr>
                      <w:rPr>
                        <w:rFonts w:ascii="Cambria Math" w:hAnsi="Cambria Math"/>
                        <w:i/>
                        <w:iCs/>
                      </w:rPr>
                    </m:ctrlPr>
                  </m:sSubPr>
                  <m:e>
                    <m:r>
                      <w:rPr>
                        <w:rFonts w:ascii="Cambria Math" w:hAnsi="Cambria Math"/>
                      </w:rPr>
                      <m:t>Q</m:t>
                    </m:r>
                  </m:e>
                  <m:sub>
                    <m:r>
                      <w:rPr>
                        <w:rFonts w:ascii="Cambria Math" w:hAnsi="Cambria Math"/>
                      </w:rPr>
                      <m:t>e</m:t>
                    </m:r>
                  </m:sub>
                </m:sSub>
                <m:r>
                  <w:rPr>
                    <w:rFonts w:ascii="Cambria Math" w:hAnsi="Cambria Math"/>
                  </w:rPr>
                  <m:t>=</m:t>
                </m:r>
                <m:nary>
                  <m:naryPr>
                    <m:limLoc m:val="undOvr"/>
                    <m:ctrlPr>
                      <w:rPr>
                        <w:rFonts w:ascii="Cambria Math" w:hAnsi="Cambria Math"/>
                        <w:i/>
                      </w:rPr>
                    </m:ctrlPr>
                  </m:naryPr>
                  <m:sub>
                    <m:sSub>
                      <m:sSubPr>
                        <m:ctrlPr>
                          <w:rPr>
                            <w:rFonts w:ascii="Cambria Math" w:hAnsi="Cambria Math"/>
                          </w:rPr>
                        </m:ctrlPr>
                      </m:sSubPr>
                      <m:e>
                        <m:r>
                          <m:rPr>
                            <m:sty m:val="p"/>
                          </m:rPr>
                          <w:rPr>
                            <w:rFonts w:ascii="Cambria Math" w:hAnsi="Cambria Math"/>
                          </w:rPr>
                          <m:t>Γ</m:t>
                        </m:r>
                      </m:e>
                      <m:sub>
                        <m:r>
                          <m:rPr>
                            <m:sty m:val="p"/>
                          </m:rPr>
                          <w:rPr>
                            <w:rFonts w:ascii="Cambria Math" w:hAnsi="Cambria Math"/>
                          </w:rPr>
                          <m:t>i</m:t>
                        </m:r>
                      </m:sub>
                    </m:sSub>
                  </m:sub>
                  <m:sup/>
                  <m:e>
                    <m:r>
                      <m:rPr>
                        <m:sty m:val="bi"/>
                      </m:rPr>
                      <w:rPr>
                        <w:rFonts w:ascii="Cambria Math" w:hAnsi="Cambria Math"/>
                      </w:rPr>
                      <m:t>w</m:t>
                    </m:r>
                    <m:r>
                      <w:rPr>
                        <w:rFonts w:ascii="Cambria Math" w:hAnsi="Cambria Math"/>
                      </w:rPr>
                      <m:t>⋅</m:t>
                    </m:r>
                    <m:r>
                      <m:rPr>
                        <m:sty m:val="bi"/>
                      </m:rPr>
                      <w:rPr>
                        <w:rFonts w:ascii="Cambria Math" w:hAnsi="Cambria Math"/>
                      </w:rPr>
                      <m:t xml:space="preserve">n </m:t>
                    </m:r>
                    <m:r>
                      <w:rPr>
                        <w:rFonts w:ascii="Cambria Math" w:hAnsi="Cambria Math"/>
                      </w:rPr>
                      <m:t>d</m:t>
                    </m:r>
                    <m:r>
                      <m:rPr>
                        <m:sty m:val="p"/>
                      </m:rPr>
                      <w:rPr>
                        <w:rFonts w:ascii="Cambria Math" w:hAnsi="Cambria Math"/>
                      </w:rPr>
                      <m:t xml:space="preserve">Γ </m:t>
                    </m:r>
                  </m:e>
                </m:nary>
              </m:oMath>
            </m:oMathPara>
          </w:p>
        </w:tc>
        <w:tc>
          <w:tcPr>
            <w:tcW w:w="1530" w:type="dxa"/>
            <w:shd w:val="clear" w:color="auto" w:fill="auto"/>
            <w:vAlign w:val="center"/>
          </w:tcPr>
          <w:p w14:paraId="6B17AE21" w14:textId="41F953C3" w:rsidR="003A6F94" w:rsidRPr="00C005A2" w:rsidRDefault="003A6F94" w:rsidP="003A6F94">
            <w:pPr>
              <w:spacing w:line="480" w:lineRule="auto"/>
              <w:jc w:val="center"/>
            </w:pPr>
            <w:r w:rsidRPr="00C005A2">
              <w:t>(7)</w:t>
            </w:r>
          </w:p>
        </w:tc>
      </w:tr>
    </w:tbl>
    <w:p w14:paraId="0E07E46A" w14:textId="71C9A1B2" w:rsidR="003A6F94" w:rsidRPr="00C005A2" w:rsidRDefault="003A6F94" w:rsidP="00116AB8">
      <w:pPr>
        <w:shd w:val="clear" w:color="auto" w:fill="FFFFFF"/>
        <w:spacing w:line="480" w:lineRule="auto"/>
      </w:pPr>
      <w:r w:rsidRPr="00C005A2">
        <w:rPr>
          <w:b/>
        </w:rPr>
        <w:tab/>
      </w:r>
      <w:r w:rsidR="00960EB0" w:rsidRPr="00C005A2">
        <w:t>A</w:t>
      </w:r>
      <w:r w:rsidRPr="00C005A2">
        <w:t>ll</w:t>
      </w:r>
      <w:r w:rsidR="00960EB0" w:rsidRPr="00C005A2">
        <w:t xml:space="preserve"> terms</w:t>
      </w:r>
      <w:r w:rsidRPr="00C005A2">
        <w:t xml:space="preserve"> above can be directly derived from acquired 4D Flow MRI data (representing the velocity field </w:t>
      </w:r>
      <m:oMath>
        <m:r>
          <m:rPr>
            <m:sty m:val="bi"/>
          </m:rPr>
          <w:rPr>
            <w:rFonts w:ascii="Cambria Math" w:hAnsi="Cambria Math"/>
          </w:rPr>
          <m:t>v</m:t>
        </m:r>
      </m:oMath>
      <w:r w:rsidRPr="00C005A2">
        <w:t xml:space="preserve">), and does not require any additional measurements. The only additional feature needed is a numerical solved </w:t>
      </w:r>
      <m:oMath>
        <m:r>
          <m:rPr>
            <m:sty m:val="bi"/>
          </m:rPr>
          <w:rPr>
            <w:rFonts w:ascii="Cambria Math" w:hAnsi="Cambria Math"/>
          </w:rPr>
          <m:t>w</m:t>
        </m:r>
      </m:oMath>
      <w:r w:rsidRPr="00C005A2">
        <w:t>, posed</w:t>
      </w:r>
      <w:r w:rsidR="00960EB0" w:rsidRPr="00C005A2">
        <w:t xml:space="preserve"> in this work</w:t>
      </w:r>
      <w:r w:rsidRPr="00C005A2">
        <w:t xml:space="preserve"> as a Stokes flow problem with a plug inflow profile. Full theoretical details, including pre-processing and detailed method output performance can be found in Marlevi et al </w:t>
      </w:r>
      <w:r w:rsidRPr="00C005A2">
        <w:fldChar w:fldCharType="begin"/>
      </w:r>
      <w:r w:rsidRPr="00C005A2">
        <w:instrText xml:space="preserve"> ADDIN EN.CITE &lt;EndNote&gt;&lt;Cite&gt;&lt;Author&gt;Marlevi&lt;/Author&gt;&lt;Year&gt;2019&lt;/Year&gt;&lt;RecNum&gt;474&lt;/RecNum&gt;&lt;DisplayText&gt;(25)&lt;/DisplayText&gt;&lt;record&gt;&lt;rec-number&gt;474&lt;/rec-number&gt;&lt;foreign-keys&gt;&lt;key app="EN" db-id="d0xs5w9akzwzz3e2rd552edce2v2pfdf990s" timestamp="1559844903"&gt;474&lt;/key&gt;&lt;/foreign-keys&gt;&lt;ref-type name="Journal Article"&gt;17&lt;/ref-type&gt;&lt;contributors&gt;&lt;authors&gt;&lt;author&gt;Marlevi, David&lt;/author&gt;&lt;author&gt;Ruijsink, Bram&lt;/author&gt;&lt;author&gt;Balmus, Maximilian&lt;/author&gt;&lt;author&gt;Dillon-Murphy, Desmond&lt;/author&gt;&lt;author&gt;Fovargue, Daniel&lt;/author&gt;&lt;author&gt;Pushparajah, Kuberan&lt;/author&gt;&lt;author&gt;Bertoglio, Cristóbal&lt;/author&gt;&lt;author&gt;Colarieti-Tosti, Massimiliano&lt;/author&gt;&lt;author&gt;Larsson, Matilda&lt;/author&gt;&lt;author&gt;Lamata, Pablo&lt;/author&gt;&lt;author&gt;Figueroa, C Alberto&lt;/author&gt;&lt;author&gt;Razavi, Reza&lt;/author&gt;&lt;author&gt;Nordsletten, D&lt;/author&gt;&lt;/authors&gt;&lt;/contributors&gt;&lt;titles&gt;&lt;title&gt;Estimation of Cardiovascular Relative Pressure Using Virtual Work-Energy&lt;/title&gt;&lt;secondary-title&gt;Scientific reports&lt;/secondary-title&gt;&lt;/titles&gt;&lt;periodical&gt;&lt;full-title&gt;Scientific Reports&lt;/full-title&gt;&lt;abbr-1&gt;Sci. Rep.&lt;/abbr-1&gt;&lt;abbr-2&gt;Sci Rep&lt;/abbr-2&gt;&lt;/periodical&gt;&lt;pages&gt;1375&lt;/pages&gt;&lt;volume&gt;9&lt;/volume&gt;&lt;number&gt;1&lt;/number&gt;&lt;dates&gt;&lt;year&gt;2019&lt;/year&gt;&lt;/dates&gt;&lt;isbn&gt;2045-2322&lt;/isbn&gt;&lt;urls&gt;&lt;/urls&gt;&lt;/record&gt;&lt;/Cite&gt;&lt;/EndNote&gt;</w:instrText>
      </w:r>
      <w:r w:rsidRPr="00C005A2">
        <w:fldChar w:fldCharType="separate"/>
      </w:r>
      <w:r w:rsidRPr="00C005A2">
        <w:rPr>
          <w:noProof/>
        </w:rPr>
        <w:t>(25)</w:t>
      </w:r>
      <w:r w:rsidRPr="00C005A2">
        <w:fldChar w:fldCharType="end"/>
      </w:r>
      <w:r w:rsidRPr="00C005A2">
        <w:t xml:space="preserve">. </w:t>
      </w:r>
    </w:p>
    <w:p w14:paraId="21933ECA" w14:textId="77777777" w:rsidR="003A6F94" w:rsidRPr="00C005A2" w:rsidRDefault="003A6F94" w:rsidP="00116AB8">
      <w:pPr>
        <w:shd w:val="clear" w:color="auto" w:fill="FFFFFF"/>
        <w:spacing w:line="480" w:lineRule="auto"/>
        <w:rPr>
          <w:b/>
        </w:rPr>
      </w:pPr>
    </w:p>
    <w:p w14:paraId="745460C1" w14:textId="4AAA3825" w:rsidR="00116AB8" w:rsidRPr="00C005A2" w:rsidRDefault="00116AB8" w:rsidP="00116AB8">
      <w:pPr>
        <w:shd w:val="clear" w:color="auto" w:fill="FFFFFF"/>
        <w:spacing w:line="480" w:lineRule="auto"/>
        <w:rPr>
          <w:b/>
        </w:rPr>
      </w:pPr>
      <w:r w:rsidRPr="00C005A2">
        <w:rPr>
          <w:b/>
        </w:rPr>
        <w:t>APPENDIX B – Reproducibility analysis</w:t>
      </w:r>
    </w:p>
    <w:p w14:paraId="6CFC123D" w14:textId="5E76C209" w:rsidR="00116AB8" w:rsidRPr="00C005A2" w:rsidRDefault="00116AB8" w:rsidP="00116AB8">
      <w:pPr>
        <w:spacing w:line="480" w:lineRule="auto"/>
        <w:ind w:firstLine="720"/>
      </w:pPr>
      <w:r w:rsidRPr="00C005A2">
        <w:t>An interobserver variability analysis was performed to assess the variability of measured aortic growth rate, FL EF, MSDR, and FL ΔP</w:t>
      </w:r>
      <w:r w:rsidRPr="00C005A2">
        <w:rPr>
          <w:vertAlign w:val="subscript"/>
        </w:rPr>
        <w:t>max</w:t>
      </w:r>
      <w:r w:rsidRPr="00C005A2">
        <w:t>, respectively. For aortic growth rate and FL EF, this was performed by having a second independent rater derive those very same metrics in the original image data (identifying maximum aortic diameter at baseline and follow-up studies to determine growth rate, and delineating the TBAD opening tear for FL EF, respectively). For MSDR and FL ΔP</w:t>
      </w:r>
      <w:r w:rsidRPr="00C005A2">
        <w:rPr>
          <w:vertAlign w:val="subscript"/>
        </w:rPr>
        <w:t>max</w:t>
      </w:r>
      <w:r w:rsidRPr="00C005A2">
        <w:t>, new sets of segmentations were generated by repeating the semi-automated CE-MRA to 4D Flow MRI mask registration procedure. Additionally, to investigate the sensitivity of MSDR and FL ΔP</w:t>
      </w:r>
      <w:r w:rsidRPr="00C005A2">
        <w:rPr>
          <w:vertAlign w:val="subscript"/>
        </w:rPr>
        <w:t xml:space="preserve">max  </w:t>
      </w:r>
      <w:r w:rsidRPr="00C005A2">
        <w:t xml:space="preserve"> to variations in segmentation we systematically altered the registered segmentation masks in a systematic fashion as described below:</w:t>
      </w:r>
    </w:p>
    <w:p w14:paraId="34BB6610" w14:textId="2A21CC30" w:rsidR="00116AB8" w:rsidRPr="00C005A2" w:rsidRDefault="00116AB8" w:rsidP="00116AB8">
      <w:pPr>
        <w:spacing w:line="480" w:lineRule="auto"/>
        <w:ind w:firstLine="720"/>
      </w:pPr>
      <w:r w:rsidRPr="00C005A2">
        <w:t>In short, alterations in the aortic masks were created based on the notion that two primary modes of segmentation variability exist: one mode is through differences in thresholding of the MRA data, in which would result in either systematically smaller or larger segmentations at the aortic boundary</w:t>
      </w:r>
      <w:r w:rsidR="006C3C96" w:rsidRPr="00C005A2">
        <w:t>, depending on the utilized threshold value</w:t>
      </w:r>
      <w:r w:rsidRPr="00C005A2">
        <w:t>. The second mode would be related to manual editing of segmentations, where random and spatially varying deviations from the aortic boundary could be introduced. To investigate these effects we created 3 new sets of segmentations, after the repeated image registration:</w:t>
      </w:r>
    </w:p>
    <w:p w14:paraId="7AEEAFFF" w14:textId="77777777" w:rsidR="00116AB8" w:rsidRPr="00C005A2" w:rsidRDefault="00116AB8" w:rsidP="00116AB8">
      <w:pPr>
        <w:numPr>
          <w:ilvl w:val="0"/>
          <w:numId w:val="2"/>
        </w:numPr>
        <w:spacing w:before="240" w:line="480" w:lineRule="auto"/>
        <w:jc w:val="both"/>
        <w:rPr>
          <w:highlight w:val="white"/>
        </w:rPr>
      </w:pPr>
      <w:r w:rsidRPr="00C005A2">
        <w:rPr>
          <w:highlight w:val="white"/>
        </w:rPr>
        <w:t xml:space="preserve">Segmentations being systematically </w:t>
      </w:r>
      <w:r w:rsidRPr="00C005A2">
        <w:rPr>
          <w:i/>
          <w:highlight w:val="white"/>
        </w:rPr>
        <w:t>smaller</w:t>
      </w:r>
      <w:r w:rsidRPr="00C005A2">
        <w:rPr>
          <w:highlight w:val="white"/>
        </w:rPr>
        <w:t xml:space="preserve"> than the original ones, achieved by eroding the entire segmentation by one layer of voxels</w:t>
      </w:r>
    </w:p>
    <w:p w14:paraId="31E2CF76" w14:textId="77777777" w:rsidR="00116AB8" w:rsidRPr="00C005A2" w:rsidRDefault="00116AB8" w:rsidP="00116AB8">
      <w:pPr>
        <w:numPr>
          <w:ilvl w:val="0"/>
          <w:numId w:val="2"/>
        </w:numPr>
        <w:spacing w:line="480" w:lineRule="auto"/>
        <w:jc w:val="both"/>
        <w:rPr>
          <w:highlight w:val="white"/>
        </w:rPr>
      </w:pPr>
      <w:r w:rsidRPr="00C005A2">
        <w:rPr>
          <w:highlight w:val="white"/>
        </w:rPr>
        <w:t xml:space="preserve">Segmentations being systematically </w:t>
      </w:r>
      <w:r w:rsidRPr="00C005A2">
        <w:rPr>
          <w:i/>
          <w:highlight w:val="white"/>
        </w:rPr>
        <w:t>larger</w:t>
      </w:r>
      <w:r w:rsidRPr="00C005A2">
        <w:rPr>
          <w:highlight w:val="white"/>
        </w:rPr>
        <w:t xml:space="preserve"> than the original ones, achieved by dilating the entire segmentation by one layer of voxels</w:t>
      </w:r>
    </w:p>
    <w:p w14:paraId="653DA53A" w14:textId="77777777" w:rsidR="00116AB8" w:rsidRPr="00C005A2" w:rsidRDefault="00116AB8" w:rsidP="00116AB8">
      <w:pPr>
        <w:numPr>
          <w:ilvl w:val="0"/>
          <w:numId w:val="2"/>
        </w:numPr>
        <w:spacing w:after="240" w:line="480" w:lineRule="auto"/>
        <w:jc w:val="both"/>
        <w:rPr>
          <w:highlight w:val="white"/>
        </w:rPr>
      </w:pPr>
      <w:r w:rsidRPr="00C005A2">
        <w:rPr>
          <w:highlight w:val="white"/>
        </w:rPr>
        <w:t xml:space="preserve">Segmentations being variably </w:t>
      </w:r>
      <w:r w:rsidRPr="00C005A2">
        <w:rPr>
          <w:i/>
          <w:highlight w:val="white"/>
        </w:rPr>
        <w:t>smaller or larger</w:t>
      </w:r>
      <w:r w:rsidRPr="00C005A2">
        <w:rPr>
          <w:highlight w:val="white"/>
        </w:rPr>
        <w:t xml:space="preserve">, achieved by randomly sampling 80 points along the segmentation wall, then allowing half of them (n=40) to dilate a regional neighborhood (R = 1cm) by 1 voxel, and allowing the other half (n=40) to erode a regional neighborhood (R = 1cm) by 1 voxel. </w:t>
      </w:r>
    </w:p>
    <w:p w14:paraId="58ABBFCA" w14:textId="77777777" w:rsidR="00116AB8" w:rsidRPr="00C005A2" w:rsidRDefault="00116AB8" w:rsidP="00116AB8">
      <w:pPr>
        <w:spacing w:before="240" w:after="240" w:line="480" w:lineRule="auto"/>
        <w:ind w:firstLine="360"/>
        <w:jc w:val="both"/>
      </w:pPr>
      <w:r w:rsidRPr="00C005A2">
        <w:rPr>
          <w:highlight w:val="white"/>
        </w:rPr>
        <w:t xml:space="preserve">Here, 1. and 2. represent the first mode of segmentation (thresholding), whereas 3. represents the second mode (manual segmentation). For all three sets, MSDR and FL </w:t>
      </w:r>
      <w:r w:rsidRPr="00C005A2">
        <w:t>ΔP</w:t>
      </w:r>
      <w:r w:rsidRPr="00C005A2">
        <w:rPr>
          <w:vertAlign w:val="subscript"/>
        </w:rPr>
        <w:t xml:space="preserve">max </w:t>
      </w:r>
      <w:r w:rsidRPr="00C005A2">
        <w:t>were re-evaluated.</w:t>
      </w:r>
    </w:p>
    <w:p w14:paraId="36717399" w14:textId="65C00DAF" w:rsidR="002051D3" w:rsidRPr="00C005A2" w:rsidRDefault="002051D3" w:rsidP="002051D3">
      <w:pPr>
        <w:spacing w:before="240" w:after="240" w:line="480" w:lineRule="auto"/>
        <w:ind w:firstLine="720"/>
        <w:jc w:val="both"/>
        <w:rPr>
          <w:highlight w:val="white"/>
        </w:rPr>
      </w:pPr>
      <w:r w:rsidRPr="00C005A2">
        <w:t>Complete results are shown in</w:t>
      </w:r>
      <w:r w:rsidRPr="00C005A2">
        <w:rPr>
          <w:b/>
        </w:rPr>
        <w:t xml:space="preserve"> Table B.1</w:t>
      </w:r>
      <w:r w:rsidRPr="00C005A2">
        <w:t xml:space="preserve">, as well as highlighted in </w:t>
      </w:r>
      <w:r w:rsidRPr="00C005A2">
        <w:rPr>
          <w:b/>
        </w:rPr>
        <w:t>Figure B.1-B.3</w:t>
      </w:r>
      <w:r w:rsidRPr="00C005A2">
        <w:t xml:space="preserve">. For aortic growth rate there was a strong correlation between raters measurements (r = 0.94, p&lt;0.001), with a mean difference of 1.46 </w:t>
      </w:r>
      <w:r w:rsidRPr="00C005A2">
        <w:rPr>
          <w:highlight w:val="white"/>
        </w:rPr>
        <w:t>± 2.79 mm/year.</w:t>
      </w:r>
      <w:r w:rsidRPr="00020C5E">
        <w:rPr>
          <w:color w:val="FF0000"/>
          <w:highlight w:val="white"/>
        </w:rPr>
        <w:t xml:space="preserve"> There was 1 case with a significant discrepancy noted between raters (3.4 vs. 12.3 mm/y) although the classification of stable and enlarging subjects remained concordant between readers and this </w:t>
      </w:r>
      <w:r w:rsidR="000843D6">
        <w:rPr>
          <w:color w:val="FF0000"/>
          <w:highlight w:val="white"/>
        </w:rPr>
        <w:t>magnitude of this discrepancy was</w:t>
      </w:r>
      <w:r w:rsidR="000843D6" w:rsidRPr="00020C5E">
        <w:rPr>
          <w:color w:val="FF0000"/>
          <w:highlight w:val="white"/>
        </w:rPr>
        <w:t xml:space="preserve"> </w:t>
      </w:r>
      <w:r w:rsidRPr="00020C5E">
        <w:rPr>
          <w:color w:val="FF0000"/>
          <w:highlight w:val="white"/>
        </w:rPr>
        <w:t xml:space="preserve">primarily an effect of the short </w:t>
      </w:r>
      <w:r w:rsidR="000843D6">
        <w:rPr>
          <w:color w:val="FF0000"/>
          <w:highlight w:val="white"/>
        </w:rPr>
        <w:t xml:space="preserve">time </w:t>
      </w:r>
      <w:r w:rsidRPr="00020C5E">
        <w:rPr>
          <w:color w:val="FF0000"/>
          <w:highlight w:val="white"/>
        </w:rPr>
        <w:t>interval</w:t>
      </w:r>
      <w:r w:rsidR="000843D6">
        <w:rPr>
          <w:color w:val="FF0000"/>
          <w:highlight w:val="white"/>
        </w:rPr>
        <w:t>.</w:t>
      </w:r>
    </w:p>
    <w:p w14:paraId="6A9D91C0" w14:textId="77777777" w:rsidR="002051D3" w:rsidRPr="00C005A2" w:rsidRDefault="002051D3" w:rsidP="002051D3">
      <w:pPr>
        <w:spacing w:before="240" w:after="240" w:line="480" w:lineRule="auto"/>
        <w:ind w:firstLine="720"/>
        <w:jc w:val="both"/>
        <w:rPr>
          <w:highlight w:val="white"/>
        </w:rPr>
      </w:pPr>
      <w:r w:rsidRPr="00C005A2">
        <w:t xml:space="preserve">For the </w:t>
      </w:r>
      <w:r w:rsidRPr="00C005A2">
        <w:rPr>
          <w:highlight w:val="white"/>
        </w:rPr>
        <w:t>multiple readings of FL EF, strong correlation was reported for the entire cohort (r = 0.86, p&lt;0.001), with no significant bias and average variability of -1.6</w:t>
      </w:r>
      <w:r w:rsidRPr="00C005A2">
        <w:t xml:space="preserve"> </w:t>
      </w:r>
      <w:r w:rsidRPr="00C005A2">
        <w:rPr>
          <w:highlight w:val="white"/>
        </w:rPr>
        <w:t xml:space="preserve">± 13.4%). </w:t>
      </w:r>
    </w:p>
    <w:p w14:paraId="39ED6E15" w14:textId="6106EDC7" w:rsidR="002051D3" w:rsidRPr="00C005A2" w:rsidRDefault="002051D3" w:rsidP="002051D3">
      <w:pPr>
        <w:spacing w:before="240" w:after="240" w:line="480" w:lineRule="auto"/>
        <w:ind w:firstLine="720"/>
        <w:jc w:val="both"/>
        <w:rPr>
          <w:highlight w:val="white"/>
        </w:rPr>
      </w:pPr>
      <w:r w:rsidRPr="00C005A2">
        <w:rPr>
          <w:highlight w:val="white"/>
        </w:rPr>
        <w:t xml:space="preserve">For </w:t>
      </w:r>
      <w:r w:rsidRPr="00C005A2">
        <w:t>FL ΔP</w:t>
      </w:r>
      <w:r w:rsidRPr="00C005A2">
        <w:rPr>
          <w:vertAlign w:val="subscript"/>
        </w:rPr>
        <w:t>max</w:t>
      </w:r>
      <w:r w:rsidRPr="00C005A2">
        <w:t xml:space="preserve">, repeat mask registration alone generated small variability of -0.5 </w:t>
      </w:r>
      <w:r w:rsidRPr="00C005A2">
        <w:rPr>
          <w:highlight w:val="white"/>
        </w:rPr>
        <w:t xml:space="preserve">± 4.0 mmHg/m, with the two readings being strongly correlated (r = 0.98, p &lt; 0.001) </w:t>
      </w:r>
      <w:r w:rsidRPr="00C005A2">
        <w:t xml:space="preserve">(see </w:t>
      </w:r>
      <w:r w:rsidRPr="00C005A2">
        <w:rPr>
          <w:b/>
        </w:rPr>
        <w:t xml:space="preserve">Figure B.1 </w:t>
      </w:r>
      <w:r w:rsidRPr="00C005A2">
        <w:t xml:space="preserve">and </w:t>
      </w:r>
      <w:r w:rsidRPr="00C005A2">
        <w:rPr>
          <w:b/>
        </w:rPr>
        <w:t>Table B.1</w:t>
      </w:r>
      <w:r w:rsidRPr="00C005A2">
        <w:t>). When adding systematic segmentation errors (erosion, dilation and random variation) to the repeated registration (</w:t>
      </w:r>
      <w:r w:rsidRPr="00C005A2">
        <w:rPr>
          <w:b/>
        </w:rPr>
        <w:t>Figure B.2</w:t>
      </w:r>
      <w:r w:rsidRPr="00C005A2">
        <w:t xml:space="preserve">), only moderately increased deviations in data shift is seen. Most notably, systematic dilation of the aortic mask generated the largest shift, albeit the effects were still small with variability of -2.7 </w:t>
      </w:r>
      <w:r w:rsidRPr="00C005A2">
        <w:rPr>
          <w:highlight w:val="white"/>
        </w:rPr>
        <w:t>± 9.2 mmHg/m, and still with strong agreement (r = 0.95, p &lt; 0.001).</w:t>
      </w:r>
    </w:p>
    <w:p w14:paraId="30610794" w14:textId="1B2A6669" w:rsidR="002051D3" w:rsidRPr="00C005A2" w:rsidRDefault="002051D3" w:rsidP="002051D3">
      <w:pPr>
        <w:spacing w:before="240" w:after="240" w:line="480" w:lineRule="auto"/>
        <w:ind w:firstLine="720"/>
        <w:jc w:val="both"/>
        <w:rPr>
          <w:highlight w:val="yellow"/>
        </w:rPr>
      </w:pPr>
      <w:r w:rsidRPr="00C005A2">
        <w:t xml:space="preserve">For MSDR, repeat co-registration alone generated a mean shift of -180.7 </w:t>
      </w:r>
      <w:r w:rsidRPr="00C005A2">
        <w:rPr>
          <w:highlight w:val="white"/>
        </w:rPr>
        <w:t>± 413.2 cm/sm</w:t>
      </w:r>
      <w:r w:rsidRPr="00C005A2">
        <w:rPr>
          <w:highlight w:val="white"/>
          <w:vertAlign w:val="superscript"/>
        </w:rPr>
        <w:t>3</w:t>
      </w:r>
      <w:r w:rsidRPr="00C005A2">
        <w:rPr>
          <w:highlight w:val="white"/>
        </w:rPr>
        <w:t xml:space="preserve"> (see </w:t>
      </w:r>
      <w:r w:rsidRPr="00C005A2">
        <w:rPr>
          <w:b/>
          <w:highlight w:val="white"/>
        </w:rPr>
        <w:t>Figure B.1</w:t>
      </w:r>
      <w:r w:rsidRPr="00C005A2">
        <w:rPr>
          <w:highlight w:val="white"/>
        </w:rPr>
        <w:t>), with a linear regression coefficient of r = 0.91, p &lt; 0.001. When adding the systematic segmentation variations to the repeated registration (</w:t>
      </w:r>
      <w:r w:rsidRPr="00C005A2">
        <w:rPr>
          <w:b/>
          <w:highlight w:val="white"/>
        </w:rPr>
        <w:t>Figure B.3</w:t>
      </w:r>
      <w:r w:rsidRPr="00C005A2">
        <w:rPr>
          <w:highlight w:val="white"/>
        </w:rPr>
        <w:t>), increased MSDR variations were observed, with the greatest degree of variability seen with eroded segmentation masks (mean difference of -132.8 ± 685.2 cm/s</w:t>
      </w:r>
      <w:r w:rsidRPr="00C005A2">
        <w:rPr>
          <w:highlight w:val="white"/>
          <w:vertAlign w:val="superscript"/>
        </w:rPr>
        <w:t>3</w:t>
      </w:r>
      <w:r w:rsidRPr="00C005A2">
        <w:rPr>
          <w:highlight w:val="white"/>
        </w:rPr>
        <w:t>).</w:t>
      </w:r>
    </w:p>
    <w:p w14:paraId="156C7649" w14:textId="77777777" w:rsidR="002051D3" w:rsidRPr="00C005A2" w:rsidRDefault="002051D3" w:rsidP="002051D3">
      <w:pPr>
        <w:spacing w:before="240" w:after="240" w:line="480" w:lineRule="auto"/>
        <w:jc w:val="both"/>
      </w:pPr>
      <w:r w:rsidRPr="00C005A2">
        <w:tab/>
        <w:t>The reported variability of FL EF, FL ΔP</w:t>
      </w:r>
      <w:r w:rsidRPr="00C005A2">
        <w:rPr>
          <w:vertAlign w:val="subscript"/>
        </w:rPr>
        <w:t>max</w:t>
      </w:r>
      <w:r w:rsidRPr="00C005A2">
        <w:t xml:space="preserve"> and MSDR should be contrasted to the degree of average separation of these metrics between enlarging and stable groups reported in the main results (e.g., 39% for FL EF, 24.9 mmHg/m for FL ΔP</w:t>
      </w:r>
      <w:r w:rsidRPr="00C005A2">
        <w:rPr>
          <w:vertAlign w:val="subscript"/>
        </w:rPr>
        <w:t>max</w:t>
      </w:r>
      <w:r w:rsidRPr="00C005A2">
        <w:t>, and 382.9 cm/s</w:t>
      </w:r>
      <w:r w:rsidRPr="00C005A2">
        <w:rPr>
          <w:vertAlign w:val="superscript"/>
        </w:rPr>
        <w:t xml:space="preserve">3 </w:t>
      </w:r>
      <w:r w:rsidRPr="00C005A2">
        <w:t>for MSDR ). The degree of interobserver variability is far lower than the average separation in groups for FL EF and FL ΔP</w:t>
      </w:r>
      <w:r w:rsidRPr="00C005A2">
        <w:rPr>
          <w:vertAlign w:val="subscript"/>
        </w:rPr>
        <w:t>max</w:t>
      </w:r>
      <w:r w:rsidRPr="00C005A2">
        <w:t>.</w:t>
      </w:r>
    </w:p>
    <w:p w14:paraId="6D7BAE7A" w14:textId="12494791" w:rsidR="002051D3" w:rsidRPr="00C005A2" w:rsidRDefault="002051D3" w:rsidP="002051D3">
      <w:pPr>
        <w:spacing w:before="240" w:after="240" w:line="480" w:lineRule="auto"/>
        <w:jc w:val="center"/>
        <w:rPr>
          <w:highlight w:val="white"/>
        </w:rPr>
      </w:pPr>
      <w:r w:rsidRPr="00C005A2">
        <w:rPr>
          <w:noProof/>
          <w:lang w:val="en-IN" w:eastAsia="en-IN"/>
        </w:rPr>
        <w:drawing>
          <wp:inline distT="0" distB="0" distL="0" distR="0" wp14:anchorId="204B4B49" wp14:editId="0393FF8C">
            <wp:extent cx="5730875" cy="2514600"/>
            <wp:effectExtent l="0" t="0" r="3175" b="0"/>
            <wp:docPr id="6" name="image7.png"/>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8"/>
                    <a:srcRect t="3543" b="3543"/>
                    <a:stretch>
                      <a:fillRect/>
                    </a:stretch>
                  </pic:blipFill>
                  <pic:spPr>
                    <a:xfrm>
                      <a:off x="0" y="0"/>
                      <a:ext cx="5730875" cy="2514600"/>
                    </a:xfrm>
                    <a:prstGeom prst="rect">
                      <a:avLst/>
                    </a:prstGeom>
                    <a:ln/>
                  </pic:spPr>
                </pic:pic>
              </a:graphicData>
            </a:graphic>
          </wp:inline>
        </w:drawing>
      </w:r>
    </w:p>
    <w:p w14:paraId="4EA2B6EA" w14:textId="7C4A9257" w:rsidR="002051D3" w:rsidRPr="00C005A2" w:rsidRDefault="002051D3" w:rsidP="002051D3">
      <w:pPr>
        <w:spacing w:before="240" w:after="240"/>
        <w:jc w:val="both"/>
        <w:rPr>
          <w:sz w:val="18"/>
          <w:szCs w:val="18"/>
        </w:rPr>
      </w:pPr>
      <w:r w:rsidRPr="00C005A2">
        <w:rPr>
          <w:b/>
          <w:sz w:val="18"/>
          <w:szCs w:val="18"/>
        </w:rPr>
        <w:t>Figure B.1</w:t>
      </w:r>
      <w:r w:rsidRPr="00C005A2">
        <w:rPr>
          <w:sz w:val="18"/>
          <w:szCs w:val="18"/>
        </w:rPr>
        <w:t>: Results from the reproducibility analysis, shown as linear regression (top row) and Bland-Altman plots (bottom row) for multiple readings of, from left to right columns: false lumen ejection fraction (FL EF), false lumen maximum relative pressure (FL</w:t>
      </w:r>
      <w:r w:rsidRPr="00C005A2">
        <w:rPr>
          <w:sz w:val="18"/>
          <w:szCs w:val="18"/>
          <w:highlight w:val="white"/>
        </w:rPr>
        <w:t>ΔP</w:t>
      </w:r>
      <w:r w:rsidRPr="00C005A2">
        <w:rPr>
          <w:sz w:val="18"/>
          <w:szCs w:val="18"/>
          <w:highlight w:val="white"/>
          <w:vertAlign w:val="subscript"/>
        </w:rPr>
        <w:t>max</w:t>
      </w:r>
      <w:r w:rsidRPr="00C005A2">
        <w:rPr>
          <w:sz w:val="18"/>
          <w:szCs w:val="18"/>
        </w:rPr>
        <w:t xml:space="preserve">) with repeated mask registration, maximum systolic deceleration rate (MSDR) with mask registration, and aortic growth rate (GR, assessed by maximum aortic diameter), respectively. In each plot, data is shown for both subjects with stable (black) and enlarging (red) aortic dimensions. </w:t>
      </w:r>
    </w:p>
    <w:p w14:paraId="0512583D" w14:textId="4D8FC97C" w:rsidR="002051D3" w:rsidRPr="00C005A2" w:rsidRDefault="002051D3" w:rsidP="002051D3">
      <w:pPr>
        <w:spacing w:before="240" w:after="240" w:line="480" w:lineRule="auto"/>
        <w:rPr>
          <w:highlight w:val="white"/>
        </w:rPr>
      </w:pPr>
      <w:r w:rsidRPr="00C005A2">
        <w:rPr>
          <w:noProof/>
          <w:lang w:val="en-IN" w:eastAsia="en-IN"/>
        </w:rPr>
        <w:drawing>
          <wp:inline distT="0" distB="0" distL="0" distR="0" wp14:anchorId="201E02D2" wp14:editId="3A5EF2E1">
            <wp:extent cx="5730875" cy="3390900"/>
            <wp:effectExtent l="0" t="0" r="3175" b="0"/>
            <wp:docPr id="5" name="image5.png"/>
            <wp:cNvGraphicFramePr/>
            <a:graphic xmlns:a="http://schemas.openxmlformats.org/drawingml/2006/main">
              <a:graphicData uri="http://schemas.openxmlformats.org/drawingml/2006/picture">
                <pic:pic xmlns:pic="http://schemas.openxmlformats.org/drawingml/2006/picture">
                  <pic:nvPicPr>
                    <pic:cNvPr id="1" name="image5.png"/>
                    <pic:cNvPicPr/>
                  </pic:nvPicPr>
                  <pic:blipFill>
                    <a:blip r:embed="rId9"/>
                    <a:srcRect t="48" b="48"/>
                    <a:stretch>
                      <a:fillRect/>
                    </a:stretch>
                  </pic:blipFill>
                  <pic:spPr>
                    <a:xfrm>
                      <a:off x="0" y="0"/>
                      <a:ext cx="5730875" cy="3390900"/>
                    </a:xfrm>
                    <a:prstGeom prst="rect">
                      <a:avLst/>
                    </a:prstGeom>
                    <a:ln/>
                  </pic:spPr>
                </pic:pic>
              </a:graphicData>
            </a:graphic>
          </wp:inline>
        </w:drawing>
      </w:r>
    </w:p>
    <w:p w14:paraId="2B49AD49" w14:textId="6489C67E" w:rsidR="002051D3" w:rsidRPr="00C005A2" w:rsidRDefault="002051D3" w:rsidP="002051D3">
      <w:pPr>
        <w:spacing w:before="240" w:after="240"/>
        <w:jc w:val="both"/>
        <w:rPr>
          <w:sz w:val="18"/>
          <w:szCs w:val="18"/>
        </w:rPr>
      </w:pPr>
      <w:r w:rsidRPr="00C005A2">
        <w:rPr>
          <w:b/>
          <w:sz w:val="18"/>
          <w:szCs w:val="18"/>
        </w:rPr>
        <w:t>Figure B.2</w:t>
      </w:r>
      <w:r w:rsidRPr="00C005A2">
        <w:rPr>
          <w:sz w:val="18"/>
          <w:szCs w:val="18"/>
        </w:rPr>
        <w:t>: Isolated reproducibility analysis for the derivation of false lumen maximum relative pressure (FL</w:t>
      </w:r>
      <w:r w:rsidRPr="00C005A2">
        <w:rPr>
          <w:sz w:val="18"/>
          <w:szCs w:val="18"/>
          <w:highlight w:val="white"/>
        </w:rPr>
        <w:t>ΔP</w:t>
      </w:r>
      <w:r w:rsidRPr="00C005A2">
        <w:rPr>
          <w:sz w:val="18"/>
          <w:szCs w:val="18"/>
          <w:highlight w:val="white"/>
          <w:vertAlign w:val="subscript"/>
        </w:rPr>
        <w:t>max</w:t>
      </w:r>
      <w:r w:rsidRPr="00C005A2">
        <w:rPr>
          <w:sz w:val="18"/>
          <w:szCs w:val="18"/>
        </w:rPr>
        <w:t xml:space="preserve">). Here, in addition to the  new mask registrations (with results shown in Figure A.1), typical classes of segmentation variations are incorporated including systematically smaller segmentations (Erosion), systematically larger segmentations (Dilation), and segmentations varying along the length of the aorta (Varying). In each plot, data is shown for both subjects with stable (black) and enlarging (red) aortic dimensions. </w:t>
      </w:r>
    </w:p>
    <w:p w14:paraId="5450486F" w14:textId="4DA15968" w:rsidR="002051D3" w:rsidRPr="00C005A2" w:rsidRDefault="002051D3" w:rsidP="002051D3">
      <w:pPr>
        <w:spacing w:before="240" w:after="240" w:line="480" w:lineRule="auto"/>
        <w:jc w:val="center"/>
        <w:rPr>
          <w:highlight w:val="white"/>
        </w:rPr>
      </w:pPr>
      <w:r w:rsidRPr="00C005A2">
        <w:rPr>
          <w:noProof/>
          <w:lang w:val="en-IN" w:eastAsia="en-IN"/>
        </w:rPr>
        <w:drawing>
          <wp:inline distT="0" distB="0" distL="0" distR="0" wp14:anchorId="41EFD64E" wp14:editId="28FD3AEA">
            <wp:extent cx="5730875" cy="3390900"/>
            <wp:effectExtent l="0" t="0" r="3175" b="0"/>
            <wp:docPr id="7" name="image6.png"/>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r:embed="rId10"/>
                    <a:srcRect t="48" b="48"/>
                    <a:stretch>
                      <a:fillRect/>
                    </a:stretch>
                  </pic:blipFill>
                  <pic:spPr>
                    <a:xfrm>
                      <a:off x="0" y="0"/>
                      <a:ext cx="5730875" cy="3390900"/>
                    </a:xfrm>
                    <a:prstGeom prst="rect">
                      <a:avLst/>
                    </a:prstGeom>
                    <a:ln/>
                  </pic:spPr>
                </pic:pic>
              </a:graphicData>
            </a:graphic>
          </wp:inline>
        </w:drawing>
      </w:r>
    </w:p>
    <w:p w14:paraId="58500088" w14:textId="5DB054CB" w:rsidR="002051D3" w:rsidRPr="00C005A2" w:rsidRDefault="002051D3" w:rsidP="002051D3">
      <w:pPr>
        <w:spacing w:before="240" w:after="240"/>
        <w:jc w:val="both"/>
        <w:rPr>
          <w:sz w:val="18"/>
          <w:szCs w:val="18"/>
        </w:rPr>
      </w:pPr>
      <w:r w:rsidRPr="00C005A2">
        <w:rPr>
          <w:b/>
          <w:sz w:val="18"/>
          <w:szCs w:val="18"/>
        </w:rPr>
        <w:t>Figure B.3</w:t>
      </w:r>
      <w:r w:rsidRPr="00C005A2">
        <w:rPr>
          <w:sz w:val="18"/>
          <w:szCs w:val="18"/>
        </w:rPr>
        <w:t xml:space="preserve">: Isolated reproducibility analysis for the derivation of maximum systolic deceleration rate (MSDR). Here, in addition to the  new mask registration (with results shown in Figure A.1), typical classes of segmentation variations are incorporated including systematically smaller segmentations (Erosion), systematically larger segmentations (Dilation), and segmentations varying along the length of the aorta (Varying). In each plot, data is shown for both subjects with stable (black) and enlarging (red) aortic dimensions. </w:t>
      </w:r>
    </w:p>
    <w:p w14:paraId="7E54D25C" w14:textId="12E9E0CC" w:rsidR="002051D3" w:rsidRPr="00C005A2" w:rsidRDefault="002051D3" w:rsidP="002051D3">
      <w:pPr>
        <w:spacing w:before="240" w:after="240"/>
        <w:rPr>
          <w:highlight w:val="white"/>
        </w:rPr>
      </w:pPr>
      <w:r w:rsidRPr="00C005A2">
        <w:rPr>
          <w:b/>
          <w:sz w:val="18"/>
          <w:szCs w:val="18"/>
        </w:rPr>
        <w:t>Table A.1</w:t>
      </w:r>
      <w:r w:rsidRPr="00C005A2">
        <w:rPr>
          <w:sz w:val="18"/>
          <w:szCs w:val="18"/>
        </w:rPr>
        <w:t>: Reproducibility analysis - evaluating interobserver variability. Note that for false lumen maximum relative pressure (FL</w:t>
      </w:r>
      <w:r w:rsidRPr="00C005A2">
        <w:rPr>
          <w:sz w:val="18"/>
          <w:szCs w:val="18"/>
          <w:highlight w:val="white"/>
        </w:rPr>
        <w:t>ΔP</w:t>
      </w:r>
      <w:r w:rsidRPr="00C005A2">
        <w:rPr>
          <w:sz w:val="18"/>
          <w:szCs w:val="18"/>
          <w:highlight w:val="white"/>
          <w:vertAlign w:val="subscript"/>
        </w:rPr>
        <w:t>max</w:t>
      </w:r>
      <w:r w:rsidRPr="00C005A2">
        <w:rPr>
          <w:sz w:val="18"/>
          <w:szCs w:val="18"/>
        </w:rPr>
        <w:t>) and maximum systolic deceleration rate (MSDR) - both relying on false lumen co-registration and segmentation - data are presented for new co-registration only, as well as additional variation of segmentation (varying, smaller, larger, respectively).</w:t>
      </w:r>
    </w:p>
    <w:tbl>
      <w:tblPr>
        <w:tblStyle w:val="TableGrid"/>
        <w:tblW w:w="0" w:type="auto"/>
        <w:tblLook w:val="04A0" w:firstRow="1" w:lastRow="0" w:firstColumn="1" w:lastColumn="0" w:noHBand="0" w:noVBand="1"/>
      </w:tblPr>
      <w:tblGrid>
        <w:gridCol w:w="3192"/>
        <w:gridCol w:w="3192"/>
        <w:gridCol w:w="3192"/>
      </w:tblGrid>
      <w:tr w:rsidR="00C005A2" w:rsidRPr="00C005A2" w14:paraId="405B572A" w14:textId="77777777" w:rsidTr="00A46FEB">
        <w:tc>
          <w:tcPr>
            <w:tcW w:w="3192" w:type="dxa"/>
          </w:tcPr>
          <w:p w14:paraId="3733D48D" w14:textId="5C2DC830" w:rsidR="00A46FEB" w:rsidRPr="00C005A2" w:rsidRDefault="00A46FEB" w:rsidP="00A46FEB">
            <w:pPr>
              <w:spacing w:before="240" w:after="240" w:line="480" w:lineRule="auto"/>
            </w:pPr>
            <w:r w:rsidRPr="00C005A2">
              <w:rPr>
                <w:b/>
              </w:rPr>
              <w:t>Characteristics</w:t>
            </w:r>
          </w:p>
        </w:tc>
        <w:tc>
          <w:tcPr>
            <w:tcW w:w="3192" w:type="dxa"/>
          </w:tcPr>
          <w:p w14:paraId="5A6DF399" w14:textId="2E5BCD99" w:rsidR="00A46FEB" w:rsidRPr="00C005A2" w:rsidRDefault="00A46FEB" w:rsidP="00A46FEB">
            <w:pPr>
              <w:spacing w:before="240" w:after="240" w:line="480" w:lineRule="auto"/>
            </w:pPr>
            <w:r w:rsidRPr="00C005A2">
              <w:rPr>
                <w:b/>
              </w:rPr>
              <w:t>Pearson’s correlation statistics (</w:t>
            </w:r>
            <w:r w:rsidRPr="00C005A2">
              <w:rPr>
                <w:b/>
                <w:i/>
              </w:rPr>
              <w:t>R; p</w:t>
            </w:r>
            <w:r w:rsidRPr="00C005A2">
              <w:rPr>
                <w:b/>
              </w:rPr>
              <w:t>)</w:t>
            </w:r>
          </w:p>
        </w:tc>
        <w:tc>
          <w:tcPr>
            <w:tcW w:w="3192" w:type="dxa"/>
          </w:tcPr>
          <w:p w14:paraId="47270E45" w14:textId="7CC7BCB2" w:rsidR="00A46FEB" w:rsidRPr="00C005A2" w:rsidRDefault="00A46FEB" w:rsidP="00A46FEB">
            <w:pPr>
              <w:spacing w:before="240" w:after="240" w:line="480" w:lineRule="auto"/>
            </w:pPr>
            <w:r w:rsidRPr="00C005A2">
              <w:rPr>
                <w:b/>
              </w:rPr>
              <w:t xml:space="preserve">Limits of agreement </w:t>
            </w:r>
            <w:r w:rsidRPr="00C005A2">
              <w:rPr>
                <w:b/>
              </w:rPr>
              <w:br/>
              <w:t>(</w:t>
            </w:r>
            <w:r w:rsidRPr="00C005A2">
              <w:rPr>
                <w:b/>
                <w:i/>
              </w:rPr>
              <w:t>m ± sd</w:t>
            </w:r>
            <w:r w:rsidRPr="00C005A2">
              <w:rPr>
                <w:b/>
              </w:rPr>
              <w:t>)</w:t>
            </w:r>
          </w:p>
        </w:tc>
      </w:tr>
      <w:tr w:rsidR="00C005A2" w:rsidRPr="00C005A2" w14:paraId="13B7192E" w14:textId="77777777" w:rsidTr="00A46FEB">
        <w:tc>
          <w:tcPr>
            <w:tcW w:w="3192" w:type="dxa"/>
          </w:tcPr>
          <w:p w14:paraId="0B2BC7E5" w14:textId="374FCBEB" w:rsidR="00A46FEB" w:rsidRPr="00C005A2" w:rsidRDefault="00A46FEB" w:rsidP="00A46FEB">
            <w:pPr>
              <w:spacing w:before="240" w:after="240" w:line="480" w:lineRule="auto"/>
            </w:pPr>
            <w:r w:rsidRPr="00C005A2">
              <w:rPr>
                <w:i/>
              </w:rPr>
              <w:t>FL EF (%)</w:t>
            </w:r>
          </w:p>
        </w:tc>
        <w:tc>
          <w:tcPr>
            <w:tcW w:w="3192" w:type="dxa"/>
            <w:vAlign w:val="center"/>
          </w:tcPr>
          <w:p w14:paraId="29A0434E" w14:textId="78C79850" w:rsidR="00A46FEB" w:rsidRPr="00C005A2" w:rsidRDefault="00A46FEB" w:rsidP="00A46FEB">
            <w:pPr>
              <w:spacing w:before="240" w:after="240" w:line="480" w:lineRule="auto"/>
            </w:pPr>
            <w:r w:rsidRPr="00C005A2">
              <w:t>0.86; &lt;0.001</w:t>
            </w:r>
          </w:p>
        </w:tc>
        <w:tc>
          <w:tcPr>
            <w:tcW w:w="3192" w:type="dxa"/>
            <w:vAlign w:val="center"/>
          </w:tcPr>
          <w:p w14:paraId="0442DA23" w14:textId="130B63B4" w:rsidR="00A46FEB" w:rsidRPr="00C005A2" w:rsidRDefault="00A46FEB" w:rsidP="00A46FEB">
            <w:pPr>
              <w:spacing w:before="240" w:after="240" w:line="480" w:lineRule="auto"/>
            </w:pPr>
            <w:r w:rsidRPr="00C005A2">
              <w:t xml:space="preserve">-1.6 </w:t>
            </w:r>
            <w:r w:rsidRPr="00C005A2">
              <w:rPr>
                <w:highlight w:val="white"/>
              </w:rPr>
              <w:t>± 13.4</w:t>
            </w:r>
            <w:r w:rsidRPr="00C005A2">
              <w:t xml:space="preserve"> </w:t>
            </w:r>
          </w:p>
        </w:tc>
      </w:tr>
      <w:tr w:rsidR="00C005A2" w:rsidRPr="00C005A2" w14:paraId="50B2A633" w14:textId="77777777" w:rsidTr="00A46FEB">
        <w:tc>
          <w:tcPr>
            <w:tcW w:w="3192" w:type="dxa"/>
          </w:tcPr>
          <w:p w14:paraId="724DB07B" w14:textId="73C7CACA" w:rsidR="00A46FEB" w:rsidRPr="00C005A2" w:rsidRDefault="00A46FEB" w:rsidP="00A46FEB">
            <w:pPr>
              <w:spacing w:before="240" w:after="240"/>
              <w:ind w:left="100"/>
              <w:rPr>
                <w:sz w:val="18"/>
                <w:szCs w:val="18"/>
              </w:rPr>
            </w:pPr>
            <w:r w:rsidRPr="00C005A2">
              <w:rPr>
                <w:i/>
              </w:rPr>
              <w:t>FL maximum relative pressure (mmHg/m)</w:t>
            </w:r>
          </w:p>
        </w:tc>
        <w:tc>
          <w:tcPr>
            <w:tcW w:w="3192" w:type="dxa"/>
            <w:vAlign w:val="center"/>
          </w:tcPr>
          <w:p w14:paraId="2978566C" w14:textId="77777777" w:rsidR="00A46FEB" w:rsidRPr="00C005A2" w:rsidRDefault="00A46FEB" w:rsidP="00A46FEB">
            <w:pPr>
              <w:spacing w:before="240" w:after="240" w:line="480" w:lineRule="auto"/>
            </w:pPr>
          </w:p>
        </w:tc>
        <w:tc>
          <w:tcPr>
            <w:tcW w:w="3192" w:type="dxa"/>
            <w:vAlign w:val="center"/>
          </w:tcPr>
          <w:p w14:paraId="08982AE7" w14:textId="77777777" w:rsidR="00A46FEB" w:rsidRPr="00C005A2" w:rsidRDefault="00A46FEB" w:rsidP="00A46FEB">
            <w:pPr>
              <w:spacing w:before="240" w:after="240" w:line="480" w:lineRule="auto"/>
            </w:pPr>
          </w:p>
        </w:tc>
      </w:tr>
      <w:tr w:rsidR="00C005A2" w:rsidRPr="00C005A2" w14:paraId="723F70C5" w14:textId="77777777" w:rsidTr="00A46FEB">
        <w:tc>
          <w:tcPr>
            <w:tcW w:w="3192" w:type="dxa"/>
          </w:tcPr>
          <w:p w14:paraId="709EDAE6" w14:textId="0B96334B" w:rsidR="00A46FEB" w:rsidRPr="00C005A2" w:rsidRDefault="00A46FEB" w:rsidP="00A46FEB">
            <w:pPr>
              <w:spacing w:before="240" w:after="240" w:line="480" w:lineRule="auto"/>
              <w:jc w:val="center"/>
            </w:pPr>
            <w:r w:rsidRPr="00C005A2">
              <w:rPr>
                <w:i/>
              </w:rPr>
              <w:t xml:space="preserve">Co-registration </w:t>
            </w:r>
          </w:p>
        </w:tc>
        <w:tc>
          <w:tcPr>
            <w:tcW w:w="3192" w:type="dxa"/>
            <w:vAlign w:val="center"/>
          </w:tcPr>
          <w:p w14:paraId="1940AABC" w14:textId="1C2B1E57" w:rsidR="00A46FEB" w:rsidRPr="00C005A2" w:rsidRDefault="00A46FEB" w:rsidP="00A46FEB">
            <w:pPr>
              <w:spacing w:before="240" w:after="240" w:line="480" w:lineRule="auto"/>
            </w:pPr>
            <w:r w:rsidRPr="00C005A2">
              <w:t>0.98; &lt;0.001</w:t>
            </w:r>
          </w:p>
        </w:tc>
        <w:tc>
          <w:tcPr>
            <w:tcW w:w="3192" w:type="dxa"/>
            <w:vAlign w:val="center"/>
          </w:tcPr>
          <w:p w14:paraId="60E2A777" w14:textId="36FC9C60" w:rsidR="00A46FEB" w:rsidRPr="00C005A2" w:rsidRDefault="00A46FEB" w:rsidP="00A46FEB">
            <w:pPr>
              <w:spacing w:before="240" w:after="240" w:line="480" w:lineRule="auto"/>
            </w:pPr>
            <w:r w:rsidRPr="00C005A2">
              <w:rPr>
                <w:highlight w:val="white"/>
              </w:rPr>
              <w:t>-0.5 ± 4.0</w:t>
            </w:r>
          </w:p>
        </w:tc>
      </w:tr>
      <w:tr w:rsidR="00C005A2" w:rsidRPr="00C005A2" w14:paraId="252F6817" w14:textId="77777777" w:rsidTr="00A46FEB">
        <w:tc>
          <w:tcPr>
            <w:tcW w:w="3192" w:type="dxa"/>
          </w:tcPr>
          <w:p w14:paraId="06D62F07" w14:textId="1C3A8C1B" w:rsidR="00A46FEB" w:rsidRPr="00C005A2" w:rsidRDefault="00A46FEB" w:rsidP="00A46FEB">
            <w:pPr>
              <w:spacing w:before="240" w:after="240" w:line="480" w:lineRule="auto"/>
              <w:jc w:val="center"/>
            </w:pPr>
            <w:r w:rsidRPr="00C005A2">
              <w:rPr>
                <w:i/>
              </w:rPr>
              <w:t>Varying</w:t>
            </w:r>
          </w:p>
        </w:tc>
        <w:tc>
          <w:tcPr>
            <w:tcW w:w="3192" w:type="dxa"/>
            <w:vAlign w:val="center"/>
          </w:tcPr>
          <w:p w14:paraId="61D6E3F3" w14:textId="3D37AB06" w:rsidR="00A46FEB" w:rsidRPr="00C005A2" w:rsidRDefault="00A46FEB" w:rsidP="00A46FEB">
            <w:pPr>
              <w:spacing w:before="240" w:after="240" w:line="480" w:lineRule="auto"/>
            </w:pPr>
            <w:r w:rsidRPr="00C005A2">
              <w:t>0.99; &lt;0.001</w:t>
            </w:r>
          </w:p>
        </w:tc>
        <w:tc>
          <w:tcPr>
            <w:tcW w:w="3192" w:type="dxa"/>
            <w:vAlign w:val="center"/>
          </w:tcPr>
          <w:p w14:paraId="0BF3DB44" w14:textId="1407DA42" w:rsidR="00A46FEB" w:rsidRPr="00C005A2" w:rsidRDefault="00A46FEB" w:rsidP="00A46FEB">
            <w:pPr>
              <w:spacing w:before="240" w:after="240" w:line="480" w:lineRule="auto"/>
            </w:pPr>
            <w:r w:rsidRPr="00C005A2">
              <w:rPr>
                <w:highlight w:val="white"/>
              </w:rPr>
              <w:t>-0.3 ± 3.2</w:t>
            </w:r>
          </w:p>
        </w:tc>
      </w:tr>
      <w:tr w:rsidR="00C005A2" w:rsidRPr="00C005A2" w14:paraId="0B2C56A5" w14:textId="77777777" w:rsidTr="00A46FEB">
        <w:tc>
          <w:tcPr>
            <w:tcW w:w="3192" w:type="dxa"/>
          </w:tcPr>
          <w:p w14:paraId="26B91086" w14:textId="0D1DB9B3" w:rsidR="00A46FEB" w:rsidRPr="00C005A2" w:rsidRDefault="00A46FEB" w:rsidP="00A46FEB">
            <w:pPr>
              <w:spacing w:before="240" w:after="240" w:line="480" w:lineRule="auto"/>
              <w:jc w:val="center"/>
            </w:pPr>
            <w:r w:rsidRPr="00C005A2">
              <w:rPr>
                <w:i/>
              </w:rPr>
              <w:t>Smaller</w:t>
            </w:r>
          </w:p>
        </w:tc>
        <w:tc>
          <w:tcPr>
            <w:tcW w:w="3192" w:type="dxa"/>
            <w:vAlign w:val="center"/>
          </w:tcPr>
          <w:p w14:paraId="24BBBA2D" w14:textId="1BA8E098" w:rsidR="00A46FEB" w:rsidRPr="00C005A2" w:rsidRDefault="00A46FEB" w:rsidP="00A46FEB">
            <w:pPr>
              <w:spacing w:before="240" w:after="240" w:line="480" w:lineRule="auto"/>
            </w:pPr>
            <w:r w:rsidRPr="00C005A2">
              <w:t>0.96; &lt;0.001</w:t>
            </w:r>
          </w:p>
        </w:tc>
        <w:tc>
          <w:tcPr>
            <w:tcW w:w="3192" w:type="dxa"/>
            <w:vAlign w:val="center"/>
          </w:tcPr>
          <w:p w14:paraId="50E20D7D" w14:textId="0C4CBF1E" w:rsidR="00A46FEB" w:rsidRPr="00C005A2" w:rsidRDefault="00A46FEB" w:rsidP="00A46FEB">
            <w:pPr>
              <w:spacing w:before="240" w:after="240" w:line="480" w:lineRule="auto"/>
            </w:pPr>
            <w:r w:rsidRPr="00C005A2">
              <w:rPr>
                <w:highlight w:val="white"/>
              </w:rPr>
              <w:t>-1.1 ± 6.1</w:t>
            </w:r>
          </w:p>
        </w:tc>
      </w:tr>
      <w:tr w:rsidR="00C005A2" w:rsidRPr="00C005A2" w14:paraId="615A2A46" w14:textId="77777777" w:rsidTr="00A46FEB">
        <w:tc>
          <w:tcPr>
            <w:tcW w:w="3192" w:type="dxa"/>
          </w:tcPr>
          <w:p w14:paraId="3F04B070" w14:textId="4869C0B6" w:rsidR="00A46FEB" w:rsidRPr="00C005A2" w:rsidRDefault="00A46FEB" w:rsidP="00A46FEB">
            <w:pPr>
              <w:spacing w:before="240" w:after="240" w:line="480" w:lineRule="auto"/>
              <w:jc w:val="center"/>
            </w:pPr>
            <w:r w:rsidRPr="00C005A2">
              <w:rPr>
                <w:i/>
              </w:rPr>
              <w:t>Larger</w:t>
            </w:r>
          </w:p>
        </w:tc>
        <w:tc>
          <w:tcPr>
            <w:tcW w:w="3192" w:type="dxa"/>
            <w:vAlign w:val="center"/>
          </w:tcPr>
          <w:p w14:paraId="31F190E1" w14:textId="38BCF1C6" w:rsidR="00A46FEB" w:rsidRPr="00C005A2" w:rsidRDefault="00A46FEB" w:rsidP="00A46FEB">
            <w:pPr>
              <w:spacing w:before="240" w:after="240" w:line="480" w:lineRule="auto"/>
            </w:pPr>
            <w:r w:rsidRPr="00C005A2">
              <w:t>0.95; &lt;0.001</w:t>
            </w:r>
          </w:p>
        </w:tc>
        <w:tc>
          <w:tcPr>
            <w:tcW w:w="3192" w:type="dxa"/>
            <w:vAlign w:val="center"/>
          </w:tcPr>
          <w:p w14:paraId="1B4FD990" w14:textId="774C8AA8" w:rsidR="00A46FEB" w:rsidRPr="00C005A2" w:rsidRDefault="00A46FEB" w:rsidP="00A46FEB">
            <w:pPr>
              <w:spacing w:before="240" w:after="240" w:line="480" w:lineRule="auto"/>
            </w:pPr>
            <w:r w:rsidRPr="00C005A2">
              <w:rPr>
                <w:highlight w:val="white"/>
              </w:rPr>
              <w:t>-2.7 ± 9.2</w:t>
            </w:r>
          </w:p>
        </w:tc>
      </w:tr>
      <w:tr w:rsidR="00C005A2" w:rsidRPr="00C005A2" w14:paraId="73D28407" w14:textId="77777777" w:rsidTr="00A46FEB">
        <w:tc>
          <w:tcPr>
            <w:tcW w:w="3192" w:type="dxa"/>
          </w:tcPr>
          <w:p w14:paraId="5B14ABC6" w14:textId="2222A935" w:rsidR="00A46FEB" w:rsidRPr="00C005A2" w:rsidRDefault="00A46FEB" w:rsidP="00A46FEB">
            <w:pPr>
              <w:spacing w:before="240" w:after="240"/>
              <w:ind w:left="100"/>
              <w:rPr>
                <w:sz w:val="18"/>
                <w:szCs w:val="18"/>
              </w:rPr>
            </w:pPr>
            <w:r w:rsidRPr="00C005A2">
              <w:rPr>
                <w:i/>
              </w:rPr>
              <w:t>MSDR (cm/s</w:t>
            </w:r>
            <w:r w:rsidRPr="00C005A2">
              <w:rPr>
                <w:i/>
                <w:vertAlign w:val="superscript"/>
              </w:rPr>
              <w:t>3</w:t>
            </w:r>
            <w:r w:rsidRPr="00C005A2">
              <w:rPr>
                <w:i/>
              </w:rPr>
              <w:t>)</w:t>
            </w:r>
          </w:p>
        </w:tc>
        <w:tc>
          <w:tcPr>
            <w:tcW w:w="3192" w:type="dxa"/>
            <w:vAlign w:val="center"/>
          </w:tcPr>
          <w:p w14:paraId="430EBDCB" w14:textId="77777777" w:rsidR="00A46FEB" w:rsidRPr="00C005A2" w:rsidRDefault="00A46FEB" w:rsidP="00A46FEB">
            <w:pPr>
              <w:spacing w:before="240" w:after="240" w:line="480" w:lineRule="auto"/>
            </w:pPr>
          </w:p>
        </w:tc>
        <w:tc>
          <w:tcPr>
            <w:tcW w:w="3192" w:type="dxa"/>
            <w:vAlign w:val="center"/>
          </w:tcPr>
          <w:p w14:paraId="2794000C" w14:textId="77777777" w:rsidR="00A46FEB" w:rsidRPr="00C005A2" w:rsidRDefault="00A46FEB" w:rsidP="00A46FEB">
            <w:pPr>
              <w:spacing w:before="240" w:after="240" w:line="480" w:lineRule="auto"/>
            </w:pPr>
          </w:p>
        </w:tc>
      </w:tr>
      <w:tr w:rsidR="00C005A2" w:rsidRPr="00C005A2" w14:paraId="261C96BA" w14:textId="77777777" w:rsidTr="00A46FEB">
        <w:tc>
          <w:tcPr>
            <w:tcW w:w="3192" w:type="dxa"/>
          </w:tcPr>
          <w:p w14:paraId="6E1FFF2B" w14:textId="2BCBA55C" w:rsidR="00A46FEB" w:rsidRPr="00C005A2" w:rsidRDefault="00A46FEB" w:rsidP="00A46FEB">
            <w:pPr>
              <w:spacing w:before="240" w:after="240" w:line="480" w:lineRule="auto"/>
              <w:jc w:val="center"/>
            </w:pPr>
            <w:r w:rsidRPr="00C005A2">
              <w:rPr>
                <w:i/>
              </w:rPr>
              <w:t xml:space="preserve">Co-registration </w:t>
            </w:r>
          </w:p>
        </w:tc>
        <w:tc>
          <w:tcPr>
            <w:tcW w:w="3192" w:type="dxa"/>
            <w:vAlign w:val="center"/>
          </w:tcPr>
          <w:p w14:paraId="5C8D13EC" w14:textId="43940881" w:rsidR="00A46FEB" w:rsidRPr="00C005A2" w:rsidRDefault="00A46FEB" w:rsidP="00A46FEB">
            <w:pPr>
              <w:spacing w:before="240" w:after="240" w:line="480" w:lineRule="auto"/>
            </w:pPr>
            <w:r w:rsidRPr="00C005A2">
              <w:t>0.91; &lt;0.001</w:t>
            </w:r>
          </w:p>
        </w:tc>
        <w:tc>
          <w:tcPr>
            <w:tcW w:w="3192" w:type="dxa"/>
            <w:vAlign w:val="center"/>
          </w:tcPr>
          <w:p w14:paraId="2B4235F4" w14:textId="4E70480A" w:rsidR="00A46FEB" w:rsidRPr="00C005A2" w:rsidRDefault="00A46FEB" w:rsidP="00A46FEB">
            <w:pPr>
              <w:spacing w:before="240" w:after="240" w:line="480" w:lineRule="auto"/>
            </w:pPr>
            <w:r w:rsidRPr="00C005A2">
              <w:rPr>
                <w:highlight w:val="white"/>
              </w:rPr>
              <w:t>-180.7 ± 413.2</w:t>
            </w:r>
          </w:p>
        </w:tc>
      </w:tr>
      <w:tr w:rsidR="00C005A2" w:rsidRPr="00C005A2" w14:paraId="4F91C1FA" w14:textId="77777777" w:rsidTr="00A46FEB">
        <w:tc>
          <w:tcPr>
            <w:tcW w:w="3192" w:type="dxa"/>
          </w:tcPr>
          <w:p w14:paraId="31CF232E" w14:textId="3E938CD8" w:rsidR="00A46FEB" w:rsidRPr="00C005A2" w:rsidRDefault="00A46FEB" w:rsidP="00A46FEB">
            <w:pPr>
              <w:spacing w:before="240" w:after="240" w:line="480" w:lineRule="auto"/>
              <w:jc w:val="center"/>
            </w:pPr>
            <w:r w:rsidRPr="00C005A2">
              <w:rPr>
                <w:i/>
              </w:rPr>
              <w:t>Varying</w:t>
            </w:r>
          </w:p>
        </w:tc>
        <w:tc>
          <w:tcPr>
            <w:tcW w:w="3192" w:type="dxa"/>
            <w:vAlign w:val="center"/>
          </w:tcPr>
          <w:p w14:paraId="72856BBB" w14:textId="211712F5" w:rsidR="00A46FEB" w:rsidRPr="00C005A2" w:rsidRDefault="00A46FEB" w:rsidP="00A46FEB">
            <w:pPr>
              <w:spacing w:before="240" w:after="240" w:line="480" w:lineRule="auto"/>
            </w:pPr>
            <w:r w:rsidRPr="00C005A2">
              <w:t>0.91; &lt;0.001</w:t>
            </w:r>
          </w:p>
        </w:tc>
        <w:tc>
          <w:tcPr>
            <w:tcW w:w="3192" w:type="dxa"/>
            <w:vAlign w:val="center"/>
          </w:tcPr>
          <w:p w14:paraId="0382E4D7" w14:textId="44888EF5" w:rsidR="00A46FEB" w:rsidRPr="00C005A2" w:rsidRDefault="00A46FEB" w:rsidP="00A46FEB">
            <w:pPr>
              <w:spacing w:before="240" w:after="240" w:line="480" w:lineRule="auto"/>
            </w:pPr>
            <w:r w:rsidRPr="00C005A2">
              <w:rPr>
                <w:highlight w:val="white"/>
              </w:rPr>
              <w:t>-148.9 ± 407.5</w:t>
            </w:r>
          </w:p>
        </w:tc>
      </w:tr>
      <w:tr w:rsidR="00C005A2" w:rsidRPr="00C005A2" w14:paraId="43A19626" w14:textId="77777777" w:rsidTr="00A46FEB">
        <w:tc>
          <w:tcPr>
            <w:tcW w:w="3192" w:type="dxa"/>
          </w:tcPr>
          <w:p w14:paraId="25CB84AA" w14:textId="3D8F0CD1" w:rsidR="00A46FEB" w:rsidRPr="00C005A2" w:rsidRDefault="00A46FEB" w:rsidP="00A46FEB">
            <w:pPr>
              <w:spacing w:before="240" w:after="240" w:line="480" w:lineRule="auto"/>
              <w:jc w:val="center"/>
            </w:pPr>
            <w:r w:rsidRPr="00C005A2">
              <w:rPr>
                <w:i/>
              </w:rPr>
              <w:t>Smaller</w:t>
            </w:r>
          </w:p>
        </w:tc>
        <w:tc>
          <w:tcPr>
            <w:tcW w:w="3192" w:type="dxa"/>
            <w:vAlign w:val="center"/>
          </w:tcPr>
          <w:p w14:paraId="0BAD365E" w14:textId="0D3F0F88" w:rsidR="00A46FEB" w:rsidRPr="00C005A2" w:rsidRDefault="00A46FEB" w:rsidP="00A46FEB">
            <w:pPr>
              <w:spacing w:before="240" w:after="240" w:line="480" w:lineRule="auto"/>
            </w:pPr>
            <w:r w:rsidRPr="00C005A2">
              <w:t>0.75; 0.005</w:t>
            </w:r>
          </w:p>
        </w:tc>
        <w:tc>
          <w:tcPr>
            <w:tcW w:w="3192" w:type="dxa"/>
            <w:vAlign w:val="center"/>
          </w:tcPr>
          <w:p w14:paraId="0F0B6801" w14:textId="45E1395A" w:rsidR="00A46FEB" w:rsidRPr="00C005A2" w:rsidRDefault="00A46FEB" w:rsidP="00A46FEB">
            <w:pPr>
              <w:spacing w:before="240" w:after="240" w:line="480" w:lineRule="auto"/>
            </w:pPr>
            <w:r w:rsidRPr="00C005A2">
              <w:rPr>
                <w:highlight w:val="white"/>
              </w:rPr>
              <w:t>-132.8 ± 685.2</w:t>
            </w:r>
          </w:p>
        </w:tc>
      </w:tr>
      <w:tr w:rsidR="00C005A2" w:rsidRPr="00C005A2" w14:paraId="23C3B2AA" w14:textId="77777777" w:rsidTr="00A46FEB">
        <w:tc>
          <w:tcPr>
            <w:tcW w:w="3192" w:type="dxa"/>
          </w:tcPr>
          <w:p w14:paraId="290A1AF4" w14:textId="33EB794E" w:rsidR="00A46FEB" w:rsidRPr="00C005A2" w:rsidRDefault="00A46FEB" w:rsidP="00A46FEB">
            <w:pPr>
              <w:spacing w:before="240" w:after="240" w:line="480" w:lineRule="auto"/>
              <w:jc w:val="center"/>
            </w:pPr>
            <w:r w:rsidRPr="00C005A2">
              <w:rPr>
                <w:i/>
              </w:rPr>
              <w:t>Larger</w:t>
            </w:r>
          </w:p>
        </w:tc>
        <w:tc>
          <w:tcPr>
            <w:tcW w:w="3192" w:type="dxa"/>
            <w:vAlign w:val="center"/>
          </w:tcPr>
          <w:p w14:paraId="03B8D2BE" w14:textId="474395AB" w:rsidR="00A46FEB" w:rsidRPr="00C005A2" w:rsidRDefault="00A46FEB" w:rsidP="00A46FEB">
            <w:pPr>
              <w:spacing w:before="240" w:after="240" w:line="480" w:lineRule="auto"/>
            </w:pPr>
            <w:r w:rsidRPr="00C005A2">
              <w:t>0.87; &lt;0.001</w:t>
            </w:r>
          </w:p>
        </w:tc>
        <w:tc>
          <w:tcPr>
            <w:tcW w:w="3192" w:type="dxa"/>
            <w:vAlign w:val="center"/>
          </w:tcPr>
          <w:p w14:paraId="64797D2A" w14:textId="6C61FE32" w:rsidR="00A46FEB" w:rsidRPr="00C005A2" w:rsidRDefault="00A46FEB" w:rsidP="00A46FEB">
            <w:pPr>
              <w:spacing w:before="240" w:after="240" w:line="480" w:lineRule="auto"/>
            </w:pPr>
            <w:r w:rsidRPr="00C005A2">
              <w:rPr>
                <w:highlight w:val="white"/>
              </w:rPr>
              <w:t>-154.2 ± 576.5</w:t>
            </w:r>
          </w:p>
        </w:tc>
      </w:tr>
      <w:tr w:rsidR="00A46FEB" w:rsidRPr="00C005A2" w14:paraId="4B61EC2E" w14:textId="77777777" w:rsidTr="00A46FEB">
        <w:tc>
          <w:tcPr>
            <w:tcW w:w="3192" w:type="dxa"/>
          </w:tcPr>
          <w:p w14:paraId="25A9E7A5" w14:textId="467329FC" w:rsidR="00A46FEB" w:rsidRPr="00C005A2" w:rsidRDefault="00A46FEB" w:rsidP="00A46FEB">
            <w:pPr>
              <w:spacing w:before="240" w:after="240"/>
              <w:ind w:left="100"/>
              <w:rPr>
                <w:sz w:val="18"/>
                <w:szCs w:val="18"/>
              </w:rPr>
            </w:pPr>
            <w:r w:rsidRPr="00C005A2">
              <w:rPr>
                <w:i/>
              </w:rPr>
              <w:t>Aortic growth rate (mm/year)</w:t>
            </w:r>
          </w:p>
        </w:tc>
        <w:tc>
          <w:tcPr>
            <w:tcW w:w="3192" w:type="dxa"/>
            <w:vAlign w:val="center"/>
          </w:tcPr>
          <w:p w14:paraId="02286E27" w14:textId="06D1A2FB" w:rsidR="00A46FEB" w:rsidRPr="00C005A2" w:rsidRDefault="00A46FEB" w:rsidP="00A46FEB">
            <w:pPr>
              <w:spacing w:before="240" w:after="240" w:line="480" w:lineRule="auto"/>
            </w:pPr>
            <w:r w:rsidRPr="00C005A2">
              <w:t>0.94; &lt;0.001</w:t>
            </w:r>
          </w:p>
        </w:tc>
        <w:tc>
          <w:tcPr>
            <w:tcW w:w="3192" w:type="dxa"/>
            <w:vAlign w:val="center"/>
          </w:tcPr>
          <w:p w14:paraId="64166D09" w14:textId="0661AF77" w:rsidR="00A46FEB" w:rsidRPr="00C005A2" w:rsidRDefault="00A46FEB" w:rsidP="00A46FEB">
            <w:pPr>
              <w:spacing w:before="240" w:after="240" w:line="480" w:lineRule="auto"/>
            </w:pPr>
            <w:r w:rsidRPr="00C005A2">
              <w:t xml:space="preserve">1.5 </w:t>
            </w:r>
            <w:r w:rsidRPr="00C005A2">
              <w:rPr>
                <w:highlight w:val="white"/>
              </w:rPr>
              <w:t>± 2.8</w:t>
            </w:r>
          </w:p>
        </w:tc>
      </w:tr>
    </w:tbl>
    <w:p w14:paraId="4A61F8D4" w14:textId="210B4DDE" w:rsidR="0010314A" w:rsidRPr="00C005A2" w:rsidRDefault="0010314A">
      <w:pPr>
        <w:shd w:val="clear" w:color="auto" w:fill="FFFFFF"/>
        <w:spacing w:line="480" w:lineRule="auto"/>
      </w:pPr>
    </w:p>
    <w:sectPr w:rsidR="0010314A" w:rsidRPr="00C005A2" w:rsidSect="006C0267">
      <w:headerReference w:type="default" r:id="rId11"/>
      <w:pgSz w:w="12240" w:h="15840"/>
      <w:pgMar w:top="1440" w:right="1440" w:bottom="1440" w:left="1440" w:header="720" w:footer="720" w:gutter="0"/>
      <w:lnNumType w:countBy="1" w:restart="continuous"/>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DF2C6" w16cex:dateUtc="2021-02-22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ADE7CB" w16cid:durableId="23DDFE81"/>
  <w16cid:commentId w16cid:paraId="23EC3089" w16cid:durableId="23DDF2C6"/>
  <w16cid:commentId w16cid:paraId="056836EC" w16cid:durableId="23DDFE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35089" w14:textId="77777777" w:rsidR="001B0837" w:rsidRDefault="001B0837">
      <w:pPr>
        <w:spacing w:line="240" w:lineRule="auto"/>
      </w:pPr>
      <w:r>
        <w:separator/>
      </w:r>
    </w:p>
  </w:endnote>
  <w:endnote w:type="continuationSeparator" w:id="0">
    <w:p w14:paraId="66EDFEF8" w14:textId="77777777" w:rsidR="001B0837" w:rsidRDefault="001B08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A92C7" w14:textId="77777777" w:rsidR="001B0837" w:rsidRDefault="001B0837">
      <w:pPr>
        <w:spacing w:line="240" w:lineRule="auto"/>
      </w:pPr>
      <w:r>
        <w:separator/>
      </w:r>
    </w:p>
  </w:footnote>
  <w:footnote w:type="continuationSeparator" w:id="0">
    <w:p w14:paraId="22B70E3C" w14:textId="77777777" w:rsidR="001B0837" w:rsidRDefault="001B083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C2B7" w14:textId="77777777" w:rsidR="006138CC" w:rsidRDefault="006138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A0682"/>
    <w:multiLevelType w:val="multilevel"/>
    <w:tmpl w:val="B8562F7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4EF561D7"/>
    <w:multiLevelType w:val="multilevel"/>
    <w:tmpl w:val="8612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xs5w9akzwzz3e2rd552edce2v2pfdf990s&quot;&gt;EndNoteLibraryDMarlevi&lt;record-ids&gt;&lt;item&gt;226&lt;/item&gt;&lt;item&gt;274&lt;/item&gt;&lt;item&gt;474&lt;/item&gt;&lt;item&gt;1075&lt;/item&gt;&lt;item&gt;1076&lt;/item&gt;&lt;item&gt;1077&lt;/item&gt;&lt;item&gt;1078&lt;/item&gt;&lt;item&gt;1079&lt;/item&gt;&lt;item&gt;1080&lt;/item&gt;&lt;item&gt;1081&lt;/item&gt;&lt;item&gt;1082&lt;/item&gt;&lt;item&gt;1083&lt;/item&gt;&lt;item&gt;1084&lt;/item&gt;&lt;item&gt;1085&lt;/item&gt;&lt;item&gt;1086&lt;/item&gt;&lt;item&gt;1087&lt;/item&gt;&lt;item&gt;1088&lt;/item&gt;&lt;item&gt;1089&lt;/item&gt;&lt;item&gt;1090&lt;/item&gt;&lt;item&gt;1091&lt;/item&gt;&lt;item&gt;1092&lt;/item&gt;&lt;item&gt;1093&lt;/item&gt;&lt;item&gt;1094&lt;/item&gt;&lt;item&gt;1096&lt;/item&gt;&lt;item&gt;1097&lt;/item&gt;&lt;item&gt;1098&lt;/item&gt;&lt;item&gt;1102&lt;/item&gt;&lt;item&gt;1103&lt;/item&gt;&lt;item&gt;1104&lt;/item&gt;&lt;item&gt;1110&lt;/item&gt;&lt;item&gt;1137&lt;/item&gt;&lt;item&gt;1138&lt;/item&gt;&lt;item&gt;1139&lt;/item&gt;&lt;item&gt;1154&lt;/item&gt;&lt;item&gt;1156&lt;/item&gt;&lt;/record-ids&gt;&lt;/item&gt;&lt;/Libraries&gt;"/>
  </w:docVars>
  <w:rsids>
    <w:rsidRoot w:val="0010314A"/>
    <w:rsid w:val="000009D0"/>
    <w:rsid w:val="00003C28"/>
    <w:rsid w:val="00020C5E"/>
    <w:rsid w:val="00024FE9"/>
    <w:rsid w:val="0003061E"/>
    <w:rsid w:val="000470FF"/>
    <w:rsid w:val="00051E8D"/>
    <w:rsid w:val="000661C9"/>
    <w:rsid w:val="000726E4"/>
    <w:rsid w:val="000768C8"/>
    <w:rsid w:val="00077B5D"/>
    <w:rsid w:val="000843D6"/>
    <w:rsid w:val="000903AE"/>
    <w:rsid w:val="00093E53"/>
    <w:rsid w:val="00094262"/>
    <w:rsid w:val="00094360"/>
    <w:rsid w:val="000A3AD3"/>
    <w:rsid w:val="000B1B76"/>
    <w:rsid w:val="000B24CC"/>
    <w:rsid w:val="000D3E01"/>
    <w:rsid w:val="000D7977"/>
    <w:rsid w:val="000E2392"/>
    <w:rsid w:val="000F08ED"/>
    <w:rsid w:val="000F7C06"/>
    <w:rsid w:val="00101207"/>
    <w:rsid w:val="0010314A"/>
    <w:rsid w:val="001077F6"/>
    <w:rsid w:val="00110F31"/>
    <w:rsid w:val="00116AB8"/>
    <w:rsid w:val="001454E4"/>
    <w:rsid w:val="00147D96"/>
    <w:rsid w:val="00150148"/>
    <w:rsid w:val="00154D87"/>
    <w:rsid w:val="00156FF8"/>
    <w:rsid w:val="001603FB"/>
    <w:rsid w:val="001616FE"/>
    <w:rsid w:val="001636D9"/>
    <w:rsid w:val="00164C66"/>
    <w:rsid w:val="0017278C"/>
    <w:rsid w:val="00173A90"/>
    <w:rsid w:val="00181E2F"/>
    <w:rsid w:val="001827C0"/>
    <w:rsid w:val="001906D4"/>
    <w:rsid w:val="00193818"/>
    <w:rsid w:val="001A46DA"/>
    <w:rsid w:val="001B0837"/>
    <w:rsid w:val="001B2F8C"/>
    <w:rsid w:val="001E1C59"/>
    <w:rsid w:val="001E64A4"/>
    <w:rsid w:val="002051D3"/>
    <w:rsid w:val="00225E62"/>
    <w:rsid w:val="00232A62"/>
    <w:rsid w:val="00245A5A"/>
    <w:rsid w:val="002503D7"/>
    <w:rsid w:val="00253F2C"/>
    <w:rsid w:val="002544E2"/>
    <w:rsid w:val="00257C4A"/>
    <w:rsid w:val="00262DFA"/>
    <w:rsid w:val="00263D63"/>
    <w:rsid w:val="00267D27"/>
    <w:rsid w:val="00274490"/>
    <w:rsid w:val="00274CC0"/>
    <w:rsid w:val="0028162A"/>
    <w:rsid w:val="00284D1D"/>
    <w:rsid w:val="00292233"/>
    <w:rsid w:val="002961AC"/>
    <w:rsid w:val="002B3C6C"/>
    <w:rsid w:val="002B63BD"/>
    <w:rsid w:val="002C0445"/>
    <w:rsid w:val="002D140C"/>
    <w:rsid w:val="002D1BD4"/>
    <w:rsid w:val="002D2EC0"/>
    <w:rsid w:val="002E10ED"/>
    <w:rsid w:val="002E1FDF"/>
    <w:rsid w:val="002E62AB"/>
    <w:rsid w:val="002F1431"/>
    <w:rsid w:val="002F6A93"/>
    <w:rsid w:val="00301E08"/>
    <w:rsid w:val="003043C8"/>
    <w:rsid w:val="00305039"/>
    <w:rsid w:val="003063B5"/>
    <w:rsid w:val="0031327A"/>
    <w:rsid w:val="00317C49"/>
    <w:rsid w:val="00320C99"/>
    <w:rsid w:val="00324585"/>
    <w:rsid w:val="003318B4"/>
    <w:rsid w:val="003455FF"/>
    <w:rsid w:val="00350B8F"/>
    <w:rsid w:val="00352127"/>
    <w:rsid w:val="00352BBA"/>
    <w:rsid w:val="0035326E"/>
    <w:rsid w:val="00353BE1"/>
    <w:rsid w:val="00353ECF"/>
    <w:rsid w:val="003634FE"/>
    <w:rsid w:val="00363628"/>
    <w:rsid w:val="00363B7E"/>
    <w:rsid w:val="00364435"/>
    <w:rsid w:val="00365192"/>
    <w:rsid w:val="00365BC6"/>
    <w:rsid w:val="00373543"/>
    <w:rsid w:val="003757D2"/>
    <w:rsid w:val="00387A0F"/>
    <w:rsid w:val="003A6F94"/>
    <w:rsid w:val="003B1DAB"/>
    <w:rsid w:val="003B5887"/>
    <w:rsid w:val="003C2B76"/>
    <w:rsid w:val="003C554E"/>
    <w:rsid w:val="003C673A"/>
    <w:rsid w:val="003D1380"/>
    <w:rsid w:val="003D1B52"/>
    <w:rsid w:val="003D2766"/>
    <w:rsid w:val="003E00C1"/>
    <w:rsid w:val="003E1CCD"/>
    <w:rsid w:val="003E28E3"/>
    <w:rsid w:val="0040699F"/>
    <w:rsid w:val="00410DCF"/>
    <w:rsid w:val="00420645"/>
    <w:rsid w:val="00425D1B"/>
    <w:rsid w:val="00425D98"/>
    <w:rsid w:val="00430670"/>
    <w:rsid w:val="00433FA5"/>
    <w:rsid w:val="004453DF"/>
    <w:rsid w:val="00451311"/>
    <w:rsid w:val="004622B8"/>
    <w:rsid w:val="0047668D"/>
    <w:rsid w:val="00481851"/>
    <w:rsid w:val="00490494"/>
    <w:rsid w:val="00494E68"/>
    <w:rsid w:val="004A089E"/>
    <w:rsid w:val="004A2DBE"/>
    <w:rsid w:val="004A58CD"/>
    <w:rsid w:val="004C135A"/>
    <w:rsid w:val="004D2757"/>
    <w:rsid w:val="004D2AC9"/>
    <w:rsid w:val="004D5734"/>
    <w:rsid w:val="004D5A15"/>
    <w:rsid w:val="004D5C0C"/>
    <w:rsid w:val="004E0FC4"/>
    <w:rsid w:val="004E46D7"/>
    <w:rsid w:val="004E4BF9"/>
    <w:rsid w:val="004F26FD"/>
    <w:rsid w:val="00504302"/>
    <w:rsid w:val="00507E3A"/>
    <w:rsid w:val="00521B0C"/>
    <w:rsid w:val="005241F0"/>
    <w:rsid w:val="00525CA8"/>
    <w:rsid w:val="00527364"/>
    <w:rsid w:val="005314E5"/>
    <w:rsid w:val="00531AC6"/>
    <w:rsid w:val="00534F16"/>
    <w:rsid w:val="00536C83"/>
    <w:rsid w:val="00537F4C"/>
    <w:rsid w:val="00554646"/>
    <w:rsid w:val="00566ADC"/>
    <w:rsid w:val="00567A30"/>
    <w:rsid w:val="005730FF"/>
    <w:rsid w:val="00574EF5"/>
    <w:rsid w:val="005776CA"/>
    <w:rsid w:val="005842EF"/>
    <w:rsid w:val="005851EE"/>
    <w:rsid w:val="00587030"/>
    <w:rsid w:val="00594F0D"/>
    <w:rsid w:val="00595D61"/>
    <w:rsid w:val="005A5AA1"/>
    <w:rsid w:val="005A6789"/>
    <w:rsid w:val="005B1300"/>
    <w:rsid w:val="005C581F"/>
    <w:rsid w:val="005D48BF"/>
    <w:rsid w:val="005D5DB2"/>
    <w:rsid w:val="005E4E5B"/>
    <w:rsid w:val="005E4FF7"/>
    <w:rsid w:val="005E6712"/>
    <w:rsid w:val="005E760C"/>
    <w:rsid w:val="005F5DED"/>
    <w:rsid w:val="005F5EEF"/>
    <w:rsid w:val="006138CC"/>
    <w:rsid w:val="006140D0"/>
    <w:rsid w:val="00616F7E"/>
    <w:rsid w:val="006173C5"/>
    <w:rsid w:val="00620113"/>
    <w:rsid w:val="00624545"/>
    <w:rsid w:val="00625648"/>
    <w:rsid w:val="00627ED8"/>
    <w:rsid w:val="0063615F"/>
    <w:rsid w:val="00642AED"/>
    <w:rsid w:val="006520DE"/>
    <w:rsid w:val="00652D60"/>
    <w:rsid w:val="00655A86"/>
    <w:rsid w:val="006876F0"/>
    <w:rsid w:val="006A01C1"/>
    <w:rsid w:val="006B137A"/>
    <w:rsid w:val="006B1957"/>
    <w:rsid w:val="006B4142"/>
    <w:rsid w:val="006B4456"/>
    <w:rsid w:val="006B51B7"/>
    <w:rsid w:val="006C0267"/>
    <w:rsid w:val="006C3C96"/>
    <w:rsid w:val="006D4560"/>
    <w:rsid w:val="006E2E3B"/>
    <w:rsid w:val="006E594C"/>
    <w:rsid w:val="006F0CDA"/>
    <w:rsid w:val="006F292A"/>
    <w:rsid w:val="006F4CFC"/>
    <w:rsid w:val="00701BF8"/>
    <w:rsid w:val="007028E1"/>
    <w:rsid w:val="00712268"/>
    <w:rsid w:val="00713D09"/>
    <w:rsid w:val="00721C2B"/>
    <w:rsid w:val="00722922"/>
    <w:rsid w:val="00725EF5"/>
    <w:rsid w:val="00726B7A"/>
    <w:rsid w:val="00730CDA"/>
    <w:rsid w:val="007347B0"/>
    <w:rsid w:val="00737693"/>
    <w:rsid w:val="00741F45"/>
    <w:rsid w:val="0075153D"/>
    <w:rsid w:val="00751B4E"/>
    <w:rsid w:val="00757102"/>
    <w:rsid w:val="00764BB5"/>
    <w:rsid w:val="00771562"/>
    <w:rsid w:val="007742FB"/>
    <w:rsid w:val="00775437"/>
    <w:rsid w:val="00786C93"/>
    <w:rsid w:val="00792D63"/>
    <w:rsid w:val="00794817"/>
    <w:rsid w:val="007A063A"/>
    <w:rsid w:val="007A1CB9"/>
    <w:rsid w:val="007A5167"/>
    <w:rsid w:val="007A6EAD"/>
    <w:rsid w:val="007B18E9"/>
    <w:rsid w:val="007E01EF"/>
    <w:rsid w:val="007E46C5"/>
    <w:rsid w:val="007E4E48"/>
    <w:rsid w:val="007F21B6"/>
    <w:rsid w:val="007F3611"/>
    <w:rsid w:val="007F53F4"/>
    <w:rsid w:val="00813B86"/>
    <w:rsid w:val="00817AE4"/>
    <w:rsid w:val="00817E1D"/>
    <w:rsid w:val="00821434"/>
    <w:rsid w:val="008253E8"/>
    <w:rsid w:val="00833051"/>
    <w:rsid w:val="00841B80"/>
    <w:rsid w:val="00842DAA"/>
    <w:rsid w:val="008460D0"/>
    <w:rsid w:val="00847A65"/>
    <w:rsid w:val="00854DE2"/>
    <w:rsid w:val="00855A1B"/>
    <w:rsid w:val="00861AF6"/>
    <w:rsid w:val="00870471"/>
    <w:rsid w:val="0087354C"/>
    <w:rsid w:val="00875655"/>
    <w:rsid w:val="008864C5"/>
    <w:rsid w:val="008A0EB2"/>
    <w:rsid w:val="008A4817"/>
    <w:rsid w:val="008C50E0"/>
    <w:rsid w:val="008C521E"/>
    <w:rsid w:val="008C6D0C"/>
    <w:rsid w:val="008C7C4B"/>
    <w:rsid w:val="008D180A"/>
    <w:rsid w:val="008D68B9"/>
    <w:rsid w:val="008F272E"/>
    <w:rsid w:val="00901AAB"/>
    <w:rsid w:val="00901E05"/>
    <w:rsid w:val="009071B7"/>
    <w:rsid w:val="00912A46"/>
    <w:rsid w:val="00912F13"/>
    <w:rsid w:val="009253F0"/>
    <w:rsid w:val="00926078"/>
    <w:rsid w:val="00930DA4"/>
    <w:rsid w:val="00932BE1"/>
    <w:rsid w:val="00943639"/>
    <w:rsid w:val="00946785"/>
    <w:rsid w:val="0094713C"/>
    <w:rsid w:val="00960EB0"/>
    <w:rsid w:val="0097176A"/>
    <w:rsid w:val="00972A4E"/>
    <w:rsid w:val="009833DC"/>
    <w:rsid w:val="0098619F"/>
    <w:rsid w:val="00993EE4"/>
    <w:rsid w:val="00997088"/>
    <w:rsid w:val="009A1B01"/>
    <w:rsid w:val="009A2759"/>
    <w:rsid w:val="009A7ABD"/>
    <w:rsid w:val="009A7E61"/>
    <w:rsid w:val="009C0B57"/>
    <w:rsid w:val="009D6D50"/>
    <w:rsid w:val="009D7082"/>
    <w:rsid w:val="009D7340"/>
    <w:rsid w:val="009E2779"/>
    <w:rsid w:val="009E5BFC"/>
    <w:rsid w:val="009E7BD0"/>
    <w:rsid w:val="009F7A1A"/>
    <w:rsid w:val="00A0044C"/>
    <w:rsid w:val="00A05F78"/>
    <w:rsid w:val="00A137EF"/>
    <w:rsid w:val="00A178EA"/>
    <w:rsid w:val="00A216BC"/>
    <w:rsid w:val="00A27010"/>
    <w:rsid w:val="00A30D2F"/>
    <w:rsid w:val="00A31F62"/>
    <w:rsid w:val="00A327FA"/>
    <w:rsid w:val="00A33DCC"/>
    <w:rsid w:val="00A46FEB"/>
    <w:rsid w:val="00A651AC"/>
    <w:rsid w:val="00A6755A"/>
    <w:rsid w:val="00A735A3"/>
    <w:rsid w:val="00A74913"/>
    <w:rsid w:val="00A83C42"/>
    <w:rsid w:val="00A87820"/>
    <w:rsid w:val="00A96DD7"/>
    <w:rsid w:val="00AA2A7D"/>
    <w:rsid w:val="00AB4E76"/>
    <w:rsid w:val="00AC49DC"/>
    <w:rsid w:val="00AC5C2D"/>
    <w:rsid w:val="00AC5FC1"/>
    <w:rsid w:val="00AC6F46"/>
    <w:rsid w:val="00AE7DB3"/>
    <w:rsid w:val="00AF20E6"/>
    <w:rsid w:val="00AF35B5"/>
    <w:rsid w:val="00B0032D"/>
    <w:rsid w:val="00B026E4"/>
    <w:rsid w:val="00B11EC4"/>
    <w:rsid w:val="00B328D9"/>
    <w:rsid w:val="00B34DDC"/>
    <w:rsid w:val="00B35CB1"/>
    <w:rsid w:val="00B37287"/>
    <w:rsid w:val="00B41B50"/>
    <w:rsid w:val="00B435BE"/>
    <w:rsid w:val="00B45435"/>
    <w:rsid w:val="00B46CE5"/>
    <w:rsid w:val="00B5160B"/>
    <w:rsid w:val="00B571F6"/>
    <w:rsid w:val="00B63639"/>
    <w:rsid w:val="00B65B5F"/>
    <w:rsid w:val="00B668AA"/>
    <w:rsid w:val="00B67A91"/>
    <w:rsid w:val="00B72E50"/>
    <w:rsid w:val="00B91C29"/>
    <w:rsid w:val="00B91FF9"/>
    <w:rsid w:val="00B95EA9"/>
    <w:rsid w:val="00BA02AE"/>
    <w:rsid w:val="00BA20C5"/>
    <w:rsid w:val="00BA7877"/>
    <w:rsid w:val="00BB3B25"/>
    <w:rsid w:val="00BB5E56"/>
    <w:rsid w:val="00BC0C8B"/>
    <w:rsid w:val="00BC2565"/>
    <w:rsid w:val="00BC2F83"/>
    <w:rsid w:val="00BC3296"/>
    <w:rsid w:val="00BC4125"/>
    <w:rsid w:val="00BC5922"/>
    <w:rsid w:val="00BC675D"/>
    <w:rsid w:val="00BD2DF9"/>
    <w:rsid w:val="00C005A2"/>
    <w:rsid w:val="00C10FDC"/>
    <w:rsid w:val="00C1463D"/>
    <w:rsid w:val="00C20E85"/>
    <w:rsid w:val="00C240FE"/>
    <w:rsid w:val="00C24B04"/>
    <w:rsid w:val="00C27086"/>
    <w:rsid w:val="00C303CA"/>
    <w:rsid w:val="00C522EA"/>
    <w:rsid w:val="00C550E7"/>
    <w:rsid w:val="00C606E5"/>
    <w:rsid w:val="00C61B7E"/>
    <w:rsid w:val="00C63F05"/>
    <w:rsid w:val="00C71093"/>
    <w:rsid w:val="00C71636"/>
    <w:rsid w:val="00C810CC"/>
    <w:rsid w:val="00C849D8"/>
    <w:rsid w:val="00C86F20"/>
    <w:rsid w:val="00CB080E"/>
    <w:rsid w:val="00CC4581"/>
    <w:rsid w:val="00CC7764"/>
    <w:rsid w:val="00CD1825"/>
    <w:rsid w:val="00CF00CD"/>
    <w:rsid w:val="00CF06AD"/>
    <w:rsid w:val="00CF2025"/>
    <w:rsid w:val="00D00019"/>
    <w:rsid w:val="00D01315"/>
    <w:rsid w:val="00D05E8C"/>
    <w:rsid w:val="00D27FE0"/>
    <w:rsid w:val="00D34FE7"/>
    <w:rsid w:val="00D5166E"/>
    <w:rsid w:val="00D51E08"/>
    <w:rsid w:val="00D5491D"/>
    <w:rsid w:val="00D616AB"/>
    <w:rsid w:val="00D62744"/>
    <w:rsid w:val="00D711F6"/>
    <w:rsid w:val="00D77BA7"/>
    <w:rsid w:val="00D81174"/>
    <w:rsid w:val="00D86EED"/>
    <w:rsid w:val="00D87861"/>
    <w:rsid w:val="00D878A9"/>
    <w:rsid w:val="00D904A4"/>
    <w:rsid w:val="00D97F59"/>
    <w:rsid w:val="00DA3AF9"/>
    <w:rsid w:val="00DB1E25"/>
    <w:rsid w:val="00DB6A31"/>
    <w:rsid w:val="00DC05C5"/>
    <w:rsid w:val="00DC39A2"/>
    <w:rsid w:val="00DC7C62"/>
    <w:rsid w:val="00DD1644"/>
    <w:rsid w:val="00DD3CB1"/>
    <w:rsid w:val="00DD689C"/>
    <w:rsid w:val="00DF38AA"/>
    <w:rsid w:val="00DF6A4F"/>
    <w:rsid w:val="00E010F6"/>
    <w:rsid w:val="00E07D1D"/>
    <w:rsid w:val="00E21FC5"/>
    <w:rsid w:val="00E2516C"/>
    <w:rsid w:val="00E34A06"/>
    <w:rsid w:val="00E50D39"/>
    <w:rsid w:val="00E50D8B"/>
    <w:rsid w:val="00E51749"/>
    <w:rsid w:val="00E51C7A"/>
    <w:rsid w:val="00E70E56"/>
    <w:rsid w:val="00E72E77"/>
    <w:rsid w:val="00E90DB6"/>
    <w:rsid w:val="00E91469"/>
    <w:rsid w:val="00E91552"/>
    <w:rsid w:val="00E915FA"/>
    <w:rsid w:val="00E9754A"/>
    <w:rsid w:val="00E97BD0"/>
    <w:rsid w:val="00EA2A40"/>
    <w:rsid w:val="00EA7249"/>
    <w:rsid w:val="00EC56A1"/>
    <w:rsid w:val="00EC6C39"/>
    <w:rsid w:val="00EE0786"/>
    <w:rsid w:val="00EE0D85"/>
    <w:rsid w:val="00EE1781"/>
    <w:rsid w:val="00EE29D4"/>
    <w:rsid w:val="00F03D76"/>
    <w:rsid w:val="00F05AD3"/>
    <w:rsid w:val="00F130D4"/>
    <w:rsid w:val="00F23988"/>
    <w:rsid w:val="00F30876"/>
    <w:rsid w:val="00F346F3"/>
    <w:rsid w:val="00F365C8"/>
    <w:rsid w:val="00F64848"/>
    <w:rsid w:val="00F66EE0"/>
    <w:rsid w:val="00F85A44"/>
    <w:rsid w:val="00F90CAC"/>
    <w:rsid w:val="00F9226F"/>
    <w:rsid w:val="00FA1778"/>
    <w:rsid w:val="00FB1989"/>
    <w:rsid w:val="00FB2811"/>
    <w:rsid w:val="00FB589A"/>
    <w:rsid w:val="00FD011B"/>
    <w:rsid w:val="00FD50F1"/>
    <w:rsid w:val="00FE2B3F"/>
    <w:rsid w:val="00FE59A9"/>
    <w:rsid w:val="00FE5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DE8B"/>
  <w15:docId w15:val="{C719D2CD-EF33-4B3C-B575-C3C70F98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F7C0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C06"/>
    <w:rPr>
      <w:rFonts w:ascii="Tahoma" w:hAnsi="Tahoma" w:cs="Tahoma"/>
      <w:sz w:val="16"/>
      <w:szCs w:val="16"/>
    </w:rPr>
  </w:style>
  <w:style w:type="paragraph" w:customStyle="1" w:styleId="EndNoteBibliographyTitle">
    <w:name w:val="EndNote Bibliography Title"/>
    <w:basedOn w:val="Normal"/>
    <w:link w:val="EndNoteBibliographyTitleChar"/>
    <w:rsid w:val="00EE0D85"/>
    <w:pPr>
      <w:jc w:val="center"/>
    </w:pPr>
    <w:rPr>
      <w:noProof/>
      <w:lang w:val="sv-SE"/>
    </w:rPr>
  </w:style>
  <w:style w:type="character" w:customStyle="1" w:styleId="EndNoteBibliographyTitleChar">
    <w:name w:val="EndNote Bibliography Title Char"/>
    <w:basedOn w:val="DefaultParagraphFont"/>
    <w:link w:val="EndNoteBibliographyTitle"/>
    <w:rsid w:val="00EE0D85"/>
    <w:rPr>
      <w:noProof/>
      <w:lang w:val="sv-SE"/>
    </w:rPr>
  </w:style>
  <w:style w:type="paragraph" w:customStyle="1" w:styleId="EndNoteBibliography">
    <w:name w:val="EndNote Bibliography"/>
    <w:basedOn w:val="Normal"/>
    <w:link w:val="EndNoteBibliographyChar"/>
    <w:rsid w:val="00EE0D85"/>
    <w:pPr>
      <w:spacing w:line="240" w:lineRule="auto"/>
    </w:pPr>
    <w:rPr>
      <w:noProof/>
      <w:lang w:val="sv-SE"/>
    </w:rPr>
  </w:style>
  <w:style w:type="character" w:customStyle="1" w:styleId="EndNoteBibliographyChar">
    <w:name w:val="EndNote Bibliography Char"/>
    <w:basedOn w:val="DefaultParagraphFont"/>
    <w:link w:val="EndNoteBibliography"/>
    <w:rsid w:val="00EE0D85"/>
    <w:rPr>
      <w:noProof/>
      <w:lang w:val="sv-SE"/>
    </w:rPr>
  </w:style>
  <w:style w:type="paragraph" w:styleId="CommentSubject">
    <w:name w:val="annotation subject"/>
    <w:basedOn w:val="CommentText"/>
    <w:next w:val="CommentText"/>
    <w:link w:val="CommentSubjectChar"/>
    <w:uiPriority w:val="99"/>
    <w:semiHidden/>
    <w:unhideWhenUsed/>
    <w:rsid w:val="00821434"/>
    <w:rPr>
      <w:b/>
      <w:bCs/>
    </w:rPr>
  </w:style>
  <w:style w:type="character" w:customStyle="1" w:styleId="CommentSubjectChar">
    <w:name w:val="Comment Subject Char"/>
    <w:basedOn w:val="CommentTextChar"/>
    <w:link w:val="CommentSubject"/>
    <w:uiPriority w:val="99"/>
    <w:semiHidden/>
    <w:rsid w:val="00821434"/>
    <w:rPr>
      <w:b/>
      <w:bCs/>
      <w:sz w:val="20"/>
      <w:szCs w:val="20"/>
    </w:rPr>
  </w:style>
  <w:style w:type="paragraph" w:styleId="Revision">
    <w:name w:val="Revision"/>
    <w:hidden/>
    <w:uiPriority w:val="99"/>
    <w:semiHidden/>
    <w:rsid w:val="00DC39A2"/>
    <w:pPr>
      <w:spacing w:line="240" w:lineRule="auto"/>
    </w:pPr>
  </w:style>
  <w:style w:type="character" w:styleId="Strong">
    <w:name w:val="Strong"/>
    <w:basedOn w:val="DefaultParagraphFont"/>
    <w:uiPriority w:val="22"/>
    <w:qFormat/>
    <w:rsid w:val="00E34A06"/>
    <w:rPr>
      <w:b/>
      <w:bCs/>
    </w:rPr>
  </w:style>
  <w:style w:type="character" w:styleId="LineNumber">
    <w:name w:val="line number"/>
    <w:basedOn w:val="DefaultParagraphFont"/>
    <w:uiPriority w:val="99"/>
    <w:semiHidden/>
    <w:unhideWhenUsed/>
    <w:rsid w:val="006C0267"/>
  </w:style>
  <w:style w:type="paragraph" w:styleId="ListParagraph">
    <w:name w:val="List Paragraph"/>
    <w:basedOn w:val="Normal"/>
    <w:uiPriority w:val="34"/>
    <w:qFormat/>
    <w:rsid w:val="00116AB8"/>
    <w:pPr>
      <w:ind w:left="720"/>
      <w:contextualSpacing/>
    </w:pPr>
  </w:style>
  <w:style w:type="table" w:styleId="TableGrid">
    <w:name w:val="Table Grid"/>
    <w:basedOn w:val="TableNormal"/>
    <w:uiPriority w:val="59"/>
    <w:unhideWhenUsed/>
    <w:rsid w:val="00A46F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A6F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5052">
      <w:bodyDiv w:val="1"/>
      <w:marLeft w:val="0"/>
      <w:marRight w:val="0"/>
      <w:marTop w:val="0"/>
      <w:marBottom w:val="0"/>
      <w:divBdr>
        <w:top w:val="none" w:sz="0" w:space="0" w:color="auto"/>
        <w:left w:val="none" w:sz="0" w:space="0" w:color="auto"/>
        <w:bottom w:val="none" w:sz="0" w:space="0" w:color="auto"/>
        <w:right w:val="none" w:sz="0" w:space="0" w:color="auto"/>
      </w:divBdr>
    </w:div>
    <w:div w:id="28923623">
      <w:bodyDiv w:val="1"/>
      <w:marLeft w:val="0"/>
      <w:marRight w:val="0"/>
      <w:marTop w:val="0"/>
      <w:marBottom w:val="0"/>
      <w:divBdr>
        <w:top w:val="none" w:sz="0" w:space="0" w:color="auto"/>
        <w:left w:val="none" w:sz="0" w:space="0" w:color="auto"/>
        <w:bottom w:val="none" w:sz="0" w:space="0" w:color="auto"/>
        <w:right w:val="none" w:sz="0" w:space="0" w:color="auto"/>
      </w:divBdr>
    </w:div>
    <w:div w:id="50664172">
      <w:bodyDiv w:val="1"/>
      <w:marLeft w:val="0"/>
      <w:marRight w:val="0"/>
      <w:marTop w:val="0"/>
      <w:marBottom w:val="0"/>
      <w:divBdr>
        <w:top w:val="none" w:sz="0" w:space="0" w:color="auto"/>
        <w:left w:val="none" w:sz="0" w:space="0" w:color="auto"/>
        <w:bottom w:val="none" w:sz="0" w:space="0" w:color="auto"/>
        <w:right w:val="none" w:sz="0" w:space="0" w:color="auto"/>
      </w:divBdr>
    </w:div>
    <w:div w:id="96028244">
      <w:bodyDiv w:val="1"/>
      <w:marLeft w:val="0"/>
      <w:marRight w:val="0"/>
      <w:marTop w:val="0"/>
      <w:marBottom w:val="0"/>
      <w:divBdr>
        <w:top w:val="none" w:sz="0" w:space="0" w:color="auto"/>
        <w:left w:val="none" w:sz="0" w:space="0" w:color="auto"/>
        <w:bottom w:val="none" w:sz="0" w:space="0" w:color="auto"/>
        <w:right w:val="none" w:sz="0" w:space="0" w:color="auto"/>
      </w:divBdr>
    </w:div>
    <w:div w:id="139806859">
      <w:bodyDiv w:val="1"/>
      <w:marLeft w:val="0"/>
      <w:marRight w:val="0"/>
      <w:marTop w:val="0"/>
      <w:marBottom w:val="0"/>
      <w:divBdr>
        <w:top w:val="none" w:sz="0" w:space="0" w:color="auto"/>
        <w:left w:val="none" w:sz="0" w:space="0" w:color="auto"/>
        <w:bottom w:val="none" w:sz="0" w:space="0" w:color="auto"/>
        <w:right w:val="none" w:sz="0" w:space="0" w:color="auto"/>
      </w:divBdr>
    </w:div>
    <w:div w:id="170605594">
      <w:bodyDiv w:val="1"/>
      <w:marLeft w:val="0"/>
      <w:marRight w:val="0"/>
      <w:marTop w:val="0"/>
      <w:marBottom w:val="0"/>
      <w:divBdr>
        <w:top w:val="none" w:sz="0" w:space="0" w:color="auto"/>
        <w:left w:val="none" w:sz="0" w:space="0" w:color="auto"/>
        <w:bottom w:val="none" w:sz="0" w:space="0" w:color="auto"/>
        <w:right w:val="none" w:sz="0" w:space="0" w:color="auto"/>
      </w:divBdr>
    </w:div>
    <w:div w:id="245652294">
      <w:bodyDiv w:val="1"/>
      <w:marLeft w:val="0"/>
      <w:marRight w:val="0"/>
      <w:marTop w:val="0"/>
      <w:marBottom w:val="0"/>
      <w:divBdr>
        <w:top w:val="none" w:sz="0" w:space="0" w:color="auto"/>
        <w:left w:val="none" w:sz="0" w:space="0" w:color="auto"/>
        <w:bottom w:val="none" w:sz="0" w:space="0" w:color="auto"/>
        <w:right w:val="none" w:sz="0" w:space="0" w:color="auto"/>
      </w:divBdr>
    </w:div>
    <w:div w:id="261913797">
      <w:bodyDiv w:val="1"/>
      <w:marLeft w:val="0"/>
      <w:marRight w:val="0"/>
      <w:marTop w:val="0"/>
      <w:marBottom w:val="0"/>
      <w:divBdr>
        <w:top w:val="none" w:sz="0" w:space="0" w:color="auto"/>
        <w:left w:val="none" w:sz="0" w:space="0" w:color="auto"/>
        <w:bottom w:val="none" w:sz="0" w:space="0" w:color="auto"/>
        <w:right w:val="none" w:sz="0" w:space="0" w:color="auto"/>
      </w:divBdr>
    </w:div>
    <w:div w:id="280377005">
      <w:bodyDiv w:val="1"/>
      <w:marLeft w:val="0"/>
      <w:marRight w:val="0"/>
      <w:marTop w:val="0"/>
      <w:marBottom w:val="0"/>
      <w:divBdr>
        <w:top w:val="none" w:sz="0" w:space="0" w:color="auto"/>
        <w:left w:val="none" w:sz="0" w:space="0" w:color="auto"/>
        <w:bottom w:val="none" w:sz="0" w:space="0" w:color="auto"/>
        <w:right w:val="none" w:sz="0" w:space="0" w:color="auto"/>
      </w:divBdr>
    </w:div>
    <w:div w:id="490603119">
      <w:bodyDiv w:val="1"/>
      <w:marLeft w:val="0"/>
      <w:marRight w:val="0"/>
      <w:marTop w:val="0"/>
      <w:marBottom w:val="0"/>
      <w:divBdr>
        <w:top w:val="none" w:sz="0" w:space="0" w:color="auto"/>
        <w:left w:val="none" w:sz="0" w:space="0" w:color="auto"/>
        <w:bottom w:val="none" w:sz="0" w:space="0" w:color="auto"/>
        <w:right w:val="none" w:sz="0" w:space="0" w:color="auto"/>
      </w:divBdr>
    </w:div>
    <w:div w:id="530148378">
      <w:bodyDiv w:val="1"/>
      <w:marLeft w:val="0"/>
      <w:marRight w:val="0"/>
      <w:marTop w:val="0"/>
      <w:marBottom w:val="0"/>
      <w:divBdr>
        <w:top w:val="none" w:sz="0" w:space="0" w:color="auto"/>
        <w:left w:val="none" w:sz="0" w:space="0" w:color="auto"/>
        <w:bottom w:val="none" w:sz="0" w:space="0" w:color="auto"/>
        <w:right w:val="none" w:sz="0" w:space="0" w:color="auto"/>
      </w:divBdr>
    </w:div>
    <w:div w:id="547962098">
      <w:bodyDiv w:val="1"/>
      <w:marLeft w:val="0"/>
      <w:marRight w:val="0"/>
      <w:marTop w:val="0"/>
      <w:marBottom w:val="0"/>
      <w:divBdr>
        <w:top w:val="none" w:sz="0" w:space="0" w:color="auto"/>
        <w:left w:val="none" w:sz="0" w:space="0" w:color="auto"/>
        <w:bottom w:val="none" w:sz="0" w:space="0" w:color="auto"/>
        <w:right w:val="none" w:sz="0" w:space="0" w:color="auto"/>
      </w:divBdr>
    </w:div>
    <w:div w:id="599526232">
      <w:bodyDiv w:val="1"/>
      <w:marLeft w:val="0"/>
      <w:marRight w:val="0"/>
      <w:marTop w:val="0"/>
      <w:marBottom w:val="0"/>
      <w:divBdr>
        <w:top w:val="none" w:sz="0" w:space="0" w:color="auto"/>
        <w:left w:val="none" w:sz="0" w:space="0" w:color="auto"/>
        <w:bottom w:val="none" w:sz="0" w:space="0" w:color="auto"/>
        <w:right w:val="none" w:sz="0" w:space="0" w:color="auto"/>
      </w:divBdr>
    </w:div>
    <w:div w:id="615142337">
      <w:bodyDiv w:val="1"/>
      <w:marLeft w:val="0"/>
      <w:marRight w:val="0"/>
      <w:marTop w:val="0"/>
      <w:marBottom w:val="0"/>
      <w:divBdr>
        <w:top w:val="none" w:sz="0" w:space="0" w:color="auto"/>
        <w:left w:val="none" w:sz="0" w:space="0" w:color="auto"/>
        <w:bottom w:val="none" w:sz="0" w:space="0" w:color="auto"/>
        <w:right w:val="none" w:sz="0" w:space="0" w:color="auto"/>
      </w:divBdr>
    </w:div>
    <w:div w:id="633483885">
      <w:bodyDiv w:val="1"/>
      <w:marLeft w:val="0"/>
      <w:marRight w:val="0"/>
      <w:marTop w:val="0"/>
      <w:marBottom w:val="0"/>
      <w:divBdr>
        <w:top w:val="none" w:sz="0" w:space="0" w:color="auto"/>
        <w:left w:val="none" w:sz="0" w:space="0" w:color="auto"/>
        <w:bottom w:val="none" w:sz="0" w:space="0" w:color="auto"/>
        <w:right w:val="none" w:sz="0" w:space="0" w:color="auto"/>
      </w:divBdr>
    </w:div>
    <w:div w:id="639187809">
      <w:bodyDiv w:val="1"/>
      <w:marLeft w:val="0"/>
      <w:marRight w:val="0"/>
      <w:marTop w:val="0"/>
      <w:marBottom w:val="0"/>
      <w:divBdr>
        <w:top w:val="none" w:sz="0" w:space="0" w:color="auto"/>
        <w:left w:val="none" w:sz="0" w:space="0" w:color="auto"/>
        <w:bottom w:val="none" w:sz="0" w:space="0" w:color="auto"/>
        <w:right w:val="none" w:sz="0" w:space="0" w:color="auto"/>
      </w:divBdr>
    </w:div>
    <w:div w:id="687100494">
      <w:bodyDiv w:val="1"/>
      <w:marLeft w:val="0"/>
      <w:marRight w:val="0"/>
      <w:marTop w:val="0"/>
      <w:marBottom w:val="0"/>
      <w:divBdr>
        <w:top w:val="none" w:sz="0" w:space="0" w:color="auto"/>
        <w:left w:val="none" w:sz="0" w:space="0" w:color="auto"/>
        <w:bottom w:val="none" w:sz="0" w:space="0" w:color="auto"/>
        <w:right w:val="none" w:sz="0" w:space="0" w:color="auto"/>
      </w:divBdr>
    </w:div>
    <w:div w:id="719519803">
      <w:bodyDiv w:val="1"/>
      <w:marLeft w:val="0"/>
      <w:marRight w:val="0"/>
      <w:marTop w:val="0"/>
      <w:marBottom w:val="0"/>
      <w:divBdr>
        <w:top w:val="none" w:sz="0" w:space="0" w:color="auto"/>
        <w:left w:val="none" w:sz="0" w:space="0" w:color="auto"/>
        <w:bottom w:val="none" w:sz="0" w:space="0" w:color="auto"/>
        <w:right w:val="none" w:sz="0" w:space="0" w:color="auto"/>
      </w:divBdr>
    </w:div>
    <w:div w:id="746614903">
      <w:bodyDiv w:val="1"/>
      <w:marLeft w:val="0"/>
      <w:marRight w:val="0"/>
      <w:marTop w:val="0"/>
      <w:marBottom w:val="0"/>
      <w:divBdr>
        <w:top w:val="none" w:sz="0" w:space="0" w:color="auto"/>
        <w:left w:val="none" w:sz="0" w:space="0" w:color="auto"/>
        <w:bottom w:val="none" w:sz="0" w:space="0" w:color="auto"/>
        <w:right w:val="none" w:sz="0" w:space="0" w:color="auto"/>
      </w:divBdr>
    </w:div>
    <w:div w:id="755708534">
      <w:bodyDiv w:val="1"/>
      <w:marLeft w:val="0"/>
      <w:marRight w:val="0"/>
      <w:marTop w:val="0"/>
      <w:marBottom w:val="0"/>
      <w:divBdr>
        <w:top w:val="none" w:sz="0" w:space="0" w:color="auto"/>
        <w:left w:val="none" w:sz="0" w:space="0" w:color="auto"/>
        <w:bottom w:val="none" w:sz="0" w:space="0" w:color="auto"/>
        <w:right w:val="none" w:sz="0" w:space="0" w:color="auto"/>
      </w:divBdr>
    </w:div>
    <w:div w:id="765269531">
      <w:bodyDiv w:val="1"/>
      <w:marLeft w:val="0"/>
      <w:marRight w:val="0"/>
      <w:marTop w:val="0"/>
      <w:marBottom w:val="0"/>
      <w:divBdr>
        <w:top w:val="none" w:sz="0" w:space="0" w:color="auto"/>
        <w:left w:val="none" w:sz="0" w:space="0" w:color="auto"/>
        <w:bottom w:val="none" w:sz="0" w:space="0" w:color="auto"/>
        <w:right w:val="none" w:sz="0" w:space="0" w:color="auto"/>
      </w:divBdr>
    </w:div>
    <w:div w:id="795412199">
      <w:bodyDiv w:val="1"/>
      <w:marLeft w:val="0"/>
      <w:marRight w:val="0"/>
      <w:marTop w:val="0"/>
      <w:marBottom w:val="0"/>
      <w:divBdr>
        <w:top w:val="none" w:sz="0" w:space="0" w:color="auto"/>
        <w:left w:val="none" w:sz="0" w:space="0" w:color="auto"/>
        <w:bottom w:val="none" w:sz="0" w:space="0" w:color="auto"/>
        <w:right w:val="none" w:sz="0" w:space="0" w:color="auto"/>
      </w:divBdr>
      <w:divsChild>
        <w:div w:id="1905338986">
          <w:marLeft w:val="0"/>
          <w:marRight w:val="0"/>
          <w:marTop w:val="166"/>
          <w:marBottom w:val="166"/>
          <w:divBdr>
            <w:top w:val="none" w:sz="0" w:space="0" w:color="auto"/>
            <w:left w:val="none" w:sz="0" w:space="0" w:color="auto"/>
            <w:bottom w:val="none" w:sz="0" w:space="0" w:color="auto"/>
            <w:right w:val="none" w:sz="0" w:space="0" w:color="auto"/>
          </w:divBdr>
          <w:divsChild>
            <w:div w:id="154691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204491">
      <w:bodyDiv w:val="1"/>
      <w:marLeft w:val="0"/>
      <w:marRight w:val="0"/>
      <w:marTop w:val="0"/>
      <w:marBottom w:val="0"/>
      <w:divBdr>
        <w:top w:val="none" w:sz="0" w:space="0" w:color="auto"/>
        <w:left w:val="none" w:sz="0" w:space="0" w:color="auto"/>
        <w:bottom w:val="none" w:sz="0" w:space="0" w:color="auto"/>
        <w:right w:val="none" w:sz="0" w:space="0" w:color="auto"/>
      </w:divBdr>
    </w:div>
    <w:div w:id="988052531">
      <w:bodyDiv w:val="1"/>
      <w:marLeft w:val="0"/>
      <w:marRight w:val="0"/>
      <w:marTop w:val="0"/>
      <w:marBottom w:val="0"/>
      <w:divBdr>
        <w:top w:val="none" w:sz="0" w:space="0" w:color="auto"/>
        <w:left w:val="none" w:sz="0" w:space="0" w:color="auto"/>
        <w:bottom w:val="none" w:sz="0" w:space="0" w:color="auto"/>
        <w:right w:val="none" w:sz="0" w:space="0" w:color="auto"/>
      </w:divBdr>
    </w:div>
    <w:div w:id="1022316361">
      <w:bodyDiv w:val="1"/>
      <w:marLeft w:val="0"/>
      <w:marRight w:val="0"/>
      <w:marTop w:val="0"/>
      <w:marBottom w:val="0"/>
      <w:divBdr>
        <w:top w:val="none" w:sz="0" w:space="0" w:color="auto"/>
        <w:left w:val="none" w:sz="0" w:space="0" w:color="auto"/>
        <w:bottom w:val="none" w:sz="0" w:space="0" w:color="auto"/>
        <w:right w:val="none" w:sz="0" w:space="0" w:color="auto"/>
      </w:divBdr>
    </w:div>
    <w:div w:id="1031225268">
      <w:bodyDiv w:val="1"/>
      <w:marLeft w:val="0"/>
      <w:marRight w:val="0"/>
      <w:marTop w:val="0"/>
      <w:marBottom w:val="0"/>
      <w:divBdr>
        <w:top w:val="none" w:sz="0" w:space="0" w:color="auto"/>
        <w:left w:val="none" w:sz="0" w:space="0" w:color="auto"/>
        <w:bottom w:val="none" w:sz="0" w:space="0" w:color="auto"/>
        <w:right w:val="none" w:sz="0" w:space="0" w:color="auto"/>
      </w:divBdr>
    </w:div>
    <w:div w:id="1053697489">
      <w:bodyDiv w:val="1"/>
      <w:marLeft w:val="0"/>
      <w:marRight w:val="0"/>
      <w:marTop w:val="0"/>
      <w:marBottom w:val="0"/>
      <w:divBdr>
        <w:top w:val="none" w:sz="0" w:space="0" w:color="auto"/>
        <w:left w:val="none" w:sz="0" w:space="0" w:color="auto"/>
        <w:bottom w:val="none" w:sz="0" w:space="0" w:color="auto"/>
        <w:right w:val="none" w:sz="0" w:space="0" w:color="auto"/>
      </w:divBdr>
    </w:div>
    <w:div w:id="1078793986">
      <w:bodyDiv w:val="1"/>
      <w:marLeft w:val="0"/>
      <w:marRight w:val="0"/>
      <w:marTop w:val="0"/>
      <w:marBottom w:val="0"/>
      <w:divBdr>
        <w:top w:val="none" w:sz="0" w:space="0" w:color="auto"/>
        <w:left w:val="none" w:sz="0" w:space="0" w:color="auto"/>
        <w:bottom w:val="none" w:sz="0" w:space="0" w:color="auto"/>
        <w:right w:val="none" w:sz="0" w:space="0" w:color="auto"/>
      </w:divBdr>
    </w:div>
    <w:div w:id="1103064550">
      <w:bodyDiv w:val="1"/>
      <w:marLeft w:val="0"/>
      <w:marRight w:val="0"/>
      <w:marTop w:val="0"/>
      <w:marBottom w:val="0"/>
      <w:divBdr>
        <w:top w:val="none" w:sz="0" w:space="0" w:color="auto"/>
        <w:left w:val="none" w:sz="0" w:space="0" w:color="auto"/>
        <w:bottom w:val="none" w:sz="0" w:space="0" w:color="auto"/>
        <w:right w:val="none" w:sz="0" w:space="0" w:color="auto"/>
      </w:divBdr>
    </w:div>
    <w:div w:id="1113594972">
      <w:bodyDiv w:val="1"/>
      <w:marLeft w:val="0"/>
      <w:marRight w:val="0"/>
      <w:marTop w:val="0"/>
      <w:marBottom w:val="0"/>
      <w:divBdr>
        <w:top w:val="none" w:sz="0" w:space="0" w:color="auto"/>
        <w:left w:val="none" w:sz="0" w:space="0" w:color="auto"/>
        <w:bottom w:val="none" w:sz="0" w:space="0" w:color="auto"/>
        <w:right w:val="none" w:sz="0" w:space="0" w:color="auto"/>
      </w:divBdr>
    </w:div>
    <w:div w:id="1165168745">
      <w:bodyDiv w:val="1"/>
      <w:marLeft w:val="0"/>
      <w:marRight w:val="0"/>
      <w:marTop w:val="0"/>
      <w:marBottom w:val="0"/>
      <w:divBdr>
        <w:top w:val="none" w:sz="0" w:space="0" w:color="auto"/>
        <w:left w:val="none" w:sz="0" w:space="0" w:color="auto"/>
        <w:bottom w:val="none" w:sz="0" w:space="0" w:color="auto"/>
        <w:right w:val="none" w:sz="0" w:space="0" w:color="auto"/>
      </w:divBdr>
    </w:div>
    <w:div w:id="1170830460">
      <w:bodyDiv w:val="1"/>
      <w:marLeft w:val="0"/>
      <w:marRight w:val="0"/>
      <w:marTop w:val="0"/>
      <w:marBottom w:val="0"/>
      <w:divBdr>
        <w:top w:val="none" w:sz="0" w:space="0" w:color="auto"/>
        <w:left w:val="none" w:sz="0" w:space="0" w:color="auto"/>
        <w:bottom w:val="none" w:sz="0" w:space="0" w:color="auto"/>
        <w:right w:val="none" w:sz="0" w:space="0" w:color="auto"/>
      </w:divBdr>
    </w:div>
    <w:div w:id="1217856466">
      <w:bodyDiv w:val="1"/>
      <w:marLeft w:val="0"/>
      <w:marRight w:val="0"/>
      <w:marTop w:val="0"/>
      <w:marBottom w:val="0"/>
      <w:divBdr>
        <w:top w:val="none" w:sz="0" w:space="0" w:color="auto"/>
        <w:left w:val="none" w:sz="0" w:space="0" w:color="auto"/>
        <w:bottom w:val="none" w:sz="0" w:space="0" w:color="auto"/>
        <w:right w:val="none" w:sz="0" w:space="0" w:color="auto"/>
      </w:divBdr>
    </w:div>
    <w:div w:id="1405489573">
      <w:bodyDiv w:val="1"/>
      <w:marLeft w:val="0"/>
      <w:marRight w:val="0"/>
      <w:marTop w:val="0"/>
      <w:marBottom w:val="0"/>
      <w:divBdr>
        <w:top w:val="none" w:sz="0" w:space="0" w:color="auto"/>
        <w:left w:val="none" w:sz="0" w:space="0" w:color="auto"/>
        <w:bottom w:val="none" w:sz="0" w:space="0" w:color="auto"/>
        <w:right w:val="none" w:sz="0" w:space="0" w:color="auto"/>
      </w:divBdr>
    </w:div>
    <w:div w:id="1420908071">
      <w:bodyDiv w:val="1"/>
      <w:marLeft w:val="0"/>
      <w:marRight w:val="0"/>
      <w:marTop w:val="0"/>
      <w:marBottom w:val="0"/>
      <w:divBdr>
        <w:top w:val="none" w:sz="0" w:space="0" w:color="auto"/>
        <w:left w:val="none" w:sz="0" w:space="0" w:color="auto"/>
        <w:bottom w:val="none" w:sz="0" w:space="0" w:color="auto"/>
        <w:right w:val="none" w:sz="0" w:space="0" w:color="auto"/>
      </w:divBdr>
    </w:div>
    <w:div w:id="1444305304">
      <w:bodyDiv w:val="1"/>
      <w:marLeft w:val="0"/>
      <w:marRight w:val="0"/>
      <w:marTop w:val="0"/>
      <w:marBottom w:val="0"/>
      <w:divBdr>
        <w:top w:val="none" w:sz="0" w:space="0" w:color="auto"/>
        <w:left w:val="none" w:sz="0" w:space="0" w:color="auto"/>
        <w:bottom w:val="none" w:sz="0" w:space="0" w:color="auto"/>
        <w:right w:val="none" w:sz="0" w:space="0" w:color="auto"/>
      </w:divBdr>
    </w:div>
    <w:div w:id="1465073959">
      <w:bodyDiv w:val="1"/>
      <w:marLeft w:val="0"/>
      <w:marRight w:val="0"/>
      <w:marTop w:val="0"/>
      <w:marBottom w:val="0"/>
      <w:divBdr>
        <w:top w:val="none" w:sz="0" w:space="0" w:color="auto"/>
        <w:left w:val="none" w:sz="0" w:space="0" w:color="auto"/>
        <w:bottom w:val="none" w:sz="0" w:space="0" w:color="auto"/>
        <w:right w:val="none" w:sz="0" w:space="0" w:color="auto"/>
      </w:divBdr>
    </w:div>
    <w:div w:id="1497188294">
      <w:bodyDiv w:val="1"/>
      <w:marLeft w:val="0"/>
      <w:marRight w:val="0"/>
      <w:marTop w:val="0"/>
      <w:marBottom w:val="0"/>
      <w:divBdr>
        <w:top w:val="none" w:sz="0" w:space="0" w:color="auto"/>
        <w:left w:val="none" w:sz="0" w:space="0" w:color="auto"/>
        <w:bottom w:val="none" w:sz="0" w:space="0" w:color="auto"/>
        <w:right w:val="none" w:sz="0" w:space="0" w:color="auto"/>
      </w:divBdr>
    </w:div>
    <w:div w:id="1502744294">
      <w:bodyDiv w:val="1"/>
      <w:marLeft w:val="0"/>
      <w:marRight w:val="0"/>
      <w:marTop w:val="0"/>
      <w:marBottom w:val="0"/>
      <w:divBdr>
        <w:top w:val="none" w:sz="0" w:space="0" w:color="auto"/>
        <w:left w:val="none" w:sz="0" w:space="0" w:color="auto"/>
        <w:bottom w:val="none" w:sz="0" w:space="0" w:color="auto"/>
        <w:right w:val="none" w:sz="0" w:space="0" w:color="auto"/>
      </w:divBdr>
    </w:div>
    <w:div w:id="1533419151">
      <w:bodyDiv w:val="1"/>
      <w:marLeft w:val="0"/>
      <w:marRight w:val="0"/>
      <w:marTop w:val="0"/>
      <w:marBottom w:val="0"/>
      <w:divBdr>
        <w:top w:val="none" w:sz="0" w:space="0" w:color="auto"/>
        <w:left w:val="none" w:sz="0" w:space="0" w:color="auto"/>
        <w:bottom w:val="none" w:sz="0" w:space="0" w:color="auto"/>
        <w:right w:val="none" w:sz="0" w:space="0" w:color="auto"/>
      </w:divBdr>
    </w:div>
    <w:div w:id="1595015224">
      <w:bodyDiv w:val="1"/>
      <w:marLeft w:val="0"/>
      <w:marRight w:val="0"/>
      <w:marTop w:val="0"/>
      <w:marBottom w:val="0"/>
      <w:divBdr>
        <w:top w:val="none" w:sz="0" w:space="0" w:color="auto"/>
        <w:left w:val="none" w:sz="0" w:space="0" w:color="auto"/>
        <w:bottom w:val="none" w:sz="0" w:space="0" w:color="auto"/>
        <w:right w:val="none" w:sz="0" w:space="0" w:color="auto"/>
      </w:divBdr>
    </w:div>
    <w:div w:id="1597783700">
      <w:bodyDiv w:val="1"/>
      <w:marLeft w:val="0"/>
      <w:marRight w:val="0"/>
      <w:marTop w:val="0"/>
      <w:marBottom w:val="0"/>
      <w:divBdr>
        <w:top w:val="none" w:sz="0" w:space="0" w:color="auto"/>
        <w:left w:val="none" w:sz="0" w:space="0" w:color="auto"/>
        <w:bottom w:val="none" w:sz="0" w:space="0" w:color="auto"/>
        <w:right w:val="none" w:sz="0" w:space="0" w:color="auto"/>
      </w:divBdr>
    </w:div>
    <w:div w:id="1622686477">
      <w:bodyDiv w:val="1"/>
      <w:marLeft w:val="0"/>
      <w:marRight w:val="0"/>
      <w:marTop w:val="0"/>
      <w:marBottom w:val="0"/>
      <w:divBdr>
        <w:top w:val="none" w:sz="0" w:space="0" w:color="auto"/>
        <w:left w:val="none" w:sz="0" w:space="0" w:color="auto"/>
        <w:bottom w:val="none" w:sz="0" w:space="0" w:color="auto"/>
        <w:right w:val="none" w:sz="0" w:space="0" w:color="auto"/>
      </w:divBdr>
    </w:div>
    <w:div w:id="1639142171">
      <w:bodyDiv w:val="1"/>
      <w:marLeft w:val="0"/>
      <w:marRight w:val="0"/>
      <w:marTop w:val="0"/>
      <w:marBottom w:val="0"/>
      <w:divBdr>
        <w:top w:val="none" w:sz="0" w:space="0" w:color="auto"/>
        <w:left w:val="none" w:sz="0" w:space="0" w:color="auto"/>
        <w:bottom w:val="none" w:sz="0" w:space="0" w:color="auto"/>
        <w:right w:val="none" w:sz="0" w:space="0" w:color="auto"/>
      </w:divBdr>
    </w:div>
    <w:div w:id="1798181238">
      <w:bodyDiv w:val="1"/>
      <w:marLeft w:val="0"/>
      <w:marRight w:val="0"/>
      <w:marTop w:val="0"/>
      <w:marBottom w:val="0"/>
      <w:divBdr>
        <w:top w:val="none" w:sz="0" w:space="0" w:color="auto"/>
        <w:left w:val="none" w:sz="0" w:space="0" w:color="auto"/>
        <w:bottom w:val="none" w:sz="0" w:space="0" w:color="auto"/>
        <w:right w:val="none" w:sz="0" w:space="0" w:color="auto"/>
      </w:divBdr>
    </w:div>
    <w:div w:id="1851721577">
      <w:bodyDiv w:val="1"/>
      <w:marLeft w:val="0"/>
      <w:marRight w:val="0"/>
      <w:marTop w:val="0"/>
      <w:marBottom w:val="0"/>
      <w:divBdr>
        <w:top w:val="none" w:sz="0" w:space="0" w:color="auto"/>
        <w:left w:val="none" w:sz="0" w:space="0" w:color="auto"/>
        <w:bottom w:val="none" w:sz="0" w:space="0" w:color="auto"/>
        <w:right w:val="none" w:sz="0" w:space="0" w:color="auto"/>
      </w:divBdr>
    </w:div>
    <w:div w:id="1904676277">
      <w:bodyDiv w:val="1"/>
      <w:marLeft w:val="0"/>
      <w:marRight w:val="0"/>
      <w:marTop w:val="0"/>
      <w:marBottom w:val="0"/>
      <w:divBdr>
        <w:top w:val="none" w:sz="0" w:space="0" w:color="auto"/>
        <w:left w:val="none" w:sz="0" w:space="0" w:color="auto"/>
        <w:bottom w:val="none" w:sz="0" w:space="0" w:color="auto"/>
        <w:right w:val="none" w:sz="0" w:space="0" w:color="auto"/>
      </w:divBdr>
    </w:div>
    <w:div w:id="1909030307">
      <w:bodyDiv w:val="1"/>
      <w:marLeft w:val="0"/>
      <w:marRight w:val="0"/>
      <w:marTop w:val="0"/>
      <w:marBottom w:val="0"/>
      <w:divBdr>
        <w:top w:val="none" w:sz="0" w:space="0" w:color="auto"/>
        <w:left w:val="none" w:sz="0" w:space="0" w:color="auto"/>
        <w:bottom w:val="none" w:sz="0" w:space="0" w:color="auto"/>
        <w:right w:val="none" w:sz="0" w:space="0" w:color="auto"/>
      </w:divBdr>
    </w:div>
    <w:div w:id="1969436940">
      <w:bodyDiv w:val="1"/>
      <w:marLeft w:val="0"/>
      <w:marRight w:val="0"/>
      <w:marTop w:val="0"/>
      <w:marBottom w:val="0"/>
      <w:divBdr>
        <w:top w:val="none" w:sz="0" w:space="0" w:color="auto"/>
        <w:left w:val="none" w:sz="0" w:space="0" w:color="auto"/>
        <w:bottom w:val="none" w:sz="0" w:space="0" w:color="auto"/>
        <w:right w:val="none" w:sz="0" w:space="0" w:color="auto"/>
      </w:divBdr>
    </w:div>
    <w:div w:id="1984969323">
      <w:bodyDiv w:val="1"/>
      <w:marLeft w:val="0"/>
      <w:marRight w:val="0"/>
      <w:marTop w:val="0"/>
      <w:marBottom w:val="0"/>
      <w:divBdr>
        <w:top w:val="none" w:sz="0" w:space="0" w:color="auto"/>
        <w:left w:val="none" w:sz="0" w:space="0" w:color="auto"/>
        <w:bottom w:val="none" w:sz="0" w:space="0" w:color="auto"/>
        <w:right w:val="none" w:sz="0" w:space="0" w:color="auto"/>
      </w:divBdr>
    </w:div>
    <w:div w:id="1987659068">
      <w:bodyDiv w:val="1"/>
      <w:marLeft w:val="0"/>
      <w:marRight w:val="0"/>
      <w:marTop w:val="0"/>
      <w:marBottom w:val="0"/>
      <w:divBdr>
        <w:top w:val="none" w:sz="0" w:space="0" w:color="auto"/>
        <w:left w:val="none" w:sz="0" w:space="0" w:color="auto"/>
        <w:bottom w:val="none" w:sz="0" w:space="0" w:color="auto"/>
        <w:right w:val="none" w:sz="0" w:space="0" w:color="auto"/>
      </w:divBdr>
    </w:div>
    <w:div w:id="2050521760">
      <w:bodyDiv w:val="1"/>
      <w:marLeft w:val="0"/>
      <w:marRight w:val="0"/>
      <w:marTop w:val="0"/>
      <w:marBottom w:val="0"/>
      <w:divBdr>
        <w:top w:val="none" w:sz="0" w:space="0" w:color="auto"/>
        <w:left w:val="none" w:sz="0" w:space="0" w:color="auto"/>
        <w:bottom w:val="none" w:sz="0" w:space="0" w:color="auto"/>
        <w:right w:val="none" w:sz="0" w:space="0" w:color="auto"/>
      </w:divBdr>
    </w:div>
    <w:div w:id="2136871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B86BF-1153-4D48-879B-2EFFE08DF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1624</Words>
  <Characters>9261</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davlars</dc:creator>
  <cp:lastModifiedBy>Maria Flora V.</cp:lastModifiedBy>
  <cp:revision>9</cp:revision>
  <dcterms:created xsi:type="dcterms:W3CDTF">2021-02-22T18:04:00Z</dcterms:created>
  <dcterms:modified xsi:type="dcterms:W3CDTF">2021-03-18T01:58:00Z</dcterms:modified>
</cp:coreProperties>
</file>