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C84E3" w14:textId="2EEEFB7F" w:rsidR="00D94BC0" w:rsidRPr="000220A2" w:rsidRDefault="000220A2" w:rsidP="003E461A">
      <w:pPr>
        <w:spacing w:line="480" w:lineRule="auto"/>
        <w:jc w:val="both"/>
        <w:rPr>
          <w:rFonts w:cstheme="minorHAnsi"/>
          <w:b/>
          <w:sz w:val="44"/>
          <w:lang w:val="en-US"/>
        </w:rPr>
      </w:pPr>
      <w:r w:rsidRPr="000220A2">
        <w:rPr>
          <w:rFonts w:cstheme="minorHAnsi"/>
          <w:b/>
          <w:sz w:val="44"/>
          <w:lang w:val="en-US"/>
        </w:rPr>
        <w:t>Additional</w:t>
      </w:r>
      <w:r w:rsidR="00563DB6" w:rsidRPr="000220A2">
        <w:rPr>
          <w:rFonts w:cstheme="minorHAnsi"/>
          <w:b/>
          <w:sz w:val="44"/>
          <w:lang w:val="en-US"/>
        </w:rPr>
        <w:t xml:space="preserve"> </w:t>
      </w:r>
      <w:r w:rsidR="00301D9C" w:rsidRPr="000220A2">
        <w:rPr>
          <w:rFonts w:cstheme="minorHAnsi"/>
          <w:b/>
          <w:sz w:val="44"/>
          <w:lang w:val="en-US"/>
        </w:rPr>
        <w:t>Material</w:t>
      </w:r>
    </w:p>
    <w:p w14:paraId="4B1221FE" w14:textId="0EBEC37F" w:rsidR="00301D9C" w:rsidRPr="000220A2" w:rsidRDefault="00301D9C" w:rsidP="003E461A">
      <w:pPr>
        <w:spacing w:line="480" w:lineRule="auto"/>
        <w:jc w:val="both"/>
        <w:rPr>
          <w:rFonts w:cstheme="minorHAnsi"/>
          <w:b/>
          <w:sz w:val="24"/>
          <w:lang w:val="en-US"/>
        </w:rPr>
      </w:pPr>
      <w:r w:rsidRPr="000220A2">
        <w:rPr>
          <w:rFonts w:cstheme="minorHAnsi"/>
          <w:b/>
          <w:sz w:val="24"/>
          <w:lang w:val="en-US"/>
        </w:rPr>
        <w:t>1. Descriptors of aortic flow dynamics</w:t>
      </w:r>
      <w:r w:rsidR="003E461A" w:rsidRPr="000220A2">
        <w:rPr>
          <w:rFonts w:cstheme="minorHAnsi"/>
          <w:b/>
          <w:sz w:val="24"/>
          <w:lang w:val="en-US"/>
        </w:rPr>
        <w:t xml:space="preserve"> </w:t>
      </w:r>
      <w:r w:rsidR="00F80038" w:rsidRPr="000220A2">
        <w:rPr>
          <w:rFonts w:cstheme="minorHAnsi"/>
          <w:b/>
          <w:sz w:val="24"/>
          <w:lang w:val="en-US"/>
        </w:rPr>
        <w:t>in the false lumen</w:t>
      </w:r>
      <w:r w:rsidRPr="000220A2">
        <w:rPr>
          <w:rFonts w:cstheme="minorHAnsi"/>
          <w:b/>
          <w:sz w:val="24"/>
          <w:lang w:val="en-US"/>
        </w:rPr>
        <w:t xml:space="preserve">. </w:t>
      </w:r>
    </w:p>
    <w:p w14:paraId="5FC23115" w14:textId="569FB6A0" w:rsidR="008E71D5" w:rsidRPr="000220A2" w:rsidRDefault="004B7D12" w:rsidP="00E3696E">
      <w:pPr>
        <w:spacing w:line="480" w:lineRule="auto"/>
        <w:ind w:firstLine="708"/>
        <w:jc w:val="both"/>
        <w:rPr>
          <w:rFonts w:cstheme="minorHAnsi"/>
          <w:lang w:val="en-US"/>
        </w:rPr>
      </w:pPr>
      <w:r w:rsidRPr="000220A2">
        <w:rPr>
          <w:rFonts w:cstheme="minorHAnsi"/>
          <w:lang w:val="en-US"/>
        </w:rPr>
        <w:t>False lumen flow dynamics was characterized</w:t>
      </w:r>
      <w:r w:rsidR="003D6801" w:rsidRPr="000220A2">
        <w:rPr>
          <w:rFonts w:cstheme="minorHAnsi"/>
          <w:lang w:val="en-US"/>
        </w:rPr>
        <w:t>, either</w:t>
      </w:r>
      <w:r w:rsidRPr="000220A2">
        <w:rPr>
          <w:rFonts w:cstheme="minorHAnsi"/>
          <w:lang w:val="en-US"/>
        </w:rPr>
        <w:t xml:space="preserve"> </w:t>
      </w:r>
      <w:r w:rsidR="003D6801" w:rsidRPr="000220A2">
        <w:rPr>
          <w:rFonts w:cstheme="minorHAnsi"/>
          <w:lang w:val="en-US"/>
        </w:rPr>
        <w:t xml:space="preserve">at </w:t>
      </w:r>
      <w:r w:rsidRPr="000220A2">
        <w:rPr>
          <w:rFonts w:cstheme="minorHAnsi"/>
          <w:lang w:val="en-US"/>
        </w:rPr>
        <w:t>8 equidistant planes or in a volume of analysis, in the false lumen</w:t>
      </w:r>
      <w:r w:rsidR="003D6801" w:rsidRPr="000220A2">
        <w:rPr>
          <w:rFonts w:cstheme="minorHAnsi"/>
          <w:lang w:val="en-US"/>
        </w:rPr>
        <w:t>,</w:t>
      </w:r>
      <w:r w:rsidRPr="000220A2">
        <w:rPr>
          <w:rFonts w:cstheme="minorHAnsi"/>
          <w:lang w:val="en-US"/>
        </w:rPr>
        <w:t xml:space="preserve"> from the level of the pulmonary bifurcation to the diaphragm. </w:t>
      </w:r>
      <w:r w:rsidR="00486856" w:rsidRPr="000220A2">
        <w:rPr>
          <w:rFonts w:cstheme="minorHAnsi"/>
          <w:lang w:val="en-US"/>
        </w:rPr>
        <w:t xml:space="preserve">Retrograde systolic and diastolic flow, retrograde flow fraction, wall shear stress and in-plane rotational flow were calculated in </w:t>
      </w:r>
      <w:r w:rsidR="004E5CF3" w:rsidRPr="000220A2">
        <w:rPr>
          <w:rFonts w:cstheme="minorHAnsi"/>
          <w:lang w:val="en-US"/>
        </w:rPr>
        <w:t xml:space="preserve">the 8 </w:t>
      </w:r>
      <w:r w:rsidR="00486856" w:rsidRPr="000220A2">
        <w:rPr>
          <w:rFonts w:cstheme="minorHAnsi"/>
          <w:lang w:val="en-US"/>
        </w:rPr>
        <w:t>planes of analysis</w:t>
      </w:r>
      <w:r w:rsidRPr="000220A2">
        <w:rPr>
          <w:rFonts w:cstheme="minorHAnsi"/>
          <w:lang w:val="en-US"/>
        </w:rPr>
        <w:t xml:space="preserve"> located perpendicular to the centreline of the false lumen</w:t>
      </w:r>
      <w:r w:rsidR="004E5CF3" w:rsidRPr="000220A2">
        <w:rPr>
          <w:rFonts w:cstheme="minorHAnsi"/>
          <w:lang w:val="en-US"/>
        </w:rPr>
        <w:t xml:space="preserve">, and then </w:t>
      </w:r>
      <w:r w:rsidR="009732C0" w:rsidRPr="000220A2">
        <w:rPr>
          <w:rFonts w:cstheme="minorHAnsi"/>
          <w:lang w:val="en-US"/>
        </w:rPr>
        <w:t>the</w:t>
      </w:r>
      <w:r w:rsidR="00A42A16" w:rsidRPr="000220A2">
        <w:rPr>
          <w:rFonts w:cstheme="minorHAnsi"/>
          <w:lang w:val="en-US"/>
        </w:rPr>
        <w:t xml:space="preserve"> average of </w:t>
      </w:r>
      <w:r w:rsidR="00E971A1" w:rsidRPr="000220A2">
        <w:rPr>
          <w:rFonts w:cstheme="minorHAnsi"/>
          <w:lang w:val="en-US"/>
        </w:rPr>
        <w:t>each descriptor</w:t>
      </w:r>
      <w:r w:rsidR="00A42A16" w:rsidRPr="000220A2">
        <w:rPr>
          <w:rFonts w:cstheme="minorHAnsi"/>
          <w:lang w:val="en-US"/>
        </w:rPr>
        <w:t xml:space="preserve"> in the 8 planes was used</w:t>
      </w:r>
      <w:r w:rsidRPr="000220A2">
        <w:rPr>
          <w:rFonts w:cstheme="minorHAnsi"/>
          <w:lang w:val="en-US"/>
        </w:rPr>
        <w:t xml:space="preserve"> </w:t>
      </w:r>
      <w:r w:rsidR="00E971A1" w:rsidRPr="000220A2">
        <w:rPr>
          <w:rFonts w:cstheme="minorHAnsi"/>
          <w:lang w:val="en-US"/>
        </w:rPr>
        <w:t>for</w:t>
      </w:r>
      <w:r w:rsidRPr="000220A2">
        <w:rPr>
          <w:rFonts w:cstheme="minorHAnsi"/>
          <w:lang w:val="en-US"/>
        </w:rPr>
        <w:t xml:space="preserve"> the analysis</w:t>
      </w:r>
      <w:r w:rsidR="00486856" w:rsidRPr="000220A2">
        <w:rPr>
          <w:rFonts w:cstheme="minorHAnsi"/>
          <w:lang w:val="en-US"/>
        </w:rPr>
        <w:t xml:space="preserve">. Conversely, maximum systolic kinetic energy, maximum systolic deceleration rate and flow stasis were quantified </w:t>
      </w:r>
      <w:r w:rsidR="00932A76" w:rsidRPr="000220A2">
        <w:rPr>
          <w:rFonts w:cstheme="minorHAnsi"/>
          <w:lang w:val="en-US"/>
        </w:rPr>
        <w:t>in</w:t>
      </w:r>
      <w:r w:rsidR="00E971A1" w:rsidRPr="000220A2">
        <w:rPr>
          <w:rFonts w:cstheme="minorHAnsi"/>
          <w:lang w:val="en-US"/>
        </w:rPr>
        <w:t xml:space="preserve"> the</w:t>
      </w:r>
      <w:r w:rsidR="00486856" w:rsidRPr="000220A2">
        <w:rPr>
          <w:rFonts w:cstheme="minorHAnsi"/>
          <w:lang w:val="en-US"/>
        </w:rPr>
        <w:t xml:space="preserve"> volume</w:t>
      </w:r>
      <w:r w:rsidR="003A1BE9" w:rsidRPr="000220A2">
        <w:rPr>
          <w:rFonts w:cstheme="minorHAnsi"/>
          <w:lang w:val="en-US"/>
        </w:rPr>
        <w:t xml:space="preserve"> of analysis</w:t>
      </w:r>
      <w:r w:rsidR="008E71D5" w:rsidRPr="000220A2">
        <w:rPr>
          <w:rFonts w:cstheme="minorHAnsi"/>
          <w:lang w:val="en-US"/>
        </w:rPr>
        <w:t>.</w:t>
      </w:r>
    </w:p>
    <w:p w14:paraId="11AEF0B5" w14:textId="51E8D128" w:rsidR="00301D9C" w:rsidRPr="000220A2" w:rsidRDefault="00301D9C" w:rsidP="00486856">
      <w:pPr>
        <w:spacing w:line="480" w:lineRule="auto"/>
        <w:ind w:firstLine="708"/>
        <w:jc w:val="both"/>
        <w:rPr>
          <w:rFonts w:cstheme="minorHAnsi"/>
          <w:b/>
          <w:i/>
          <w:lang w:val="en-US"/>
        </w:rPr>
      </w:pPr>
      <w:r w:rsidRPr="000220A2">
        <w:rPr>
          <w:rFonts w:cstheme="minorHAnsi"/>
          <w:b/>
          <w:i/>
          <w:lang w:val="en-US"/>
        </w:rPr>
        <w:t>Retrograde systolic</w:t>
      </w:r>
      <w:r w:rsidR="00486856" w:rsidRPr="000220A2">
        <w:rPr>
          <w:rFonts w:cstheme="minorHAnsi"/>
          <w:b/>
          <w:i/>
          <w:lang w:val="en-US"/>
        </w:rPr>
        <w:t xml:space="preserve"> and diastolic</w:t>
      </w:r>
      <w:r w:rsidRPr="000220A2">
        <w:rPr>
          <w:rFonts w:cstheme="minorHAnsi"/>
          <w:b/>
          <w:i/>
          <w:lang w:val="en-US"/>
        </w:rPr>
        <w:t xml:space="preserve"> flow</w:t>
      </w:r>
      <w:r w:rsidR="00486856" w:rsidRPr="000220A2">
        <w:rPr>
          <w:rFonts w:cstheme="minorHAnsi"/>
          <w:b/>
          <w:i/>
          <w:lang w:val="en-US"/>
        </w:rPr>
        <w:t xml:space="preserve"> and retrograde flow fraction</w:t>
      </w:r>
    </w:p>
    <w:p w14:paraId="7F5504A6" w14:textId="2F19B251" w:rsidR="00301D9C" w:rsidRPr="000220A2" w:rsidRDefault="00486856" w:rsidP="003E461A">
      <w:pPr>
        <w:spacing w:line="480" w:lineRule="auto"/>
        <w:jc w:val="both"/>
        <w:rPr>
          <w:rFonts w:cstheme="minorHAnsi"/>
          <w:lang w:val="en-US"/>
        </w:rPr>
      </w:pPr>
      <w:r w:rsidRPr="000220A2">
        <w:rPr>
          <w:rFonts w:cstheme="minorHAnsi"/>
          <w:lang w:val="en-US"/>
        </w:rPr>
        <w:t xml:space="preserve">Flow volumes were calculated as the time-integral of </w:t>
      </w:r>
      <w:r w:rsidR="00042CD3" w:rsidRPr="000220A2">
        <w:rPr>
          <w:rFonts w:cstheme="minorHAnsi"/>
          <w:lang w:val="en-US"/>
        </w:rPr>
        <w:t>anterograde</w:t>
      </w:r>
      <w:r w:rsidR="009732C0" w:rsidRPr="000220A2">
        <w:rPr>
          <w:rFonts w:cstheme="minorHAnsi"/>
          <w:lang w:val="en-US"/>
        </w:rPr>
        <w:t xml:space="preserve"> and </w:t>
      </w:r>
      <w:r w:rsidR="00042CD3" w:rsidRPr="000220A2">
        <w:rPr>
          <w:rFonts w:cstheme="minorHAnsi"/>
          <w:lang w:val="en-US"/>
        </w:rPr>
        <w:t>retrograde</w:t>
      </w:r>
      <w:r w:rsidRPr="000220A2">
        <w:rPr>
          <w:rFonts w:cstheme="minorHAnsi"/>
          <w:lang w:val="en-US"/>
        </w:rPr>
        <w:t xml:space="preserve"> through-plane flow</w:t>
      </w:r>
      <w:r w:rsidR="0079144C" w:rsidRPr="000220A2">
        <w:rPr>
          <w:rFonts w:cstheme="minorHAnsi"/>
          <w:lang w:val="en-US"/>
        </w:rPr>
        <w:t xml:space="preserve"> rate curves over systolic </w:t>
      </w:r>
      <w:r w:rsidR="003D6801" w:rsidRPr="000220A2">
        <w:rPr>
          <w:rFonts w:cstheme="minorHAnsi"/>
          <w:lang w:val="en-US"/>
        </w:rPr>
        <w:t xml:space="preserve">(retrograde systolic flow) </w:t>
      </w:r>
      <w:r w:rsidR="0079144C" w:rsidRPr="000220A2">
        <w:rPr>
          <w:rFonts w:cstheme="minorHAnsi"/>
          <w:lang w:val="en-US"/>
        </w:rPr>
        <w:t>and</w:t>
      </w:r>
      <w:r w:rsidR="009732C0" w:rsidRPr="000220A2">
        <w:rPr>
          <w:rFonts w:cstheme="minorHAnsi"/>
          <w:lang w:val="en-US"/>
        </w:rPr>
        <w:t xml:space="preserve"> diastolic </w:t>
      </w:r>
      <w:r w:rsidR="003D6801" w:rsidRPr="000220A2">
        <w:rPr>
          <w:rFonts w:cstheme="minorHAnsi"/>
          <w:lang w:val="en-US"/>
        </w:rPr>
        <w:t xml:space="preserve">(retrograde diastolic flow) </w:t>
      </w:r>
      <w:r w:rsidR="009732C0" w:rsidRPr="000220A2">
        <w:rPr>
          <w:rFonts w:cstheme="minorHAnsi"/>
          <w:lang w:val="en-US"/>
        </w:rPr>
        <w:t>phases. Then, retrograde flow fraction was calculated as follows:</w:t>
      </w:r>
    </w:p>
    <w:p w14:paraId="20DA6420" w14:textId="1DF39DBA" w:rsidR="009732C0" w:rsidRPr="000220A2" w:rsidRDefault="009732C0" w:rsidP="003E461A">
      <w:pPr>
        <w:spacing w:line="480" w:lineRule="auto"/>
        <w:jc w:val="both"/>
        <w:rPr>
          <w:rFonts w:cstheme="minorHAnsi"/>
          <w:lang w:val="en-US"/>
        </w:rPr>
      </w:pPr>
      <m:oMathPara>
        <m:oMath>
          <m:r>
            <w:rPr>
              <w:rFonts w:ascii="Cambria Math" w:hAnsi="Cambria Math" w:cstheme="minorHAnsi"/>
              <w:lang w:val="en-US"/>
            </w:rPr>
            <m:t xml:space="preserve">Retrograde flow fraction= </m:t>
          </m:r>
          <m:f>
            <m:fPr>
              <m:ctrlPr>
                <w:rPr>
                  <w:rFonts w:ascii="Cambria Math" w:hAnsi="Cambria Math" w:cstheme="minorHAnsi"/>
                  <w:i/>
                  <w:lang w:val="en-US"/>
                </w:rPr>
              </m:ctrlPr>
            </m:fPr>
            <m:num>
              <m:nary>
                <m:naryPr>
                  <m:limLoc m:val="subSup"/>
                  <m:ctrlPr>
                    <w:rPr>
                      <w:rFonts w:ascii="Cambria Math" w:hAnsi="Cambria Math" w:cstheme="minorHAnsi"/>
                      <w:i/>
                      <w:lang w:val="en-US"/>
                    </w:rPr>
                  </m:ctrlPr>
                </m:naryPr>
                <m:sub>
                  <m:sSub>
                    <m:sSubPr>
                      <m:ctrlPr>
                        <w:rPr>
                          <w:rFonts w:ascii="Cambria Math" w:hAnsi="Cambria Math" w:cstheme="minorHAnsi"/>
                          <w:i/>
                          <w:lang w:val="en-US"/>
                        </w:rPr>
                      </m:ctrlPr>
                    </m:sSubPr>
                    <m:e>
                      <m:r>
                        <w:rPr>
                          <w:rFonts w:ascii="Cambria Math" w:hAnsi="Cambria Math" w:cstheme="minorHAnsi"/>
                          <w:lang w:val="en-US"/>
                        </w:rPr>
                        <m:t>T</m:t>
                      </m:r>
                    </m:e>
                    <m:sub>
                      <m:r>
                        <w:rPr>
                          <w:rFonts w:ascii="Cambria Math" w:hAnsi="Cambria Math" w:cstheme="minorHAnsi"/>
                          <w:lang w:val="en-US"/>
                        </w:rPr>
                        <m:t>s</m:t>
                      </m:r>
                    </m:sub>
                  </m:sSub>
                </m:sub>
                <m:sup>
                  <m:sSub>
                    <m:sSubPr>
                      <m:ctrlPr>
                        <w:rPr>
                          <w:rFonts w:ascii="Cambria Math" w:hAnsi="Cambria Math" w:cstheme="minorHAnsi"/>
                          <w:i/>
                          <w:lang w:val="en-US"/>
                        </w:rPr>
                      </m:ctrlPr>
                    </m:sSubPr>
                    <m:e>
                      <m:r>
                        <w:rPr>
                          <w:rFonts w:ascii="Cambria Math" w:hAnsi="Cambria Math" w:cstheme="minorHAnsi"/>
                          <w:lang w:val="en-US"/>
                        </w:rPr>
                        <m:t>T</m:t>
                      </m:r>
                    </m:e>
                    <m:sub>
                      <m:r>
                        <w:rPr>
                          <w:rFonts w:ascii="Cambria Math" w:hAnsi="Cambria Math" w:cstheme="minorHAnsi"/>
                          <w:lang w:val="en-US"/>
                        </w:rPr>
                        <m:t>d</m:t>
                      </m:r>
                    </m:sub>
                  </m:sSub>
                </m:sup>
                <m:e>
                  <m:sSub>
                    <m:sSubPr>
                      <m:ctrlPr>
                        <w:rPr>
                          <w:rFonts w:ascii="Cambria Math" w:hAnsi="Cambria Math" w:cstheme="minorHAnsi"/>
                          <w:i/>
                          <w:lang w:val="en-US"/>
                        </w:rPr>
                      </m:ctrlPr>
                    </m:sSubPr>
                    <m:e>
                      <m:r>
                        <w:rPr>
                          <w:rFonts w:ascii="Cambria Math" w:hAnsi="Cambria Math" w:cstheme="minorHAnsi"/>
                          <w:lang w:val="en-US"/>
                        </w:rPr>
                        <m:t>V</m:t>
                      </m:r>
                    </m:e>
                    <m:sub>
                      <m:r>
                        <w:rPr>
                          <w:rFonts w:ascii="Cambria Math" w:hAnsi="Cambria Math" w:cstheme="minorHAnsi"/>
                          <w:lang w:val="en-US"/>
                        </w:rPr>
                        <m:t>RDF</m:t>
                      </m:r>
                    </m:sub>
                  </m:sSub>
                  <m:r>
                    <w:rPr>
                      <w:rFonts w:ascii="Cambria Math" w:hAnsi="Cambria Math" w:cstheme="minorHAnsi"/>
                      <w:lang w:val="en-US"/>
                    </w:rPr>
                    <m:t xml:space="preserve"> </m:t>
                  </m:r>
                  <m:d>
                    <m:dPr>
                      <m:ctrlPr>
                        <w:rPr>
                          <w:rFonts w:ascii="Cambria Math" w:hAnsi="Cambria Math" w:cstheme="minorHAnsi"/>
                          <w:i/>
                          <w:lang w:val="en-US"/>
                        </w:rPr>
                      </m:ctrlPr>
                    </m:dPr>
                    <m:e>
                      <m:r>
                        <w:rPr>
                          <w:rFonts w:ascii="Cambria Math" w:hAnsi="Cambria Math" w:cstheme="minorHAnsi"/>
                          <w:lang w:val="en-US"/>
                        </w:rPr>
                        <m:t>t</m:t>
                      </m:r>
                    </m:e>
                  </m:d>
                  <m:r>
                    <w:rPr>
                      <w:rFonts w:ascii="Cambria Math" w:hAnsi="Cambria Math" w:cstheme="minorHAnsi"/>
                      <w:lang w:val="en-US"/>
                    </w:rPr>
                    <m:t xml:space="preserve"> dt</m:t>
                  </m:r>
                </m:e>
              </m:nary>
            </m:num>
            <m:den>
              <m:nary>
                <m:naryPr>
                  <m:limLoc m:val="subSup"/>
                  <m:ctrlPr>
                    <w:rPr>
                      <w:rFonts w:ascii="Cambria Math" w:hAnsi="Cambria Math" w:cstheme="minorHAnsi"/>
                      <w:i/>
                      <w:lang w:val="en-US"/>
                    </w:rPr>
                  </m:ctrlPr>
                </m:naryPr>
                <m:sub>
                  <m:r>
                    <w:rPr>
                      <w:rFonts w:ascii="Cambria Math" w:hAnsi="Cambria Math" w:cstheme="minorHAnsi"/>
                      <w:lang w:val="en-US"/>
                    </w:rPr>
                    <m:t>0</m:t>
                  </m:r>
                </m:sub>
                <m:sup>
                  <m:sSub>
                    <m:sSubPr>
                      <m:ctrlPr>
                        <w:rPr>
                          <w:rFonts w:ascii="Cambria Math" w:hAnsi="Cambria Math" w:cstheme="minorHAnsi"/>
                          <w:i/>
                          <w:lang w:val="en-US"/>
                        </w:rPr>
                      </m:ctrlPr>
                    </m:sSubPr>
                    <m:e>
                      <m:r>
                        <w:rPr>
                          <w:rFonts w:ascii="Cambria Math" w:hAnsi="Cambria Math" w:cstheme="minorHAnsi"/>
                          <w:lang w:val="en-US"/>
                        </w:rPr>
                        <m:t>T</m:t>
                      </m:r>
                    </m:e>
                    <m:sub>
                      <m:r>
                        <w:rPr>
                          <w:rFonts w:ascii="Cambria Math" w:hAnsi="Cambria Math" w:cstheme="minorHAnsi"/>
                          <w:lang w:val="en-US"/>
                        </w:rPr>
                        <m:t>s</m:t>
                      </m:r>
                    </m:sub>
                  </m:sSub>
                </m:sup>
                <m:e>
                  <m:sSub>
                    <m:sSubPr>
                      <m:ctrlPr>
                        <w:rPr>
                          <w:rFonts w:ascii="Cambria Math" w:hAnsi="Cambria Math" w:cstheme="minorHAnsi"/>
                          <w:i/>
                          <w:lang w:val="en-US"/>
                        </w:rPr>
                      </m:ctrlPr>
                    </m:sSubPr>
                    <m:e>
                      <m:r>
                        <w:rPr>
                          <w:rFonts w:ascii="Cambria Math" w:hAnsi="Cambria Math" w:cstheme="minorHAnsi"/>
                          <w:lang w:val="en-US"/>
                        </w:rPr>
                        <m:t>V</m:t>
                      </m:r>
                    </m:e>
                    <m:sub>
                      <m:r>
                        <w:rPr>
                          <w:rFonts w:ascii="Cambria Math" w:hAnsi="Cambria Math" w:cstheme="minorHAnsi"/>
                          <w:lang w:val="en-US"/>
                        </w:rPr>
                        <m:t>ASF</m:t>
                      </m:r>
                    </m:sub>
                  </m:sSub>
                  <m:r>
                    <w:rPr>
                      <w:rFonts w:ascii="Cambria Math" w:hAnsi="Cambria Math" w:cstheme="minorHAnsi"/>
                      <w:lang w:val="en-US"/>
                    </w:rPr>
                    <m:t xml:space="preserve"> </m:t>
                  </m:r>
                  <m:d>
                    <m:dPr>
                      <m:ctrlPr>
                        <w:rPr>
                          <w:rFonts w:ascii="Cambria Math" w:hAnsi="Cambria Math" w:cstheme="minorHAnsi"/>
                          <w:i/>
                          <w:lang w:val="en-US"/>
                        </w:rPr>
                      </m:ctrlPr>
                    </m:dPr>
                    <m:e>
                      <m:r>
                        <w:rPr>
                          <w:rFonts w:ascii="Cambria Math" w:hAnsi="Cambria Math" w:cstheme="minorHAnsi"/>
                          <w:lang w:val="en-US"/>
                        </w:rPr>
                        <m:t>t</m:t>
                      </m:r>
                    </m:e>
                  </m:d>
                  <m:r>
                    <w:rPr>
                      <w:rFonts w:ascii="Cambria Math" w:hAnsi="Cambria Math" w:cstheme="minorHAnsi"/>
                      <w:lang w:val="en-US"/>
                    </w:rPr>
                    <m:t>dt</m:t>
                  </m:r>
                </m:e>
              </m:nary>
            </m:den>
          </m:f>
        </m:oMath>
      </m:oMathPara>
    </w:p>
    <w:p w14:paraId="52358132" w14:textId="31E57189" w:rsidR="00301D9C" w:rsidRPr="000220A2" w:rsidRDefault="009732C0" w:rsidP="003E461A">
      <w:pPr>
        <w:spacing w:line="480" w:lineRule="auto"/>
        <w:jc w:val="both"/>
        <w:rPr>
          <w:rFonts w:eastAsiaTheme="minorEastAsia" w:cstheme="minorHAnsi"/>
          <w:lang w:val="en-US"/>
        </w:rPr>
      </w:pPr>
      <w:r w:rsidRPr="000220A2">
        <w:rPr>
          <w:rFonts w:cstheme="minorHAnsi"/>
          <w:lang w:val="en-US"/>
        </w:rPr>
        <w:t xml:space="preserve">where </w:t>
      </w:r>
      <m:oMath>
        <m:sSub>
          <m:sSubPr>
            <m:ctrlPr>
              <w:rPr>
                <w:rFonts w:ascii="Cambria Math" w:hAnsi="Cambria Math" w:cstheme="minorHAnsi"/>
                <w:i/>
                <w:lang w:val="en-US"/>
              </w:rPr>
            </m:ctrlPr>
          </m:sSubPr>
          <m:e>
            <m:r>
              <w:rPr>
                <w:rFonts w:ascii="Cambria Math" w:hAnsi="Cambria Math" w:cstheme="minorHAnsi"/>
                <w:lang w:val="en-US"/>
              </w:rPr>
              <m:t>V</m:t>
            </m:r>
          </m:e>
          <m:sub>
            <m:r>
              <w:rPr>
                <w:rFonts w:ascii="Cambria Math" w:hAnsi="Cambria Math" w:cstheme="minorHAnsi"/>
                <w:lang w:val="en-US"/>
              </w:rPr>
              <m:t>RDF</m:t>
            </m:r>
          </m:sub>
        </m:sSub>
      </m:oMath>
      <w:r w:rsidRPr="000220A2">
        <w:rPr>
          <w:rFonts w:eastAsiaTheme="minorEastAsia" w:cstheme="minorHAnsi"/>
          <w:lang w:val="en-US"/>
        </w:rPr>
        <w:t xml:space="preserve"> and </w:t>
      </w:r>
      <m:oMath>
        <m:sSub>
          <m:sSubPr>
            <m:ctrlPr>
              <w:rPr>
                <w:rFonts w:ascii="Cambria Math" w:hAnsi="Cambria Math" w:cstheme="minorHAnsi"/>
                <w:i/>
                <w:lang w:val="en-US"/>
              </w:rPr>
            </m:ctrlPr>
          </m:sSubPr>
          <m:e>
            <m:r>
              <w:rPr>
                <w:rFonts w:ascii="Cambria Math" w:hAnsi="Cambria Math" w:cstheme="minorHAnsi"/>
                <w:lang w:val="en-US"/>
              </w:rPr>
              <m:t>V</m:t>
            </m:r>
          </m:e>
          <m:sub>
            <m:r>
              <w:rPr>
                <w:rFonts w:ascii="Cambria Math" w:hAnsi="Cambria Math" w:cstheme="minorHAnsi"/>
                <w:lang w:val="en-US"/>
              </w:rPr>
              <m:t>ASF</m:t>
            </m:r>
          </m:sub>
        </m:sSub>
        <m:r>
          <w:rPr>
            <w:rFonts w:ascii="Cambria Math" w:hAnsi="Cambria Math" w:cstheme="minorHAnsi"/>
            <w:lang w:val="en-US"/>
          </w:rPr>
          <m:t xml:space="preserve"> </m:t>
        </m:r>
      </m:oMath>
      <w:r w:rsidRPr="000220A2">
        <w:rPr>
          <w:rFonts w:eastAsiaTheme="minorEastAsia" w:cstheme="minorHAnsi"/>
          <w:lang w:val="en-US"/>
        </w:rPr>
        <w:t xml:space="preserve">represent the retrograde diastolic flow rate and the anterograde systolic flow rate, respectively, and </w:t>
      </w:r>
      <m:oMath>
        <m:sSub>
          <m:sSubPr>
            <m:ctrlPr>
              <w:rPr>
                <w:rFonts w:ascii="Cambria Math" w:hAnsi="Cambria Math" w:cstheme="minorHAnsi"/>
                <w:i/>
                <w:lang w:val="en-US"/>
              </w:rPr>
            </m:ctrlPr>
          </m:sSubPr>
          <m:e>
            <m:r>
              <w:rPr>
                <w:rFonts w:ascii="Cambria Math" w:hAnsi="Cambria Math" w:cstheme="minorHAnsi"/>
                <w:lang w:val="en-US"/>
              </w:rPr>
              <m:t>T</m:t>
            </m:r>
          </m:e>
          <m:sub>
            <m:r>
              <w:rPr>
                <w:rFonts w:ascii="Cambria Math" w:hAnsi="Cambria Math" w:cstheme="minorHAnsi"/>
                <w:lang w:val="en-US"/>
              </w:rPr>
              <m:t>d</m:t>
            </m:r>
          </m:sub>
        </m:sSub>
      </m:oMath>
      <w:r w:rsidRPr="000220A2">
        <w:rPr>
          <w:rFonts w:eastAsiaTheme="minorEastAsia" w:cstheme="minorHAnsi"/>
          <w:lang w:val="en-US"/>
        </w:rPr>
        <w:t xml:space="preserve"> and </w:t>
      </w:r>
      <m:oMath>
        <m:sSub>
          <m:sSubPr>
            <m:ctrlPr>
              <w:rPr>
                <w:rFonts w:ascii="Cambria Math" w:hAnsi="Cambria Math" w:cstheme="minorHAnsi"/>
                <w:i/>
                <w:lang w:val="en-US"/>
              </w:rPr>
            </m:ctrlPr>
          </m:sSubPr>
          <m:e>
            <m:r>
              <w:rPr>
                <w:rFonts w:ascii="Cambria Math" w:hAnsi="Cambria Math" w:cstheme="minorHAnsi"/>
                <w:lang w:val="en-US"/>
              </w:rPr>
              <m:t>T</m:t>
            </m:r>
          </m:e>
          <m:sub>
            <m:r>
              <w:rPr>
                <w:rFonts w:ascii="Cambria Math" w:hAnsi="Cambria Math" w:cstheme="minorHAnsi"/>
                <w:lang w:val="en-US"/>
              </w:rPr>
              <m:t>s</m:t>
            </m:r>
          </m:sub>
        </m:sSub>
      </m:oMath>
      <w:r w:rsidRPr="000220A2">
        <w:rPr>
          <w:rFonts w:eastAsiaTheme="minorEastAsia" w:cstheme="minorHAnsi"/>
          <w:lang w:val="en-US"/>
        </w:rPr>
        <w:t xml:space="preserve"> are diastolic and systolic time intervals, respectively. </w:t>
      </w:r>
    </w:p>
    <w:p w14:paraId="69AA378C" w14:textId="77777777" w:rsidR="00301D9C" w:rsidRPr="000220A2" w:rsidRDefault="00301D9C" w:rsidP="003E461A">
      <w:pPr>
        <w:spacing w:line="480" w:lineRule="auto"/>
        <w:ind w:firstLine="708"/>
        <w:jc w:val="both"/>
        <w:rPr>
          <w:rFonts w:cstheme="minorHAnsi"/>
          <w:b/>
          <w:i/>
          <w:lang w:val="en-US"/>
        </w:rPr>
      </w:pPr>
      <w:r w:rsidRPr="000220A2">
        <w:rPr>
          <w:rFonts w:cstheme="minorHAnsi"/>
          <w:b/>
          <w:i/>
          <w:lang w:val="en-US"/>
        </w:rPr>
        <w:t>Wall shear stress</w:t>
      </w:r>
    </w:p>
    <w:p w14:paraId="4221F4A3" w14:textId="1CCFA8BB" w:rsidR="00301D9C" w:rsidRPr="000220A2" w:rsidRDefault="00301D9C" w:rsidP="003E461A">
      <w:pPr>
        <w:spacing w:line="480" w:lineRule="auto"/>
        <w:jc w:val="both"/>
        <w:rPr>
          <w:rFonts w:cstheme="minorHAnsi"/>
          <w:lang w:val="en-US"/>
        </w:rPr>
      </w:pPr>
      <w:r w:rsidRPr="000220A2">
        <w:rPr>
          <w:rFonts w:cstheme="minorHAnsi"/>
          <w:lang w:val="en-US"/>
        </w:rPr>
        <w:t xml:space="preserve">For each plane, peak-systolic WSS vectors (averaged from 1-time frame before and 2-time frames after peak) were calculated at 64 points equally distributed along each false lumen contour by fitting the 3D velocity data with B-spline surfaces and computing velocity derivatives on the vessel lumen </w:t>
      </w:r>
      <w:r w:rsidRPr="000220A2">
        <w:rPr>
          <w:rFonts w:cstheme="minorHAnsi"/>
          <w:lang w:val="en-US"/>
        </w:rPr>
        <w:fldChar w:fldCharType="begin" w:fldLock="1"/>
      </w:r>
      <w:r w:rsidR="00E971A1" w:rsidRPr="000220A2">
        <w:rPr>
          <w:rFonts w:cstheme="minorHAnsi"/>
          <w:lang w:val="en-US"/>
        </w:rPr>
        <w:instrText>ADDIN CSL_CITATION {"citationItems":[{"id":"ITEM-1","itemData":{"DOI":"10.1186/s12968-018-0451-1","ISSN":"1532-429X","PMID":"29695249","abstract":"In patients with bicuspid valve (BAV), ascending aorta (AAo) dilatation may be caused by altered flow patterns and wall shear stress (WSS). These differences may explain different aortic dilatation morphotypes. Using 4D-flow cardiovascular magnetic resonance (CMR), we aimed to analyze differences in flow patterns and regional axial and circumferential WSS maps between BAV phenotypes and their correlation with ascending aorta dilatation morphotype. One hundred and one BAV patients (aortic diameter ≤ 45 mm, no severe valvular disease) and 20 healthy subjects were studied by 4D-flow CMR. Peak velocity, flow jet angle, flow displacement, in-plane rotational flow (IRF) and systolic flow reversal ratio (SFRR) were assessed at different levels of the AAo. Peak-systolic axial and circumferential regional WSS maps were also estimated. Unadjusted and multivariable adjusted linear regression analyses were used to identify independent correlates of aortic root or ascending dilatation. Age, sex, valve morphotype, body surface area, flow derived variables and WSS components were included in the multivariable models. The AAo was non-dilated in 24 BAV patients and dilated in 77 (root morphotype in 11 and ascending in 66). BAV phenotype was right-left (RL-) in 78 patients and right-non-coronary (RN-) in 23. Both BAV phenotypes presented different outflow jet direction and velocity profiles that matched the location of maximum systolic axial WSS. RL-BAV velocity profiles and maximum axial WSS were homogeneously distributed right-anteriorly, however, RN-BAV showed higher variable profiles with a main proximal-posterior distribution shifting anteriorly at mid-distal AAo. Compared to controls, BAV patients presented similar WSS magnitude at proximal, mid and distal AAo (p = 0.764, 0.516 and 0.053, respectively) but lower axial and higher circumferential WSS components (p &lt; 0.001 for both, at all aortic levels). Among BAV patients, RN-BAV presented higher IRF at all levels (p = 0.024 proximal, 0.046 mid and 0.002 distal AAo) and higher circumferential WSS at mid and distal AAo (p = 0.038 and 0.046, respectively) than RL-BAV. However, axial WSS was higher in RL-BAV compared to RN-BAV at proximal and mid AAo (p = 0.046, 0.019, respectively). Displacement and axial WSS were independently associated with the root-morphotype, and circumferential WSS and SFRR with the ascending-morphotype. Different BAV-phenotypes present different flow patterns with an anterior distribution in RL…","author":[{"dropping-particle":"","family":"Rodriguez-Palomares","given":"JF","non-dropping-particle":"","parse-names":false,"suffix":""},{"dropping-particle":"","family":"Dux-Santoy","given":"L","non-dropping-particle":"","parse-names":false,"suffix":""},{"dropping-particle":"","family":"Guala","given":"Andrea","non-dropping-particle":"","parse-names":false,"suffix":""},{"dropping-particle":"","family":"Kale","given":"Raquel","non-dropping-particle":"","parse-names":false,"suffix":""},{"dropping-particle":"","family":"Maldonado","given":"Giuliana","non-dropping-particle":"","parse-names":false,"suffix":""},{"dropping-particle":"","family":"Teixidó-Turà","given":"Gisela","non-dropping-particle":"","parse-names":false,"suffix":""},{"dropping-particle":"","family":"Galian","given":"Laura","non-dropping-particle":"","parse-names":false,"suffix":""},{"dropping-particle":"","family":"Huguet","given":"Marina","non-dropping-particle":"","parse-names":false,"suffix":""},{"dropping-particle":"","family":"Valente","given":"Filipa","non-dropping-particle":"","parse-names":false,"suffix":""},{"dropping-particle":"","family":"Gutiérrez","given":"Laura","non-dropping-particle":"","parse-names":false,"suffix":""},{"dropping-particle":"","family":"González-Alujas","given":"María Teresa","non-dropping-particle":"","parse-names":false,"suffix":""},{"dropping-particle":"","family":"Johnson","given":"Kevin M","non-dropping-particle":"","parse-names":false,"suffix":""},{"dropping-particle":"","family":"Wieben","given":"Oliver","non-dropping-particle":"","parse-names":false,"suffix":""},{"dropping-particle":"","family":"García-Dorado","given":"David","non-dropping-particle":"","parse-names":false,"suffix":""},{"dropping-particle":"","family":"Evangelista","given":"Artur","non-dropping-particle":"","parse-names":false,"suffix":""}],"container-title":"Journal of Cardiovascular Magnetic Resonance","id":"ITEM-1","issue":"1","issued":{"date-parts":[["2018"]]},"page":"28","publisher":"Journal of Cardiovascular Magnetic Resonance","title":"Aortic flow patterns and wall shear stress maps by 4D-flow cardiovascular magnetic resonance in the assessment of aortic dilatation in bicuspid aortic valve disease","type":"article-journal","volume":"20"},"uris":["http://www.mendeley.com/documents/?uuid=4a455e6c-dac4-4992-9228-6dbfdb279cb6"]},{"id":"ITEM-2","itemData":{"DOI":"10.1002/mrm.21778","ISBN":"1522-2594 (Electronic)\\r0740-3194 (Linking)","ISSN":"07403194","PMID":"18956416","abstract":"Quantification of CINE phase contrast (PC)-MRI data is a challenging task because of the limited spatiotemporal resolution and signal-to-noise ratio (SNR). The method presented in this work combines B-spline interpolation and Green's theorem to provide optimized quantification of blood flow and vessel wall parameters. The B-spline model provided optimal derivatives of the measured three-directional blood velocities onto the vessel contour, as required for vectorial wall shear stress (WSS) computation. Eight planes distributed along the entire thoracic aorta were evaluated in a 19-volunteer study using both high-spatiotemporal-resolution planar two-dimensional (2D)-CINE-PC ( approximately 1.4 x 1.4 mm(2)/24.4 ms) and lower-resolution 3D-CINE-PC ( approximately 2.8 x 1.6 x 3 mm(3)/48.6 ms) with three-directional velocity encoding. Synthetic data, error propagation, and interindividual, intermodality, and interobserver variability were used to evaluate the reliability and reproducibility of the method. While the impact of MR measurement noise was only minor, the limited resolution of PC-MRI introduced systematic WSS underestimations. In vivo data demonstrated close agreement for flow and WSS between 2D- and 3D-CINE-PC as well as observers, and confirmed the reliability of the method. WSS analysis along the aorta revealed the presence of a circumferential WSS component accounting for 10-20%. Initial results in a patient with atherosclerosis suggest the potential of the method for understanding the formation and progression of cardiovascular diseases.","author":[{"dropping-particle":"","family":"Stalder","given":"Aurélien F","non-dropping-particle":"","parse-names":false,"suffix":""},{"dropping-particle":"","family":"Russe","given":"M. F.","non-dropping-particle":"","parse-names":false,"suffix":""},{"dropping-particle":"","family":"Frydrychowicz","given":"A.","non-dropping-particle":"","parse-names":false,"suffix":""},{"dropping-particle":"","family":"Bock","given":"J.","non-dropping-particle":"","parse-names":false,"suffix":""},{"dropping-particle":"","family":"Hennig","given":"J.","non-dropping-particle":"","parse-names":false,"suffix":""},{"dropping-particle":"","family":"Markl","given":"M.","non-dropping-particle":"","parse-names":false,"suffix":""}],"container-title":"Magnetic Resonance in Medicine","id":"ITEM-2","issue":"5","issued":{"date-parts":[["2008"]]},"page":"1218-1231","title":"Quantitative 2D and 3D phase contrast MRI: Optimized analysis of blood flow and vessel wall parameters","type":"article-journal","volume":"60"},"uris":["http://www.mendeley.com/documents/?uuid=c7e33094-1643-4add-a027-51493ca5bae3"]}],"mendeley":{"formattedCitation":"(1,2)","plainTextFormattedCitation":"(1,2)","previouslyFormattedCitation":"(1,2)"},"properties":{"noteIndex":0},"schema":"https://github.com/citation-style-language/schema/raw/master/csl-citation.json"}</w:instrText>
      </w:r>
      <w:r w:rsidRPr="000220A2">
        <w:rPr>
          <w:rFonts w:cstheme="minorHAnsi"/>
          <w:lang w:val="en-US"/>
        </w:rPr>
        <w:fldChar w:fldCharType="separate"/>
      </w:r>
      <w:r w:rsidRPr="000220A2">
        <w:rPr>
          <w:rFonts w:cstheme="minorHAnsi"/>
          <w:noProof/>
          <w:lang w:val="en-US"/>
        </w:rPr>
        <w:t>(1,2)</w:t>
      </w:r>
      <w:r w:rsidRPr="000220A2">
        <w:rPr>
          <w:rFonts w:cstheme="minorHAnsi"/>
          <w:lang w:val="en-US"/>
        </w:rPr>
        <w:fldChar w:fldCharType="end"/>
      </w:r>
      <w:r w:rsidRPr="000220A2">
        <w:rPr>
          <w:rFonts w:cstheme="minorHAnsi"/>
          <w:lang w:val="en-US"/>
        </w:rPr>
        <w:t>. Contour-averaged magnitude WSS were calculated for each plane and averaged over the 8 planes of analysis.</w:t>
      </w:r>
    </w:p>
    <w:p w14:paraId="2BB2F7F1" w14:textId="77777777" w:rsidR="00301D9C" w:rsidRPr="000220A2" w:rsidRDefault="00301D9C" w:rsidP="003E461A">
      <w:pPr>
        <w:spacing w:line="480" w:lineRule="auto"/>
        <w:ind w:firstLine="708"/>
        <w:jc w:val="both"/>
        <w:rPr>
          <w:rFonts w:cstheme="minorHAnsi"/>
          <w:b/>
          <w:i/>
          <w:lang w:val="en-US"/>
        </w:rPr>
      </w:pPr>
      <w:r w:rsidRPr="000220A2">
        <w:rPr>
          <w:rFonts w:cstheme="minorHAnsi"/>
          <w:b/>
          <w:i/>
          <w:lang w:val="en-US"/>
        </w:rPr>
        <w:lastRenderedPageBreak/>
        <w:t>In-plane rotational flow</w:t>
      </w:r>
    </w:p>
    <w:p w14:paraId="0BDEB384" w14:textId="51FDB942" w:rsidR="00301D9C" w:rsidRPr="000220A2" w:rsidRDefault="009732C0" w:rsidP="003E461A">
      <w:pPr>
        <w:spacing w:line="480" w:lineRule="auto"/>
        <w:jc w:val="both"/>
        <w:rPr>
          <w:rFonts w:cstheme="minorHAnsi"/>
          <w:lang w:val="en-US"/>
        </w:rPr>
      </w:pPr>
      <w:r w:rsidRPr="000220A2">
        <w:rPr>
          <w:rFonts w:cstheme="minorHAnsi"/>
          <w:lang w:val="en-US"/>
        </w:rPr>
        <w:t xml:space="preserve">In-plane rotational flow was quantified as the through-plane component of circulation </w:t>
      </w:r>
      <m:oMath>
        <m:d>
          <m:dPr>
            <m:ctrlPr>
              <w:rPr>
                <w:rFonts w:ascii="Cambria Math" w:hAnsi="Cambria Math" w:cstheme="minorHAnsi"/>
                <w:i/>
                <w:lang w:val="en-US"/>
              </w:rPr>
            </m:ctrlPr>
          </m:dPr>
          <m:e>
            <m:r>
              <w:rPr>
                <w:rFonts w:ascii="Cambria Math" w:hAnsi="Cambria Math" w:cstheme="minorHAnsi"/>
                <w:lang w:val="en-US"/>
              </w:rPr>
              <m:t>⎾</m:t>
            </m:r>
          </m:e>
        </m:d>
      </m:oMath>
      <w:r w:rsidRPr="000220A2">
        <w:rPr>
          <w:rFonts w:cstheme="minorHAnsi"/>
          <w:lang w:val="en-US"/>
        </w:rPr>
        <w:t xml:space="preserve">. To this aim, vorticity </w:t>
      </w:r>
      <m:oMath>
        <m:r>
          <w:rPr>
            <w:rFonts w:ascii="Cambria Math" w:hAnsi="Cambria Math" w:cstheme="minorHAnsi"/>
            <w:lang w:val="en-US"/>
          </w:rPr>
          <m:t>(ω)</m:t>
        </m:r>
      </m:oMath>
      <w:r w:rsidRPr="000220A2">
        <w:rPr>
          <w:rFonts w:eastAsiaTheme="minorEastAsia" w:cstheme="minorHAnsi"/>
          <w:lang w:val="en-US"/>
        </w:rPr>
        <w:t xml:space="preserve"> </w:t>
      </w:r>
      <w:r w:rsidRPr="000220A2">
        <w:rPr>
          <w:rFonts w:cstheme="minorHAnsi"/>
          <w:lang w:val="en-US"/>
        </w:rPr>
        <w:t xml:space="preserve">was computed in each double-oblique analysis plane and circulation </w:t>
      </w:r>
      <m:oMath>
        <m:d>
          <m:dPr>
            <m:ctrlPr>
              <w:rPr>
                <w:rFonts w:ascii="Cambria Math" w:hAnsi="Cambria Math" w:cstheme="minorHAnsi"/>
                <w:i/>
                <w:lang w:val="en-US"/>
              </w:rPr>
            </m:ctrlPr>
          </m:dPr>
          <m:e>
            <m:r>
              <w:rPr>
                <w:rFonts w:ascii="Cambria Math" w:hAnsi="Cambria Math" w:cstheme="minorHAnsi"/>
                <w:lang w:val="en-US"/>
              </w:rPr>
              <m:t>⎾</m:t>
            </m:r>
          </m:e>
        </m:d>
      </m:oMath>
      <w:r w:rsidRPr="000220A2">
        <w:rPr>
          <w:rFonts w:eastAsiaTheme="minorEastAsia" w:cstheme="minorHAnsi"/>
          <w:lang w:val="en-US"/>
        </w:rPr>
        <w:t xml:space="preserve"> </w:t>
      </w:r>
      <w:r w:rsidRPr="000220A2">
        <w:rPr>
          <w:rFonts w:cstheme="minorHAnsi"/>
          <w:lang w:val="en-US"/>
        </w:rPr>
        <w:t>was obtained as the integral of vorticity with respect to cross-sectional area</w:t>
      </w:r>
      <w:r w:rsidR="00CE1BE1" w:rsidRPr="000220A2">
        <w:rPr>
          <w:rFonts w:cstheme="minorHAnsi"/>
          <w:lang w:val="en-US"/>
        </w:rPr>
        <w:t xml:space="preserve"> </w:t>
      </w:r>
      <m:oMath>
        <m:r>
          <w:rPr>
            <w:rFonts w:ascii="Cambria Math" w:hAnsi="Cambria Math" w:cstheme="minorHAnsi"/>
            <w:lang w:val="en-US"/>
          </w:rPr>
          <m:t>(S)</m:t>
        </m:r>
      </m:oMath>
      <w:r w:rsidRPr="000220A2">
        <w:rPr>
          <w:rFonts w:cstheme="minorHAnsi"/>
          <w:lang w:val="en-US"/>
        </w:rPr>
        <w:t>,</w:t>
      </w:r>
      <m:oMath>
        <m:r>
          <w:rPr>
            <w:rFonts w:ascii="Cambria Math" w:hAnsi="Cambria Math" w:cstheme="minorHAnsi"/>
            <w:lang w:val="en-US"/>
          </w:rPr>
          <m:t>⎾=</m:t>
        </m:r>
        <m:nary>
          <m:naryPr>
            <m:chr m:val="∬"/>
            <m:limLoc m:val="undOvr"/>
            <m:subHide m:val="1"/>
            <m:supHide m:val="1"/>
            <m:ctrlPr>
              <w:rPr>
                <w:rFonts w:ascii="Cambria Math" w:hAnsi="Cambria Math" w:cstheme="minorHAnsi"/>
                <w:i/>
                <w:lang w:val="en-US"/>
              </w:rPr>
            </m:ctrlPr>
          </m:naryPr>
          <m:sub/>
          <m:sup/>
          <m:e>
            <m:r>
              <w:rPr>
                <w:rFonts w:ascii="Cambria Math" w:hAnsi="Cambria Math" w:cstheme="minorHAnsi"/>
                <w:lang w:val="en-US"/>
              </w:rPr>
              <m:t>ω dS</m:t>
            </m:r>
          </m:e>
        </m:nary>
      </m:oMath>
      <w:r w:rsidR="0059080B" w:rsidRPr="000220A2">
        <w:rPr>
          <w:rFonts w:eastAsiaTheme="minorEastAsia" w:cstheme="minorHAnsi"/>
          <w:lang w:val="en-US"/>
        </w:rPr>
        <w:t xml:space="preserve">. </w:t>
      </w:r>
    </w:p>
    <w:p w14:paraId="7999960F" w14:textId="4E423673" w:rsidR="00301D9C" w:rsidRPr="000220A2" w:rsidRDefault="00486856" w:rsidP="003E461A">
      <w:pPr>
        <w:spacing w:line="480" w:lineRule="auto"/>
        <w:ind w:firstLine="708"/>
        <w:jc w:val="both"/>
        <w:rPr>
          <w:rFonts w:cstheme="minorHAnsi"/>
          <w:b/>
          <w:i/>
          <w:lang w:val="en-US"/>
        </w:rPr>
      </w:pPr>
      <w:r w:rsidRPr="000220A2">
        <w:rPr>
          <w:rFonts w:cstheme="minorHAnsi"/>
          <w:b/>
          <w:i/>
          <w:lang w:val="en-US"/>
        </w:rPr>
        <w:t>Maximum systolic k</w:t>
      </w:r>
      <w:r w:rsidR="00301D9C" w:rsidRPr="000220A2">
        <w:rPr>
          <w:rFonts w:cstheme="minorHAnsi"/>
          <w:b/>
          <w:i/>
          <w:lang w:val="en-US"/>
        </w:rPr>
        <w:t>inetic energy</w:t>
      </w:r>
    </w:p>
    <w:p w14:paraId="141EA5C1" w14:textId="39DEBDF2" w:rsidR="00301D9C" w:rsidRPr="000220A2" w:rsidRDefault="00301D9C" w:rsidP="003E461A">
      <w:pPr>
        <w:spacing w:line="480" w:lineRule="auto"/>
        <w:jc w:val="both"/>
        <w:rPr>
          <w:rFonts w:cstheme="minorHAnsi"/>
          <w:lang w:val="en-US"/>
        </w:rPr>
      </w:pPr>
      <w:r w:rsidRPr="000220A2">
        <w:rPr>
          <w:rFonts w:cstheme="minorHAnsi"/>
          <w:lang w:val="en-US"/>
        </w:rPr>
        <w:t xml:space="preserve">The kinetic energy </w:t>
      </w:r>
      <w:r w:rsidR="00042CD3" w:rsidRPr="000220A2">
        <w:rPr>
          <w:rFonts w:cstheme="minorHAnsi"/>
          <w:lang w:val="en-US"/>
        </w:rPr>
        <w:t xml:space="preserve">(KE) </w:t>
      </w:r>
      <w:r w:rsidRPr="000220A2">
        <w:rPr>
          <w:rFonts w:cstheme="minorHAnsi"/>
          <w:lang w:val="en-US"/>
        </w:rPr>
        <w:t>was quantified in each time phase as:</w:t>
      </w:r>
    </w:p>
    <w:p w14:paraId="76C98A97" w14:textId="77777777" w:rsidR="00301D9C" w:rsidRPr="000220A2" w:rsidRDefault="00301D9C" w:rsidP="003E461A">
      <w:pPr>
        <w:spacing w:line="480" w:lineRule="auto"/>
        <w:ind w:firstLine="708"/>
        <w:jc w:val="both"/>
        <w:rPr>
          <w:rFonts w:cstheme="minorHAnsi"/>
          <w:lang w:val="en-US"/>
        </w:rPr>
      </w:pPr>
      <m:oMathPara>
        <m:oMath>
          <m:r>
            <w:rPr>
              <w:rFonts w:ascii="Cambria Math" w:hAnsi="Cambria Math" w:cstheme="minorHAnsi"/>
              <w:lang w:val="en-US"/>
            </w:rPr>
            <m:t xml:space="preserve">Kinetic energy </m:t>
          </m:r>
          <m:d>
            <m:dPr>
              <m:ctrlPr>
                <w:rPr>
                  <w:rFonts w:ascii="Cambria Math" w:hAnsi="Cambria Math" w:cstheme="minorHAnsi"/>
                  <w:i/>
                  <w:lang w:val="en-US"/>
                </w:rPr>
              </m:ctrlPr>
            </m:dPr>
            <m:e>
              <m:r>
                <w:rPr>
                  <w:rFonts w:ascii="Cambria Math" w:hAnsi="Cambria Math" w:cstheme="minorHAnsi"/>
                  <w:lang w:val="en-US"/>
                </w:rPr>
                <m:t>t</m:t>
              </m:r>
            </m:e>
          </m:d>
          <m:r>
            <w:rPr>
              <w:rFonts w:ascii="Cambria Math" w:hAnsi="Cambria Math" w:cstheme="minorHAnsi"/>
              <w:lang w:val="en-US"/>
            </w:rPr>
            <m:t xml:space="preserve">= </m:t>
          </m:r>
          <m:nary>
            <m:naryPr>
              <m:chr m:val="∑"/>
              <m:limLoc m:val="undOvr"/>
              <m:ctrlPr>
                <w:rPr>
                  <w:rFonts w:ascii="Cambria Math" w:hAnsi="Cambria Math" w:cstheme="minorHAnsi"/>
                  <w:i/>
                  <w:lang w:val="en-US"/>
                </w:rPr>
              </m:ctrlPr>
            </m:naryPr>
            <m:sub>
              <m:r>
                <w:rPr>
                  <w:rFonts w:ascii="Cambria Math" w:hAnsi="Cambria Math" w:cstheme="minorHAnsi"/>
                  <w:lang w:val="en-US"/>
                </w:rPr>
                <m:t>i=1</m:t>
              </m:r>
            </m:sub>
            <m:sup>
              <m:r>
                <w:rPr>
                  <w:rFonts w:ascii="Cambria Math" w:hAnsi="Cambria Math" w:cstheme="minorHAnsi"/>
                  <w:lang w:val="en-US"/>
                </w:rPr>
                <m:t>n</m:t>
              </m:r>
            </m:sup>
            <m:e>
              <m:f>
                <m:fPr>
                  <m:ctrlPr>
                    <w:rPr>
                      <w:rFonts w:ascii="Cambria Math" w:hAnsi="Cambria Math" w:cstheme="minorHAnsi"/>
                      <w:i/>
                      <w:lang w:val="en-US"/>
                    </w:rPr>
                  </m:ctrlPr>
                </m:fPr>
                <m:num>
                  <m:r>
                    <w:rPr>
                      <w:rFonts w:ascii="Cambria Math" w:hAnsi="Cambria Math" w:cstheme="minorHAnsi"/>
                      <w:lang w:val="en-US"/>
                    </w:rPr>
                    <m:t>1</m:t>
                  </m:r>
                </m:num>
                <m:den>
                  <m:r>
                    <w:rPr>
                      <w:rFonts w:ascii="Cambria Math" w:hAnsi="Cambria Math" w:cstheme="minorHAnsi"/>
                      <w:lang w:val="en-US"/>
                    </w:rPr>
                    <m:t>2</m:t>
                  </m:r>
                </m:den>
              </m:f>
              <m:r>
                <w:rPr>
                  <w:rFonts w:ascii="Cambria Math" w:hAnsi="Cambria Math" w:cstheme="minorHAnsi"/>
                  <w:lang w:val="en-US"/>
                </w:rPr>
                <m:t>· ρ·V·</m:t>
              </m:r>
              <m:sSup>
                <m:sSupPr>
                  <m:ctrlPr>
                    <w:rPr>
                      <w:rFonts w:ascii="Cambria Math" w:hAnsi="Cambria Math" w:cstheme="minorHAnsi"/>
                      <w:i/>
                      <w:lang w:val="en-US"/>
                    </w:rPr>
                  </m:ctrlPr>
                </m:sSupPr>
                <m:e>
                  <m:d>
                    <m:dPr>
                      <m:begChr m:val="|"/>
                      <m:endChr m:val="|"/>
                      <m:ctrlPr>
                        <w:rPr>
                          <w:rFonts w:ascii="Cambria Math" w:hAnsi="Cambria Math" w:cstheme="minorHAnsi"/>
                          <w:i/>
                          <w:lang w:val="en-US"/>
                        </w:rPr>
                      </m:ctrlPr>
                    </m:dPr>
                    <m:e>
                      <m:acc>
                        <m:accPr>
                          <m:chr m:val="⃗"/>
                          <m:ctrlPr>
                            <w:rPr>
                              <w:rFonts w:ascii="Cambria Math" w:hAnsi="Cambria Math" w:cstheme="minorHAnsi"/>
                              <w:i/>
                              <w:lang w:val="en-US"/>
                            </w:rPr>
                          </m:ctrlPr>
                        </m:accPr>
                        <m:e>
                          <m:sSub>
                            <m:sSubPr>
                              <m:ctrlPr>
                                <w:rPr>
                                  <w:rFonts w:ascii="Cambria Math" w:hAnsi="Cambria Math" w:cstheme="minorHAnsi"/>
                                  <w:i/>
                                  <w:lang w:val="en-US"/>
                                </w:rPr>
                              </m:ctrlPr>
                            </m:sSubPr>
                            <m:e>
                              <m:r>
                                <w:rPr>
                                  <w:rFonts w:ascii="Cambria Math" w:hAnsi="Cambria Math" w:cstheme="minorHAnsi"/>
                                  <w:lang w:val="en-US"/>
                                </w:rPr>
                                <m:t>v</m:t>
                              </m:r>
                            </m:e>
                            <m:sub>
                              <m:r>
                                <w:rPr>
                                  <w:rFonts w:ascii="Cambria Math" w:hAnsi="Cambria Math" w:cstheme="minorHAnsi"/>
                                  <w:lang w:val="en-US"/>
                                </w:rPr>
                                <m:t>i</m:t>
                              </m:r>
                            </m:sub>
                          </m:sSub>
                        </m:e>
                      </m:acc>
                      <m:r>
                        <w:rPr>
                          <w:rFonts w:ascii="Cambria Math" w:hAnsi="Cambria Math" w:cstheme="minorHAnsi"/>
                          <w:lang w:val="en-US"/>
                        </w:rPr>
                        <m:t>(t)</m:t>
                      </m:r>
                    </m:e>
                  </m:d>
                </m:e>
                <m:sup>
                  <m:r>
                    <w:rPr>
                      <w:rFonts w:ascii="Cambria Math" w:hAnsi="Cambria Math" w:cstheme="minorHAnsi"/>
                      <w:lang w:val="en-US"/>
                    </w:rPr>
                    <m:t>2</m:t>
                  </m:r>
                </m:sup>
              </m:sSup>
            </m:e>
          </m:nary>
        </m:oMath>
      </m:oMathPara>
    </w:p>
    <w:p w14:paraId="2F17623D" w14:textId="6A854F1A" w:rsidR="008E71D5" w:rsidRPr="000220A2" w:rsidRDefault="00301D9C" w:rsidP="00132F3A">
      <w:pPr>
        <w:spacing w:line="480" w:lineRule="auto"/>
        <w:jc w:val="both"/>
        <w:rPr>
          <w:rFonts w:cstheme="minorHAnsi"/>
          <w:lang w:val="en-US"/>
        </w:rPr>
      </w:pPr>
      <w:r w:rsidRPr="000220A2">
        <w:rPr>
          <w:rFonts w:cstheme="minorHAnsi"/>
          <w:lang w:val="en-US"/>
        </w:rPr>
        <w:t xml:space="preserve">where </w:t>
      </w:r>
      <m:oMath>
        <m:r>
          <w:rPr>
            <w:rFonts w:ascii="Cambria Math" w:hAnsi="Cambria Math" w:cstheme="minorHAnsi"/>
            <w:lang w:val="en-US"/>
          </w:rPr>
          <m:t>ρ</m:t>
        </m:r>
      </m:oMath>
      <w:r w:rsidRPr="000220A2">
        <w:rPr>
          <w:rFonts w:cstheme="minorHAnsi"/>
          <w:lang w:val="en-US"/>
        </w:rPr>
        <w:t xml:space="preserve"> is the blood density assumed as 1.06 g/cm</w:t>
      </w:r>
      <w:r w:rsidRPr="000220A2">
        <w:rPr>
          <w:rFonts w:cstheme="minorHAnsi"/>
          <w:vertAlign w:val="superscript"/>
          <w:lang w:val="en-US"/>
        </w:rPr>
        <w:t>3</w:t>
      </w:r>
      <w:r w:rsidRPr="000220A2">
        <w:rPr>
          <w:rFonts w:cstheme="minorHAnsi"/>
          <w:lang w:val="en-US"/>
        </w:rPr>
        <w:t xml:space="preserve">, </w:t>
      </w:r>
      <m:oMath>
        <m:r>
          <w:rPr>
            <w:rFonts w:ascii="Cambria Math" w:hAnsi="Cambria Math" w:cstheme="minorHAnsi"/>
            <w:lang w:val="en-US"/>
          </w:rPr>
          <m:t>V</m:t>
        </m:r>
      </m:oMath>
      <w:r w:rsidRPr="000220A2">
        <w:rPr>
          <w:rFonts w:cstheme="minorHAnsi"/>
          <w:lang w:val="en-US"/>
        </w:rPr>
        <w:t xml:space="preserve"> is the voxel volume, n is the number of voxels in the volume and </w:t>
      </w:r>
      <m:oMath>
        <m:d>
          <m:dPr>
            <m:begChr m:val="|"/>
            <m:endChr m:val="|"/>
            <m:ctrlPr>
              <w:rPr>
                <w:rFonts w:ascii="Cambria Math" w:hAnsi="Cambria Math" w:cstheme="minorHAnsi"/>
                <w:i/>
                <w:lang w:val="en-US"/>
              </w:rPr>
            </m:ctrlPr>
          </m:dPr>
          <m:e>
            <m:acc>
              <m:accPr>
                <m:chr m:val="⃗"/>
                <m:ctrlPr>
                  <w:rPr>
                    <w:rFonts w:ascii="Cambria Math" w:hAnsi="Cambria Math" w:cstheme="minorHAnsi"/>
                    <w:i/>
                    <w:lang w:val="en-US"/>
                  </w:rPr>
                </m:ctrlPr>
              </m:accPr>
              <m:e>
                <m:sSub>
                  <m:sSubPr>
                    <m:ctrlPr>
                      <w:rPr>
                        <w:rFonts w:ascii="Cambria Math" w:hAnsi="Cambria Math" w:cstheme="minorHAnsi"/>
                        <w:i/>
                        <w:lang w:val="en-US"/>
                      </w:rPr>
                    </m:ctrlPr>
                  </m:sSubPr>
                  <m:e>
                    <m:r>
                      <w:rPr>
                        <w:rFonts w:ascii="Cambria Math" w:hAnsi="Cambria Math" w:cstheme="minorHAnsi"/>
                        <w:lang w:val="en-US"/>
                      </w:rPr>
                      <m:t>v</m:t>
                    </m:r>
                  </m:e>
                  <m:sub>
                    <m:r>
                      <w:rPr>
                        <w:rFonts w:ascii="Cambria Math" w:hAnsi="Cambria Math" w:cstheme="minorHAnsi"/>
                        <w:lang w:val="en-US"/>
                      </w:rPr>
                      <m:t>i</m:t>
                    </m:r>
                  </m:sub>
                </m:sSub>
              </m:e>
            </m:acc>
            <m:r>
              <w:rPr>
                <w:rFonts w:ascii="Cambria Math" w:hAnsi="Cambria Math" w:cstheme="minorHAnsi"/>
                <w:lang w:val="en-US"/>
              </w:rPr>
              <m:t>(t)</m:t>
            </m:r>
          </m:e>
        </m:d>
      </m:oMath>
      <w:r w:rsidRPr="000220A2">
        <w:rPr>
          <w:rFonts w:cstheme="minorHAnsi"/>
          <w:lang w:val="en-US"/>
        </w:rPr>
        <w:t xml:space="preserve"> is the magnitude velocity in a voxel </w:t>
      </w:r>
      <m:oMath>
        <m:r>
          <w:rPr>
            <w:rFonts w:ascii="Cambria Math" w:hAnsi="Cambria Math" w:cstheme="minorHAnsi"/>
            <w:lang w:val="en-US"/>
          </w:rPr>
          <m:t>(i)</m:t>
        </m:r>
      </m:oMath>
      <w:r w:rsidRPr="000220A2">
        <w:rPr>
          <w:rFonts w:cstheme="minorHAnsi"/>
          <w:lang w:val="en-US"/>
        </w:rPr>
        <w:t xml:space="preserve"> at a time </w:t>
      </w:r>
      <m:oMath>
        <m:r>
          <w:rPr>
            <w:rFonts w:ascii="Cambria Math" w:hAnsi="Cambria Math" w:cstheme="minorHAnsi"/>
            <w:lang w:val="en-US"/>
          </w:rPr>
          <m:t>(t)</m:t>
        </m:r>
      </m:oMath>
      <w:r w:rsidRPr="000220A2">
        <w:rPr>
          <w:rFonts w:cstheme="minorHAnsi"/>
          <w:lang w:val="en-US"/>
        </w:rPr>
        <w:t>. The maximum value of KE</w:t>
      </w:r>
      <w:r w:rsidR="00CC04F6" w:rsidRPr="000220A2">
        <w:rPr>
          <w:rFonts w:cstheme="minorHAnsi"/>
          <w:lang w:val="en-US"/>
        </w:rPr>
        <w:t xml:space="preserve"> was considered in the analysis (Figure S1, B)</w:t>
      </w:r>
      <w:r w:rsidRPr="000220A2">
        <w:rPr>
          <w:rFonts w:cstheme="minorHAnsi"/>
          <w:lang w:val="en-US"/>
        </w:rPr>
        <w:t xml:space="preserve"> </w:t>
      </w:r>
    </w:p>
    <w:p w14:paraId="477E7754" w14:textId="77777777" w:rsidR="00301D9C" w:rsidRPr="000220A2" w:rsidRDefault="00301D9C" w:rsidP="003E461A">
      <w:pPr>
        <w:spacing w:line="480" w:lineRule="auto"/>
        <w:ind w:firstLine="708"/>
        <w:jc w:val="both"/>
        <w:rPr>
          <w:rFonts w:cstheme="minorHAnsi"/>
          <w:b/>
          <w:i/>
          <w:lang w:val="en-US"/>
        </w:rPr>
      </w:pPr>
      <w:r w:rsidRPr="000220A2">
        <w:rPr>
          <w:rFonts w:cstheme="minorHAnsi"/>
          <w:b/>
          <w:i/>
          <w:lang w:val="en-US"/>
        </w:rPr>
        <w:t>Maximum systolic deceleration rate</w:t>
      </w:r>
    </w:p>
    <w:p w14:paraId="7B2B4ED1" w14:textId="17388EFC" w:rsidR="00042CD3" w:rsidRPr="000220A2" w:rsidRDefault="00301D9C" w:rsidP="003E461A">
      <w:pPr>
        <w:spacing w:line="480" w:lineRule="auto"/>
        <w:jc w:val="both"/>
        <w:rPr>
          <w:rFonts w:cstheme="minorHAnsi"/>
          <w:lang w:val="en-US"/>
        </w:rPr>
      </w:pPr>
      <w:r w:rsidRPr="000220A2">
        <w:rPr>
          <w:rFonts w:cstheme="minorHAnsi"/>
          <w:lang w:val="en-US"/>
        </w:rPr>
        <w:t xml:space="preserve">Flow acceleration was calculated in each voxel </w:t>
      </w:r>
      <w:r w:rsidR="00F2005A" w:rsidRPr="000220A2">
        <w:rPr>
          <w:rFonts w:cstheme="minorHAnsi"/>
          <w:lang w:val="en-US"/>
        </w:rPr>
        <w:t>inside</w:t>
      </w:r>
      <w:r w:rsidRPr="000220A2">
        <w:rPr>
          <w:rFonts w:cstheme="minorHAnsi"/>
          <w:lang w:val="en-US"/>
        </w:rPr>
        <w:t xml:space="preserve"> the volume </w:t>
      </w:r>
      <w:r w:rsidR="00F2005A" w:rsidRPr="000220A2">
        <w:rPr>
          <w:rFonts w:cstheme="minorHAnsi"/>
          <w:lang w:val="en-US"/>
        </w:rPr>
        <w:t xml:space="preserve">of </w:t>
      </w:r>
      <w:r w:rsidR="0023705F" w:rsidRPr="000220A2">
        <w:rPr>
          <w:rFonts w:cstheme="minorHAnsi"/>
          <w:lang w:val="en-US"/>
        </w:rPr>
        <w:t xml:space="preserve">interest in </w:t>
      </w:r>
      <w:r w:rsidR="00F2005A" w:rsidRPr="000220A2">
        <w:rPr>
          <w:rFonts w:cstheme="minorHAnsi"/>
          <w:lang w:val="en-US"/>
        </w:rPr>
        <w:t xml:space="preserve">the false lumen </w:t>
      </w:r>
      <w:r w:rsidRPr="000220A2">
        <w:rPr>
          <w:rFonts w:cstheme="minorHAnsi"/>
          <w:lang w:val="en-US"/>
        </w:rPr>
        <w:t>over the cardiac cycle</w:t>
      </w:r>
      <w:r w:rsidR="00042CD3" w:rsidRPr="000220A2">
        <w:rPr>
          <w:rFonts w:cstheme="minorHAnsi"/>
          <w:lang w:val="en-US"/>
        </w:rPr>
        <w:t xml:space="preserve"> as follows:</w:t>
      </w:r>
    </w:p>
    <w:p w14:paraId="0D989674" w14:textId="78B01F8D" w:rsidR="00042CD3" w:rsidRPr="000220A2" w:rsidRDefault="006D73EC" w:rsidP="003E461A">
      <w:pPr>
        <w:spacing w:line="480" w:lineRule="auto"/>
        <w:jc w:val="both"/>
        <w:rPr>
          <w:rFonts w:cstheme="minorHAnsi"/>
          <w:lang w:val="en-US"/>
        </w:rPr>
      </w:pPr>
      <m:oMathPara>
        <m:oMath>
          <m:acc>
            <m:accPr>
              <m:chr m:val="⃗"/>
              <m:ctrlPr>
                <w:rPr>
                  <w:rFonts w:ascii="Cambria Math" w:hAnsi="Cambria Math" w:cstheme="minorHAnsi"/>
                  <w:i/>
                  <w:lang w:val="en-US"/>
                </w:rPr>
              </m:ctrlPr>
            </m:accPr>
            <m:e>
              <m:r>
                <w:rPr>
                  <w:rFonts w:ascii="Cambria Math" w:hAnsi="Cambria Math" w:cstheme="minorHAnsi"/>
                  <w:lang w:val="en-US"/>
                </w:rPr>
                <m:t>a</m:t>
              </m:r>
            </m:e>
          </m:acc>
          <m:r>
            <w:rPr>
              <w:rFonts w:ascii="Cambria Math" w:hAnsi="Cambria Math" w:cstheme="minorHAnsi"/>
              <w:lang w:val="en-US"/>
            </w:rPr>
            <m:t xml:space="preserve">= </m:t>
          </m:r>
          <m:bar>
            <m:barPr>
              <m:pos m:val="top"/>
              <m:ctrlPr>
                <w:rPr>
                  <w:rFonts w:ascii="Cambria Math" w:hAnsi="Cambria Math" w:cstheme="minorHAnsi"/>
                  <w:i/>
                  <w:lang w:val="en-US"/>
                </w:rPr>
              </m:ctrlPr>
            </m:barPr>
            <m:e>
              <m:f>
                <m:fPr>
                  <m:ctrlPr>
                    <w:rPr>
                      <w:rFonts w:ascii="Cambria Math" w:hAnsi="Cambria Math" w:cstheme="minorHAnsi"/>
                      <w:i/>
                      <w:lang w:val="en-US"/>
                    </w:rPr>
                  </m:ctrlPr>
                </m:fPr>
                <m:num>
                  <m:sSub>
                    <m:sSubPr>
                      <m:ctrlPr>
                        <w:rPr>
                          <w:rFonts w:ascii="Cambria Math" w:hAnsi="Cambria Math" w:cstheme="minorHAnsi"/>
                          <w:i/>
                          <w:lang w:val="en-US"/>
                        </w:rPr>
                      </m:ctrlPr>
                    </m:sSubPr>
                    <m:e>
                      <m:r>
                        <w:rPr>
                          <w:rFonts w:ascii="Cambria Math" w:hAnsi="Cambria Math" w:cstheme="minorHAnsi"/>
                          <w:lang w:val="en-US"/>
                        </w:rPr>
                        <m:t>v</m:t>
                      </m:r>
                    </m:e>
                    <m:sub>
                      <m:r>
                        <w:rPr>
                          <w:rFonts w:ascii="Cambria Math" w:hAnsi="Cambria Math" w:cstheme="minorHAnsi"/>
                          <w:lang w:val="en-US"/>
                        </w:rPr>
                        <m:t>i</m:t>
                      </m:r>
                    </m:sub>
                  </m:sSub>
                  <m:r>
                    <w:rPr>
                      <w:rFonts w:ascii="Cambria Math" w:hAnsi="Cambria Math" w:cstheme="minorHAnsi"/>
                      <w:lang w:val="en-US"/>
                    </w:rPr>
                    <m:t xml:space="preserve">(t+1)- </m:t>
                  </m:r>
                  <m:sSub>
                    <m:sSubPr>
                      <m:ctrlPr>
                        <w:rPr>
                          <w:rFonts w:ascii="Cambria Math" w:hAnsi="Cambria Math" w:cstheme="minorHAnsi"/>
                          <w:i/>
                          <w:lang w:val="en-US"/>
                        </w:rPr>
                      </m:ctrlPr>
                    </m:sSubPr>
                    <m:e>
                      <m:r>
                        <w:rPr>
                          <w:rFonts w:ascii="Cambria Math" w:hAnsi="Cambria Math" w:cstheme="minorHAnsi"/>
                          <w:lang w:val="en-US"/>
                        </w:rPr>
                        <m:t>v</m:t>
                      </m:r>
                    </m:e>
                    <m:sub>
                      <m:r>
                        <w:rPr>
                          <w:rFonts w:ascii="Cambria Math" w:hAnsi="Cambria Math" w:cstheme="minorHAnsi"/>
                          <w:lang w:val="en-US"/>
                        </w:rPr>
                        <m:t>i</m:t>
                      </m:r>
                    </m:sub>
                  </m:sSub>
                  <m:r>
                    <w:rPr>
                      <w:rFonts w:ascii="Cambria Math" w:hAnsi="Cambria Math" w:cstheme="minorHAnsi"/>
                      <w:lang w:val="en-US"/>
                    </w:rPr>
                    <m:t>(t)</m:t>
                  </m:r>
                </m:num>
                <m:den>
                  <m:r>
                    <w:rPr>
                      <w:rFonts w:ascii="Cambria Math" w:hAnsi="Cambria Math" w:cstheme="minorHAnsi"/>
                      <w:lang w:val="en-US"/>
                    </w:rPr>
                    <m:t>∆t</m:t>
                  </m:r>
                </m:den>
              </m:f>
            </m:e>
          </m:bar>
        </m:oMath>
      </m:oMathPara>
    </w:p>
    <w:p w14:paraId="768481F1" w14:textId="251FEC4D" w:rsidR="00042CD3" w:rsidRPr="000220A2" w:rsidRDefault="00042CD3" w:rsidP="003E461A">
      <w:pPr>
        <w:spacing w:line="480" w:lineRule="auto"/>
        <w:jc w:val="both"/>
        <w:rPr>
          <w:rFonts w:cstheme="minorHAnsi"/>
          <w:lang w:val="en-US"/>
        </w:rPr>
      </w:pPr>
      <w:r w:rsidRPr="000220A2">
        <w:rPr>
          <w:rFonts w:cstheme="minorHAnsi"/>
          <w:lang w:val="en-US"/>
        </w:rPr>
        <w:t xml:space="preserve">where </w:t>
      </w:r>
      <m:oMath>
        <m:r>
          <w:rPr>
            <w:rFonts w:ascii="Cambria Math" w:hAnsi="Cambria Math" w:cstheme="minorHAnsi"/>
            <w:lang w:val="en-US"/>
          </w:rPr>
          <m:t>v</m:t>
        </m:r>
      </m:oMath>
      <w:r w:rsidR="00D64CA0" w:rsidRPr="000220A2">
        <w:rPr>
          <w:rFonts w:eastAsiaTheme="minorEastAsia" w:cstheme="minorHAnsi"/>
          <w:lang w:val="en-US"/>
        </w:rPr>
        <w:t xml:space="preserve"> is the through-plane plane velocity </w:t>
      </w:r>
      <w:r w:rsidR="00CC04F6" w:rsidRPr="000220A2">
        <w:rPr>
          <w:rFonts w:eastAsiaTheme="minorEastAsia" w:cstheme="minorHAnsi"/>
          <w:lang w:val="en-US"/>
        </w:rPr>
        <w:t xml:space="preserve">(Figure S1, C) </w:t>
      </w:r>
      <w:r w:rsidR="00D64CA0" w:rsidRPr="000220A2">
        <w:rPr>
          <w:rFonts w:eastAsiaTheme="minorEastAsia" w:cstheme="minorHAnsi"/>
          <w:lang w:val="en-US"/>
        </w:rPr>
        <w:t xml:space="preserve">and </w:t>
      </w:r>
      <w:r w:rsidR="00D64CA0" w:rsidRPr="000220A2">
        <w:rPr>
          <w:rFonts w:eastAsiaTheme="minorEastAsia" w:cstheme="minorHAnsi"/>
          <w:i/>
          <w:lang w:val="en-US"/>
        </w:rPr>
        <w:t>t</w:t>
      </w:r>
      <w:r w:rsidR="00D64CA0" w:rsidRPr="000220A2">
        <w:rPr>
          <w:rFonts w:eastAsiaTheme="minorEastAsia" w:cstheme="minorHAnsi"/>
          <w:lang w:val="en-US"/>
        </w:rPr>
        <w:t xml:space="preserve"> the time.</w:t>
      </w:r>
    </w:p>
    <w:p w14:paraId="47D939DF" w14:textId="43A829C0" w:rsidR="00D64CA0" w:rsidRPr="000220A2" w:rsidRDefault="00042CD3" w:rsidP="00D64CA0">
      <w:pPr>
        <w:spacing w:line="480" w:lineRule="auto"/>
        <w:jc w:val="both"/>
        <w:rPr>
          <w:rFonts w:cstheme="minorHAnsi"/>
          <w:lang w:val="en-US"/>
        </w:rPr>
      </w:pPr>
      <w:r w:rsidRPr="000220A2">
        <w:rPr>
          <w:rFonts w:cstheme="minorHAnsi"/>
          <w:lang w:val="en-US"/>
        </w:rPr>
        <w:t>T</w:t>
      </w:r>
      <w:r w:rsidR="00301D9C" w:rsidRPr="000220A2">
        <w:rPr>
          <w:rFonts w:cstheme="minorHAnsi"/>
          <w:lang w:val="en-US"/>
        </w:rPr>
        <w:t xml:space="preserve">he acceleration-time curve was obtained by averaging acceleration values in all the voxels for each time phase. </w:t>
      </w:r>
      <w:r w:rsidR="00D64CA0" w:rsidRPr="000220A2">
        <w:rPr>
          <w:rFonts w:cstheme="minorHAnsi"/>
          <w:lang w:val="en-US"/>
        </w:rPr>
        <w:t>Then, MSDR was computed as the maximum minus the minimum systolic acceleration divided by the time interval between these two acceleration peaks (Figure S</w:t>
      </w:r>
      <w:r w:rsidR="00CC04F6" w:rsidRPr="000220A2">
        <w:rPr>
          <w:rFonts w:cstheme="minorHAnsi"/>
          <w:lang w:val="en-US"/>
        </w:rPr>
        <w:t>1, D</w:t>
      </w:r>
      <w:r w:rsidR="00D64CA0" w:rsidRPr="000220A2">
        <w:rPr>
          <w:rFonts w:cstheme="minorHAnsi"/>
          <w:lang w:val="en-US"/>
        </w:rPr>
        <w:t>)</w:t>
      </w:r>
      <w:r w:rsidR="00D64CA0" w:rsidRPr="000220A2">
        <w:rPr>
          <w:rFonts w:cstheme="minorHAnsi"/>
          <w:lang w:val="en-US"/>
        </w:rPr>
        <w:fldChar w:fldCharType="begin" w:fldLock="1"/>
      </w:r>
      <w:r w:rsidR="00E971A1" w:rsidRPr="000220A2">
        <w:rPr>
          <w:rFonts w:cstheme="minorHAnsi"/>
          <w:lang w:val="en-US"/>
        </w:rPr>
        <w:instrText>ADDIN CSL_CITATION {"citationItems":[{"id":"ITEM-1","itemData":{"DOI":"https://doi.org/10.1093/ehjci/jez319.1018","author":[{"dropping-particle":"","family":"Ruiz-Munoz","given":"A","non-dropping-particle":"","parse-names":false,"suffix":""},{"dropping-particle":"","family":"Guala","given":"Andrea","non-dropping-particle":"","parse-names":false,"suffix":""},{"dropping-particle":"","family":"Teixido-Tura","given":"G","non-dropping-particle":"","parse-names":false,"suffix":""},{"dropping-particle":"","family":"Dux-Santoy","given":"L","non-dropping-particle":"","parse-names":false,"suffix":""},{"dropping-particle":"","family":"Sao-Aviles","given":"A","non-dropping-particle":"","parse-names":false,"suffix":""},{"dropping-particle":"","family":"A","given":"Lopez-Sainz","non-dropping-particle":"","parse-names":false,"suffix":""}],"container-title":"European Heart Journal - Cardiovascular Imaging","id":"ITEM-1","issue":"Supplement_1","issued":{"date-parts":[["2020"]]},"page":"jez319.1018","publisher":"Eur Heart J Cardiovasc Imaging","title":"Aortic dilatation in patients with chronic descending aorta dissection is related to maximum false-lumen systolic flow deceleration rate as evaluated by 4D-flow MRI","type":"article-journal","volume":"21"},"uris":["http://www.mendeley.com/documents/?uuid=918998d3-10f6-4e96-9a6b-77149e34d2c2"]}],"mendeley":{"formattedCitation":"(3)","plainTextFormattedCitation":"(3)","previouslyFormattedCitation":"(3)"},"properties":{"noteIndex":0},"schema":"https://github.com/citation-style-language/schema/raw/master/csl-citation.json"}</w:instrText>
      </w:r>
      <w:r w:rsidR="00D64CA0" w:rsidRPr="000220A2">
        <w:rPr>
          <w:rFonts w:cstheme="minorHAnsi"/>
          <w:lang w:val="en-US"/>
        </w:rPr>
        <w:fldChar w:fldCharType="separate"/>
      </w:r>
      <w:r w:rsidR="00E971A1" w:rsidRPr="000220A2">
        <w:rPr>
          <w:rFonts w:cstheme="minorHAnsi"/>
          <w:noProof/>
          <w:lang w:val="en-US"/>
        </w:rPr>
        <w:t>(3)</w:t>
      </w:r>
      <w:r w:rsidR="00D64CA0" w:rsidRPr="000220A2">
        <w:rPr>
          <w:rFonts w:cstheme="minorHAnsi"/>
          <w:lang w:val="en-US"/>
        </w:rPr>
        <w:fldChar w:fldCharType="end"/>
      </w:r>
      <w:r w:rsidR="00D64CA0" w:rsidRPr="000220A2">
        <w:rPr>
          <w:rFonts w:cstheme="minorHAnsi"/>
          <w:lang w:val="en-US"/>
        </w:rPr>
        <w:t>.</w:t>
      </w:r>
    </w:p>
    <w:p w14:paraId="04B9A13E" w14:textId="77777777" w:rsidR="00301D9C" w:rsidRPr="000220A2" w:rsidRDefault="00301D9C" w:rsidP="003E461A">
      <w:pPr>
        <w:spacing w:line="480" w:lineRule="auto"/>
        <w:ind w:firstLine="708"/>
        <w:jc w:val="both"/>
        <w:rPr>
          <w:rFonts w:cstheme="minorHAnsi"/>
          <w:b/>
          <w:i/>
          <w:lang w:val="en-US"/>
        </w:rPr>
      </w:pPr>
      <w:r w:rsidRPr="000220A2">
        <w:rPr>
          <w:rFonts w:cstheme="minorHAnsi"/>
          <w:b/>
          <w:i/>
          <w:lang w:val="en-US"/>
        </w:rPr>
        <w:t>Flow stasis</w:t>
      </w:r>
    </w:p>
    <w:p w14:paraId="606B6CB0" w14:textId="3D6971EC" w:rsidR="00301D9C" w:rsidRPr="000220A2" w:rsidRDefault="00301D9C" w:rsidP="003E461A">
      <w:pPr>
        <w:spacing w:line="480" w:lineRule="auto"/>
        <w:jc w:val="both"/>
        <w:rPr>
          <w:rFonts w:cstheme="minorHAnsi"/>
          <w:lang w:val="en-US"/>
        </w:rPr>
      </w:pPr>
      <w:r w:rsidRPr="000220A2">
        <w:rPr>
          <w:rFonts w:cstheme="minorHAnsi"/>
          <w:lang w:val="en-US"/>
        </w:rPr>
        <w:t>Flow stasis was calculated as the percentage of cardiac phases with a mean velocity &lt;</w:t>
      </w:r>
      <w:r w:rsidR="006C384C" w:rsidRPr="000220A2">
        <w:rPr>
          <w:rFonts w:cstheme="minorHAnsi"/>
          <w:lang w:val="en-US"/>
        </w:rPr>
        <w:t xml:space="preserve">5 </w:t>
      </w:r>
      <w:r w:rsidRPr="000220A2">
        <w:rPr>
          <w:rFonts w:cstheme="minorHAnsi"/>
          <w:lang w:val="en-US"/>
        </w:rPr>
        <w:t>cm/s</w:t>
      </w:r>
      <w:r w:rsidR="0094573B" w:rsidRPr="000220A2">
        <w:rPr>
          <w:rFonts w:cstheme="minorHAnsi"/>
          <w:lang w:val="en-US"/>
        </w:rPr>
        <w:t xml:space="preserve"> </w:t>
      </w:r>
      <w:r w:rsidR="00A12A8D" w:rsidRPr="000220A2">
        <w:rPr>
          <w:rFonts w:cstheme="minorHAnsi"/>
          <w:lang w:val="en-US"/>
        </w:rPr>
        <w:t>in each voxel inside the volume of analysis</w:t>
      </w:r>
      <w:r w:rsidR="0094573B" w:rsidRPr="000220A2">
        <w:rPr>
          <w:rFonts w:cstheme="minorHAnsi"/>
          <w:lang w:val="en-US"/>
        </w:rPr>
        <w:t xml:space="preserve">, </w:t>
      </w:r>
      <w:r w:rsidR="00A12A8D" w:rsidRPr="000220A2">
        <w:rPr>
          <w:rFonts w:cstheme="minorHAnsi"/>
          <w:lang w:val="en-US"/>
        </w:rPr>
        <w:t xml:space="preserve">and then the average of </w:t>
      </w:r>
      <w:r w:rsidR="0094573B" w:rsidRPr="000220A2">
        <w:rPr>
          <w:rFonts w:cstheme="minorHAnsi"/>
          <w:lang w:val="en-US"/>
        </w:rPr>
        <w:t>all the</w:t>
      </w:r>
      <w:r w:rsidR="00A12A8D" w:rsidRPr="000220A2">
        <w:rPr>
          <w:rFonts w:cstheme="minorHAnsi"/>
          <w:lang w:val="en-US"/>
        </w:rPr>
        <w:t xml:space="preserve"> values in the voxels</w:t>
      </w:r>
      <w:r w:rsidR="006C384C" w:rsidRPr="000220A2">
        <w:rPr>
          <w:rFonts w:cstheme="minorHAnsi"/>
          <w:lang w:val="en-US"/>
        </w:rPr>
        <w:t xml:space="preserve"> </w:t>
      </w:r>
      <w:r w:rsidR="006C384C" w:rsidRPr="000220A2">
        <w:rPr>
          <w:rFonts w:cstheme="minorHAnsi"/>
          <w:lang w:val="en-US"/>
        </w:rPr>
        <w:lastRenderedPageBreak/>
        <w:t>included in the volume of interest</w:t>
      </w:r>
      <w:r w:rsidR="00A12A8D" w:rsidRPr="000220A2">
        <w:rPr>
          <w:rFonts w:cstheme="minorHAnsi"/>
          <w:lang w:val="en-US"/>
        </w:rPr>
        <w:t xml:space="preserve"> was used </w:t>
      </w:r>
      <w:r w:rsidRPr="000220A2">
        <w:rPr>
          <w:rFonts w:cstheme="minorHAnsi"/>
          <w:lang w:val="en-US"/>
        </w:rPr>
        <w:fldChar w:fldCharType="begin" w:fldLock="1"/>
      </w:r>
      <w:r w:rsidR="000C2481" w:rsidRPr="000220A2">
        <w:rPr>
          <w:rFonts w:cstheme="minorHAnsi"/>
          <w:lang w:val="en-US"/>
        </w:rPr>
        <w:instrText>ADDIN CSL_CITATION {"citationItems":[{"id":"ITEM-1","itemData":{"DOI":"10.1016/j.mri.2018.11.003","ISSN":"18735894","abstract":"Purpose: To examine methods for visualizing and quantifying flow stasis in abdominal aortic aneurysms (AAA) using 4D Flow MRI. Methods: Three methods were investigated: conventional volumetric residence time (VRT), mean velocity analysis (MVA), and particle travel distance analysis (TDA). First, ideal 4D Flow MRI data was generated using numerical simulations and used as a platform to explore the effects of noise and background phase-offset errors, both of which are common 4D Flow MRI artifacts. Error-free results were compared to noise or offset affected results using linear regression. Subsequently, 4D Flow MRI data for thirteen (13) subjects with AAA was acquired and used to compare the stasis quantification methods against conventional flow visualization. Results: VRT (R2 = 0.69) was more sensitive to noise than MVA (R2 = 0.98) and TDA (R2 = 0.99) at typical non-contrast signal-to-noise ratio levels (SNR = 20). VRT (R2 = 0.14) was more sensitive to background phase-offsets than MVA (R2 = 0.99) and TDA (R2 = 0.96) when considering a 95% effective background phase-offset correction. Qualitatively, TDA outperformed MVA (Wilcoxon p &lt; 0.005, mean score improvement 1.6/5), and had good agreement (median score 4/5) with flow visualizations. Conclusion: Flow stasis can be quantitatively assessed using 4D Flow MRI. While conventional residence time calculations fail due to error accumulation as a result of imperfect measured velocity fields, methods that do not require lengthy particle tracking perform better. MVA and TDA are less sensitive to measurement errors, and TDA generates results most similar to those obtained using conventional flow visualization.","author":[{"dropping-particle":"","family":"Ziegler","given":"Magnus","non-dropping-particle":"","parse-names":false,"suffix":""},{"dropping-particle":"","family":"Welander","given":"Martin","non-dropping-particle":"","parse-names":false,"suffix":""},{"dropping-particle":"","family":"Lantz","given":"Jonas","non-dropping-particle":"","parse-names":false,"suffix":""},{"dropping-particle":"","family":"Lindenberger","given":"Marcus","non-dropping-particle":"","parse-names":false,"suffix":""},{"dropping-particle":"","family":"Bjarnegård","given":"Niclas","non-dropping-particle":"","parse-names":false,"suffix":""},{"dropping-particle":"","family":"Karlsson","given":"Matts","non-dropping-particle":"","parse-names":false,"suffix":""},{"dropping-particle":"","family":"Ebbers","given":"Tino","non-dropping-particle":"","parse-names":false,"suffix":""},{"dropping-particle":"","family":"Länne","given":"Toste","non-dropping-particle":"","parse-names":false,"suffix":""},{"dropping-particle":"","family":"Dyverfeldt","given":"Petter","non-dropping-particle":"","parse-names":false,"suffix":""}],"container-title":"Magnetic Resonance Imaging","id":"ITEM-1","issue":"November 2018","issued":{"date-parts":[["2019"]]},"page":"103-110","publisher":"Elsevier","title":"Visualizing and quantifying flow stasis in abdominal aortic aneurysms in men using 4D flow MRI","type":"article-journal","volume":"57"},"uris":["http://www.mendeley.com/documents/?uuid=e25dc333-878f-4cfc-898a-374580070dbd"]}],"mendeley":{"formattedCitation":"(4)","plainTextFormattedCitation":"(4)","previouslyFormattedCitation":"(4)"},"properties":{"noteIndex":0},"schema":"https://github.com/citation-style-language/schema/raw/master/csl-citation.json"}</w:instrText>
      </w:r>
      <w:r w:rsidRPr="000220A2">
        <w:rPr>
          <w:rFonts w:cstheme="minorHAnsi"/>
          <w:lang w:val="en-US"/>
        </w:rPr>
        <w:fldChar w:fldCharType="separate"/>
      </w:r>
      <w:r w:rsidR="000C2481" w:rsidRPr="000220A2">
        <w:rPr>
          <w:rFonts w:cstheme="minorHAnsi"/>
          <w:noProof/>
          <w:lang w:val="en-US"/>
        </w:rPr>
        <w:t>(4)</w:t>
      </w:r>
      <w:r w:rsidRPr="000220A2">
        <w:rPr>
          <w:rFonts w:cstheme="minorHAnsi"/>
          <w:lang w:val="en-US"/>
        </w:rPr>
        <w:fldChar w:fldCharType="end"/>
      </w:r>
      <w:r w:rsidRPr="000220A2">
        <w:rPr>
          <w:rFonts w:cstheme="minorHAnsi"/>
          <w:lang w:val="en-US"/>
        </w:rPr>
        <w:t>.</w:t>
      </w:r>
      <w:r w:rsidR="0055642F" w:rsidRPr="000220A2">
        <w:rPr>
          <w:rFonts w:cstheme="minorHAnsi"/>
          <w:lang w:val="en-US"/>
        </w:rPr>
        <w:t xml:space="preserve"> </w:t>
      </w:r>
      <w:r w:rsidR="0094573B" w:rsidRPr="000220A2">
        <w:rPr>
          <w:rFonts w:cstheme="minorHAnsi"/>
          <w:lang w:val="en-US"/>
        </w:rPr>
        <w:t>This</w:t>
      </w:r>
      <w:r w:rsidR="00A12A8D" w:rsidRPr="000220A2">
        <w:rPr>
          <w:rFonts w:cstheme="minorHAnsi"/>
          <w:lang w:val="en-US"/>
        </w:rPr>
        <w:t xml:space="preserve"> threshold </w:t>
      </w:r>
      <w:r w:rsidR="00D56987" w:rsidRPr="000220A2">
        <w:rPr>
          <w:rFonts w:cstheme="minorHAnsi"/>
          <w:lang w:val="en-US"/>
        </w:rPr>
        <w:t xml:space="preserve">had been defined </w:t>
      </w:r>
      <w:r w:rsidR="00A12A8D" w:rsidRPr="000220A2">
        <w:rPr>
          <w:rFonts w:cstheme="minorHAnsi"/>
          <w:lang w:val="en-US"/>
        </w:rPr>
        <w:t>taking into account expected noise levels of 4D flow velocity data based on the velocity encoding range and SNR-estimates</w:t>
      </w:r>
      <w:r w:rsidR="000C2481" w:rsidRPr="000220A2">
        <w:rPr>
          <w:rFonts w:cstheme="minorHAnsi"/>
          <w:lang w:val="en-US"/>
        </w:rPr>
        <w:t xml:space="preserve"> </w:t>
      </w:r>
      <w:r w:rsidR="000C2481" w:rsidRPr="000220A2">
        <w:rPr>
          <w:rFonts w:cstheme="minorHAnsi"/>
          <w:lang w:val="en-US"/>
        </w:rPr>
        <w:fldChar w:fldCharType="begin" w:fldLock="1"/>
      </w:r>
      <w:r w:rsidR="00E4764F" w:rsidRPr="000220A2">
        <w:rPr>
          <w:rFonts w:cstheme="minorHAnsi"/>
          <w:lang w:val="en-US"/>
        </w:rPr>
        <w:instrText>ADDIN CSL_CITATION {"citationItems":[{"id":"ITEM-1","itemData":{"DOI":"10.1016/j.mri.2018.11.003","ISSN":"18735894","abstract":"Purpose: To examine methods for visualizing and quantifying flow stasis in abdominal aortic aneurysms (AAA) using 4D Flow MRI. Methods: Three methods were investigated: conventional volumetric residence time (VRT), mean velocity analysis (MVA), and particle travel distance analysis (TDA). First, ideal 4D Flow MRI data was generated using numerical simulations and used as a platform to explore the effects of noise and background phase-offset errors, both of which are common 4D Flow MRI artifacts. Error-free results were compared to noise or offset affected results using linear regression. Subsequently, 4D Flow MRI data for thirteen (13) subjects with AAA was acquired and used to compare the stasis quantification methods against conventional flow visualization. Results: VRT (R2 = 0.69) was more sensitive to noise than MVA (R2 = 0.98) and TDA (R2 = 0.99) at typical non-contrast signal-to-noise ratio levels (SNR = 20). VRT (R2 = 0.14) was more sensitive to background phase-offsets than MVA (R2 = 0.99) and TDA (R2 = 0.96) when considering a 95% effective background phase-offset correction. Qualitatively, TDA outperformed MVA (Wilcoxon p &lt; 0.005, mean score improvement 1.6/5), and had good agreement (median score 4/5) with flow visualizations. Conclusion: Flow stasis can be quantitatively assessed using 4D Flow MRI. While conventional residence time calculations fail due to error accumulation as a result of imperfect measured velocity fields, methods that do not require lengthy particle tracking perform better. MVA and TDA are less sensitive to measurement errors, and TDA generates results most similar to those obtained using conventional flow visualization.","author":[{"dropping-particle":"","family":"Ziegler","given":"Magnus","non-dropping-particle":"","parse-names":false,"suffix":""},{"dropping-particle":"","family":"Welander","given":"Martin","non-dropping-particle":"","parse-names":false,"suffix":""},{"dropping-particle":"","family":"Lantz","given":"Jonas","non-dropping-particle":"","parse-names":false,"suffix":""},{"dropping-particle":"","family":"Lindenberger","given":"Marcus","non-dropping-particle":"","parse-names":false,"suffix":""},{"dropping-particle":"","family":"Bjarnegård","given":"Niclas","non-dropping-particle":"","parse-names":false,"suffix":""},{"dropping-particle":"","family":"Karlsson","given":"Matts","non-dropping-particle":"","parse-names":false,"suffix":""},{"dropping-particle":"","family":"Ebbers","given":"Tino","non-dropping-particle":"","parse-names":false,"suffix":""},{"dropping-particle":"","family":"Länne","given":"Toste","non-dropping-particle":"","parse-names":false,"suffix":""},{"dropping-particle":"","family":"Dyverfeldt","given":"Petter","non-dropping-particle":"","parse-names":false,"suffix":""}],"container-title":"Magnetic Resonance Imaging","id":"ITEM-1","issue":"November 2018","issued":{"date-parts":[["2019"]]},"page":"103-110","publisher":"Elsevier","title":"Visualizing and quantifying flow stasis in abdominal aortic aneurysms in men using 4D flow MRI","type":"article-journal","volume":"57"},"uris":["http://www.mendeley.com/documents/?uuid=e25dc333-878f-4cfc-898a-374580070dbd"]}],"mendeley":{"formattedCitation":"(4)","plainTextFormattedCitation":"(4)","previouslyFormattedCitation":"(4)"},"properties":{"noteIndex":0},"schema":"https://github.com/citation-style-language/schema/raw/master/csl-citation.json"}</w:instrText>
      </w:r>
      <w:r w:rsidR="000C2481" w:rsidRPr="000220A2">
        <w:rPr>
          <w:rFonts w:cstheme="minorHAnsi"/>
          <w:lang w:val="en-US"/>
        </w:rPr>
        <w:fldChar w:fldCharType="separate"/>
      </w:r>
      <w:r w:rsidR="000C2481" w:rsidRPr="000220A2">
        <w:rPr>
          <w:rFonts w:cstheme="minorHAnsi"/>
          <w:noProof/>
          <w:lang w:val="en-US"/>
        </w:rPr>
        <w:t>(4)</w:t>
      </w:r>
      <w:r w:rsidR="000C2481" w:rsidRPr="000220A2">
        <w:rPr>
          <w:rFonts w:cstheme="minorHAnsi"/>
          <w:lang w:val="en-US"/>
        </w:rPr>
        <w:fldChar w:fldCharType="end"/>
      </w:r>
      <w:r w:rsidR="004C69B7" w:rsidRPr="000220A2">
        <w:rPr>
          <w:rFonts w:eastAsiaTheme="minorEastAsia" w:cstheme="minorHAnsi"/>
          <w:lang w:val="en-US"/>
        </w:rPr>
        <w:t xml:space="preserve">. </w:t>
      </w:r>
    </w:p>
    <w:p w14:paraId="009EC5BC" w14:textId="77777777" w:rsidR="00A12A8D" w:rsidRPr="000220A2" w:rsidRDefault="00A12A8D" w:rsidP="00A12A8D">
      <w:pPr>
        <w:spacing w:line="480" w:lineRule="auto"/>
        <w:jc w:val="both"/>
        <w:rPr>
          <w:rFonts w:cstheme="minorHAnsi"/>
          <w:b/>
          <w:i/>
          <w:lang w:val="en-US"/>
        </w:rPr>
      </w:pPr>
    </w:p>
    <w:p w14:paraId="66147C62" w14:textId="1D0596AA" w:rsidR="00A12A8D" w:rsidRPr="000220A2" w:rsidRDefault="00B01C1B" w:rsidP="00A12A8D">
      <w:pPr>
        <w:spacing w:line="480" w:lineRule="auto"/>
        <w:jc w:val="both"/>
        <w:rPr>
          <w:rFonts w:cstheme="minorHAnsi"/>
          <w:b/>
          <w:sz w:val="24"/>
          <w:lang w:val="en-US"/>
        </w:rPr>
      </w:pPr>
      <w:r w:rsidRPr="000220A2">
        <w:rPr>
          <w:rFonts w:cstheme="minorHAnsi"/>
          <w:b/>
          <w:sz w:val="24"/>
          <w:lang w:val="en-US"/>
        </w:rPr>
        <w:t>2</w:t>
      </w:r>
      <w:r w:rsidR="00A12A8D" w:rsidRPr="000220A2">
        <w:rPr>
          <w:rFonts w:cstheme="minorHAnsi"/>
          <w:b/>
          <w:sz w:val="24"/>
          <w:lang w:val="en-US"/>
        </w:rPr>
        <w:t>. Descriptors of biomechanics in the false lumen: pulse wave velocity</w:t>
      </w:r>
    </w:p>
    <w:p w14:paraId="627E1EC1" w14:textId="264CFAFB" w:rsidR="003E461A" w:rsidRPr="000220A2" w:rsidRDefault="00A12A8D" w:rsidP="00E3696E">
      <w:pPr>
        <w:spacing w:line="480" w:lineRule="auto"/>
        <w:ind w:firstLine="708"/>
        <w:jc w:val="both"/>
        <w:rPr>
          <w:rFonts w:cstheme="minorHAnsi"/>
          <w:color w:val="000000"/>
          <w:lang w:val="en-US"/>
        </w:rPr>
      </w:pPr>
      <w:r w:rsidRPr="000220A2">
        <w:rPr>
          <w:rFonts w:cstheme="minorHAnsi"/>
          <w:color w:val="000000"/>
          <w:lang w:val="en-US"/>
        </w:rPr>
        <w:t xml:space="preserve">The false lumen pulse wave velocity was quantified in the </w:t>
      </w:r>
      <w:r w:rsidR="003E461A" w:rsidRPr="000220A2">
        <w:rPr>
          <w:rFonts w:cstheme="minorHAnsi"/>
          <w:color w:val="000000"/>
          <w:lang w:val="en-US"/>
        </w:rPr>
        <w:t>descending aorta</w:t>
      </w:r>
      <w:r w:rsidRPr="000220A2">
        <w:rPr>
          <w:rFonts w:cstheme="minorHAnsi"/>
          <w:color w:val="000000"/>
          <w:lang w:val="en-US"/>
        </w:rPr>
        <w:t>,</w:t>
      </w:r>
      <w:r w:rsidR="003E461A" w:rsidRPr="000220A2">
        <w:rPr>
          <w:rFonts w:cstheme="minorHAnsi"/>
          <w:color w:val="000000"/>
          <w:lang w:val="en-US"/>
        </w:rPr>
        <w:t xml:space="preserve"> </w:t>
      </w:r>
      <w:r w:rsidRPr="000220A2">
        <w:rPr>
          <w:rFonts w:cstheme="minorHAnsi"/>
          <w:color w:val="000000"/>
          <w:lang w:val="en-US"/>
        </w:rPr>
        <w:t xml:space="preserve">which </w:t>
      </w:r>
      <w:r w:rsidR="003E461A" w:rsidRPr="000220A2">
        <w:rPr>
          <w:rFonts w:cstheme="minorHAnsi"/>
          <w:color w:val="000000"/>
          <w:lang w:val="en-US"/>
        </w:rPr>
        <w:t xml:space="preserve">was here defined </w:t>
      </w:r>
      <w:r w:rsidR="006C384C" w:rsidRPr="000220A2">
        <w:rPr>
          <w:rFonts w:cstheme="minorHAnsi"/>
          <w:color w:val="000000"/>
          <w:lang w:val="en-US"/>
        </w:rPr>
        <w:t xml:space="preserve">as between </w:t>
      </w:r>
      <w:r w:rsidR="003E461A" w:rsidRPr="000220A2">
        <w:rPr>
          <w:rFonts w:cstheme="minorHAnsi"/>
          <w:color w:val="000000"/>
          <w:lang w:val="en-US"/>
        </w:rPr>
        <w:t xml:space="preserve">the third supraortic vessel to the level of the diaphragm. Velocity waveforms were </w:t>
      </w:r>
      <w:r w:rsidR="003E461A" w:rsidRPr="000220A2">
        <w:rPr>
          <w:rFonts w:cstheme="minorHAnsi"/>
          <w:lang w:val="en-US"/>
        </w:rPr>
        <w:t xml:space="preserve">extracted at equally–distributed analysis planes and </w:t>
      </w:r>
      <w:r w:rsidR="003E461A" w:rsidRPr="000220A2">
        <w:rPr>
          <w:rFonts w:cstheme="minorHAnsi"/>
          <w:color w:val="000000"/>
          <w:lang w:val="en-US"/>
        </w:rPr>
        <w:t>transit time was calculated with the wavelet-based met</w:t>
      </w:r>
      <w:r w:rsidR="006742BB" w:rsidRPr="000220A2">
        <w:rPr>
          <w:rFonts w:cstheme="minorHAnsi"/>
          <w:color w:val="000000"/>
          <w:lang w:val="en-US"/>
        </w:rPr>
        <w:t>hod</w:t>
      </w:r>
      <w:r w:rsidR="00261BAC" w:rsidRPr="000220A2">
        <w:rPr>
          <w:rFonts w:cstheme="minorHAnsi"/>
          <w:color w:val="000000"/>
          <w:lang w:val="en-US"/>
        </w:rPr>
        <w:t xml:space="preserve"> </w:t>
      </w:r>
      <w:r w:rsidR="00E971A1" w:rsidRPr="000220A2">
        <w:rPr>
          <w:rFonts w:cstheme="minorHAnsi"/>
          <w:color w:val="000000"/>
          <w:lang w:val="en-US"/>
        </w:rPr>
        <w:fldChar w:fldCharType="begin" w:fldLock="1"/>
      </w:r>
      <w:r w:rsidR="00E4764F" w:rsidRPr="000220A2">
        <w:rPr>
          <w:rFonts w:cstheme="minorHAnsi"/>
          <w:color w:val="000000"/>
          <w:lang w:val="en-US"/>
        </w:rPr>
        <w:instrText>ADDIN CSL_CITATION {"citationItems":[{"id":"ITEM-1","itemData":{"DOI":"10.1186/s12968-015-0164-7","ISSN":"1532429X","abstract":"© 2015 Bargiotas et al.Background: Aortic pulse wave velocity (PWV), which substantially increases with arterial stiffness and aging, is a major predictor of cardiovascular mortality. It is commonly estimated using applanation tonometry at carotid and femoral arterial sites (cfPWV). More recently, several cardiovascular magnetic resonance (CMR) studies have focused on the measurement of aortic arch PWV (archPWV). Although the excellent anatomical coverage of CMR offers reliable segmental measurement of arterial length, accurate transit time (TT) determination remains a challenge. Recently, it has been demonstrated that Fourier-based methods were more robust to low temporal resolution than time-based approaches. Methods: We developed a wavelet-based method, which enables temporal localization of signal frequencies, to estimate TT from ascending and descending aortic CMR flow curves. This method (archPWV&lt;inf&gt;WU&lt;/inf&gt;) combines the robustness of Fourier-based methods to low temporal resolution with the possibility to restrict the analysis to the reflectionless systolic upslope. We compared this method with Fourier-based (archPWV&lt;inf&gt;F&lt;/inf&gt;) and time domain upslope (archPWV&lt;inf&gt;TU&lt;/inf&gt;) methods in relation to linear correlations with age, cfPWV and effects of decreasing temporal resolution by factors of 2, 3 and 4. We studied 71 healthy subjects (45 ± 15 years, 29 females) who underwent CMR velocity acquisitions and cfPWV measurements. Results: Comparison with age resulted in the highest correlation for the wavelet-based method (archPWV&lt;inf&gt;WU&lt;/inf&gt;:r = 0.84,p &lt; 0.001; archPWV&lt;inf&gt;TU&lt;/inf&gt;:r = 0.74,p &lt; 0.001; archPWV&lt;inf&gt;F&lt;/inf&gt;:r = 0.63,p &lt; 0.001). Associations with cfPWV resulted in the highest correlations for upslope techniques whether based on wavelet (archPWV&lt;inf&gt;WU&lt;/inf&gt;:r = 0.58,p &lt; 0.001) or time (archPWV&lt;inf&gt;TU&lt;/inf&gt;:r = 0.58,p &lt; 0.001) approach. Furthermore, while decreasing temporal resolution by 4-fold induced only a minor decrease in correlation of both archPWV&lt;inf&gt;WU&lt;/inf&gt; (r decreased from 0.84 to 0.80) and archPWV&lt;inf&gt;F&lt;/inf&gt; (r decreased from 0.63 to 0.51) with age, it induced a major decrease for the archPWV&lt;inf&gt;TU&lt;/inf&gt; age relationship (r decreased from 0.74 to 0.38). Conclusions: By CMR, measurement of aortic arch flow TT using systolic upslopes resulted in a better correlation with age and cfPWV, as compared to the Fourier-based approach applied on the entire cardiac cycle. Furthermore, methods based on harmonic decomposition were l…","author":[{"dropping-particle":"","family":"Bargiotas","given":"Ioannis","non-dropping-particle":"","parse-names":false,"suffix":""},{"dropping-particle":"","family":"Mousseaux","given":"Elie","non-dropping-particle":"","parse-names":false,"suffix":""},{"dropping-particle":"","family":"Yu","given":"Wen Chung","non-dropping-particle":"","parse-names":false,"suffix":""},{"dropping-particle":"","family":"Venkatesh","given":"Bharath Ambale","non-dropping-particle":"","parse-names":false,"suffix":""},{"dropping-particle":"","family":"Bollache","given":"Emilie","non-dropping-particle":"","parse-names":false,"suffix":""},{"dropping-particle":"","family":"Cesare","given":"Alain","non-dropping-particle":"De","parse-names":false,"suffix":""},{"dropping-particle":"","family":"Lima","given":"Joao A.C.","non-dropping-particle":"","parse-names":false,"suffix":""},{"dropping-particle":"","family":"Redheuil","given":"Alban","non-dropping-particle":"","parse-names":false,"suffix":""},{"dropping-particle":"","family":"Kachenoura","given":"Nadjia","non-dropping-particle":"","parse-names":false,"suffix":""}],"container-title":"Journal of Cardiovascular Magnetic Resonance","id":"ITEM-1","issue":"1","issued":{"date-parts":[["2015"]]},"page":"65","publisher":"Journal of Cardiovascular Magnetic Resonance","title":"Estimation of aortic pulse wave transit time in cardiovascular magnetic resonance using complex wavelet cross-spectrum analysis","type":"article-journal","volume":"17"},"uris":["http://www.mendeley.com/documents/?uuid=d60fb3de-9aa3-442c-9988-3f33359b5456"]},{"id":"ITEM-2","itemData":{"DOI":"10.1016/j.jcmg.2018.03.017","ISSN":"18767591","PMID":"29778849","abstract":"Objectives: This study sought to ascertain whether patients with a bicuspid aortic valve (BAV) have an intrinsic alteration in regional aortic stiffness compared with patients with tricuspid aortic valve (TAV) and Marfan syndrome (MFS) patients with similar aortic sizes, as well as to assess the influence of ascending aorta (AAo) dilation on regional stiffness parameters in BAV patients. Background: Imaging biomarkers as predictors of BAV, MFS, and degenerative AAo aneurysms in TAV patients (DA-TAV) are lacking. Biomechanical characterization has been proposed as a possible tool for further aneurysm stratification. Methods: Two hundred thirty-four subjects (136 BAV, 44 MFS, and 18 DA-TAV patients and 36 healthy control subjects) were included. The cardiac magnetic resonance protocol comprised 4-dimensional flow to assess AAo and descending aorta (DAo) pulse wave velocities (PWVs) and double-oblique, 2-dimensional, steady-state free-precession cine cardiac magnetic resonance to compute aortic distensibility (AD). Results: On adjusted analysis, nondilated BAV patients had similar PWV and AD as healthy control subjects in both AAo and DAo, whereas dilated BAV did not differ from DA-TAV. In contrast, AAo and DAo stiffness in MFS patients was markedly greater than in BAV patients, increasing slightly with dilation severity. AAo PWV showed a biphasic pattern in BAV patients: it first decreased and then increased throughout AAo dilation, with a clear turning point at 50 mm, whereas distensibility did not discern mildly dilated aorta. In multivariate analysis adjusted for clinical and demographic characteristics, only PWV was related to AAo dilation in BAV patients. Conclusions: The mechanical properties of AAo aneurysms are similar in BAV and TAV patients, whereas MFS patients have a stiffer aorta. Aortic stiffness strongly depends on dilation severity. AAo PWV resulted in a potentially clinically useful biphasic trend with respect to aneurysm diameter, whereas distensibility did not discern mildly dilated aorta. Beyond clinical risk factors, PWV but not AD was independently related to AAo dilation in BAV patients.","author":[{"dropping-particle":"","family":"Guala","given":"Andrea","non-dropping-particle":"","parse-names":false,"suffix":""},{"dropping-particle":"","family":"Rodriguez-Palomares","given":"JF","non-dropping-particle":"","parse-names":false,"suffix":""},{"dropping-particle":"","family":"Dux-Santoy","given":"L","non-dropping-particle":"","parse-names":false,"suffix":""},{"dropping-particle":"","family":"Teixidó-Turà","given":"Gisela","non-dropping-particle":"","parse-names":false,"suffix":""},{"dropping-particle":"","family":"Maldonado","given":"Giuliana","non-dropping-particle":"","parse-names":false,"suffix":""},{"dropping-particle":"","family":"Galian","given":"Laura","non-dropping-particle":"","parse-names":false,"suffix":""},{"dropping-particle":"","family":"Huguet","given":"Marina","non-dropping-particle":"","parse-names":false,"suffix":""},{"dropping-particle":"","family":"Valente","given":"Filipa","non-dropping-particle":"","parse-names":false,"suffix":""},{"dropping-particle":"","family":"Gutiérrez","given":"Laura","non-dropping-particle":"","parse-names":false,"suffix":""},{"dropping-particle":"","family":"González-Alujas","given":"María Teresa","non-dropping-particle":"","parse-names":false,"suffix":""},{"dropping-particle":"","family":"Johnson","given":"Kevin M","non-dropping-particle":"","parse-names":false,"suffix":""},{"dropping-particle":"","family":"Wieben","given":"Oliver","non-dropping-particle":"","parse-names":false,"suffix":""},{"dropping-particle":"","family":"Sao Avilés","given":"Augusto","non-dropping-particle":"","parse-names":false,"suffix":""},{"dropping-particle":"","family":"Garcia-Dorado","given":"David","non-dropping-particle":"","parse-names":false,"suffix":""},{"dropping-particle":"","family":"Evangelista","given":"Artur","non-dropping-particle":"","parse-names":false,"suffix":""}],"container-title":"JACC: Cardiovascular Imaging","id":"ITEM-2","issue":"6","issued":{"date-parts":[["2019"]]},"page":"1020-1029","title":"Influence of Aortic Dilation on the Regional Aortic Stiffness of Bicuspid Aortic Valve Assessed by 4-Dimensional Flow Cardiac Magnetic Resonance: Comparison With Marfan Syndrome and Degenerative Aortic Aneurysm","type":"article-journal","volume":"12"},"uris":["http://www.mendeley.com/documents/?uuid=d88aaae4-d266-4365-a983-82caea523433"]}],"mendeley":{"formattedCitation":"(5,6)","plainTextFormattedCitation":"(5,6)","previouslyFormattedCitation":"(5)"},"properties":{"noteIndex":0},"schema":"https://github.com/citation-style-language/schema/raw/master/csl-citation.json"}</w:instrText>
      </w:r>
      <w:r w:rsidR="00E971A1" w:rsidRPr="000220A2">
        <w:rPr>
          <w:rFonts w:cstheme="minorHAnsi"/>
          <w:color w:val="000000"/>
          <w:lang w:val="en-US"/>
        </w:rPr>
        <w:fldChar w:fldCharType="separate"/>
      </w:r>
      <w:r w:rsidR="00E4764F" w:rsidRPr="000220A2">
        <w:rPr>
          <w:rFonts w:cstheme="minorHAnsi"/>
          <w:noProof/>
          <w:color w:val="000000"/>
          <w:lang w:val="en-US"/>
        </w:rPr>
        <w:t>(5,6)</w:t>
      </w:r>
      <w:r w:rsidR="00E971A1" w:rsidRPr="000220A2">
        <w:rPr>
          <w:rFonts w:cstheme="minorHAnsi"/>
          <w:color w:val="000000"/>
          <w:lang w:val="en-US"/>
        </w:rPr>
        <w:fldChar w:fldCharType="end"/>
      </w:r>
      <w:r w:rsidR="003E461A" w:rsidRPr="000220A2">
        <w:rPr>
          <w:rFonts w:cstheme="minorHAnsi"/>
          <w:color w:val="000000"/>
          <w:lang w:val="en-US"/>
        </w:rPr>
        <w:t>.</w:t>
      </w:r>
      <w:r w:rsidR="003A1BE9" w:rsidRPr="000220A2">
        <w:rPr>
          <w:rFonts w:cstheme="minorHAnsi"/>
          <w:color w:val="000000"/>
          <w:lang w:val="en-US"/>
        </w:rPr>
        <w:t xml:space="preserve"> </w:t>
      </w:r>
      <w:r w:rsidR="003A1BE9" w:rsidRPr="000220A2">
        <w:rPr>
          <w:rFonts w:cs="Arial"/>
          <w:szCs w:val="24"/>
          <w:lang w:val="en-US"/>
        </w:rPr>
        <w:t xml:space="preserve">This method has demonstrated to be </w:t>
      </w:r>
      <w:r w:rsidR="00261BAC" w:rsidRPr="000220A2">
        <w:rPr>
          <w:rFonts w:cs="Arial"/>
          <w:szCs w:val="24"/>
          <w:lang w:val="en-US"/>
        </w:rPr>
        <w:t xml:space="preserve">the most robust, </w:t>
      </w:r>
      <w:r w:rsidR="003A1BE9" w:rsidRPr="000220A2">
        <w:rPr>
          <w:rFonts w:cs="Arial"/>
          <w:szCs w:val="24"/>
          <w:lang w:val="en-US"/>
        </w:rPr>
        <w:t xml:space="preserve">especially for low temporal resolution acquisitions  </w:t>
      </w:r>
      <w:r w:rsidR="003A1BE9" w:rsidRPr="000220A2">
        <w:rPr>
          <w:rFonts w:cs="Arial"/>
          <w:szCs w:val="24"/>
          <w:lang w:val="en-US"/>
        </w:rPr>
        <w:fldChar w:fldCharType="begin" w:fldLock="1"/>
      </w:r>
      <w:r w:rsidR="000C2481" w:rsidRPr="000220A2">
        <w:rPr>
          <w:rFonts w:cs="Arial"/>
          <w:szCs w:val="24"/>
          <w:lang w:val="en-US"/>
        </w:rPr>
        <w:instrText>ADDIN CSL_CITATION {"citationItems":[{"id":"ITEM-1","itemData":{"DOI":"10.1186/s12968-015-0164-7","ISSN":"1532429X","abstract":"© 2015 Bargiotas et al.Background: Aortic pulse wave velocity (PWV), which substantially increases with arterial stiffness and aging, is a major predictor of cardiovascular mortality. It is commonly estimated using applanation tonometry at carotid and femoral arterial sites (cfPWV). More recently, several cardiovascular magnetic resonance (CMR) studies have focused on the measurement of aortic arch PWV (archPWV). Although the excellent anatomical coverage of CMR offers reliable segmental measurement of arterial length, accurate transit time (TT) determination remains a challenge. Recently, it has been demonstrated that Fourier-based methods were more robust to low temporal resolution than time-based approaches. Methods: We developed a wavelet-based method, which enables temporal localization of signal frequencies, to estimate TT from ascending and descending aortic CMR flow curves. This method (archPWV&lt;inf&gt;WU&lt;/inf&gt;) combines the robustness of Fourier-based methods to low temporal resolution with the possibility to restrict the analysis to the reflectionless systolic upslope. We compared this method with Fourier-based (archPWV&lt;inf&gt;F&lt;/inf&gt;) and time domain upslope (archPWV&lt;inf&gt;TU&lt;/inf&gt;) methods in relation to linear correlations with age, cfPWV and effects of decreasing temporal resolution by factors of 2, 3 and 4. We studied 71 healthy subjects (45 ± 15 years, 29 females) who underwent CMR velocity acquisitions and cfPWV measurements. Results: Comparison with age resulted in the highest correlation for the wavelet-based method (archPWV&lt;inf&gt;WU&lt;/inf&gt;:r = 0.84,p &lt; 0.001; archPWV&lt;inf&gt;TU&lt;/inf&gt;:r = 0.74,p &lt; 0.001; archPWV&lt;inf&gt;F&lt;/inf&gt;:r = 0.63,p &lt; 0.001). Associations with cfPWV resulted in the highest correlations for upslope techniques whether based on wavelet (archPWV&lt;inf&gt;WU&lt;/inf&gt;:r = 0.58,p &lt; 0.001) or time (archPWV&lt;inf&gt;TU&lt;/inf&gt;:r = 0.58,p &lt; 0.001) approach. Furthermore, while decreasing temporal resolution by 4-fold induced only a minor decrease in correlation of both archPWV&lt;inf&gt;WU&lt;/inf&gt; (r decreased from 0.84 to 0.80) and archPWV&lt;inf&gt;F&lt;/inf&gt; (r decreased from 0.63 to 0.51) with age, it induced a major decrease for the archPWV&lt;inf&gt;TU&lt;/inf&gt; age relationship (r decreased from 0.74 to 0.38). Conclusions: By CMR, measurement of aortic arch flow TT using systolic upslopes resulted in a better correlation with age and cfPWV, as compared to the Fourier-based approach applied on the entire cardiac cycle. Furthermore, methods based on harmonic decomposition were l…","author":[{"dropping-particle":"","family":"Bargiotas","given":"Ioannis","non-dropping-particle":"","parse-names":false,"suffix":""},{"dropping-particle":"","family":"Mousseaux","given":"Elie","non-dropping-particle":"","parse-names":false,"suffix":""},{"dropping-particle":"","family":"Yu","given":"Wen Chung","non-dropping-particle":"","parse-names":false,"suffix":""},{"dropping-particle":"","family":"Venkatesh","given":"Bharath Ambale","non-dropping-particle":"","parse-names":false,"suffix":""},{"dropping-particle":"","family":"Bollache","given":"Emilie","non-dropping-particle":"","parse-names":false,"suffix":""},{"dropping-particle":"","family":"Cesare","given":"Alain","non-dropping-particle":"De","parse-names":false,"suffix":""},{"dropping-particle":"","family":"Lima","given":"Joao A.C.","non-dropping-particle":"","parse-names":false,"suffix":""},{"dropping-particle":"","family":"Redheuil","given":"Alban","non-dropping-particle":"","parse-names":false,"suffix":""},{"dropping-particle":"","family":"Kachenoura","given":"Nadjia","non-dropping-particle":"","parse-names":false,"suffix":""}],"container-title":"Journal of Cardiovascular Magnetic Resonance","id":"ITEM-1","issue":"1","issued":{"date-parts":[["2015"]]},"page":"65","publisher":"Journal of Cardiovascular Magnetic Resonance","title":"Estimation of aortic pulse wave transit time in cardiovascular magnetic resonance using complex wavelet cross-spectrum analysis","type":"article-journal","volume":"17"},"uris":["http://www.mendeley.com/documents/?uuid=d60fb3de-9aa3-442c-9988-3f33359b5456"]}],"mendeley":{"formattedCitation":"(5)","plainTextFormattedCitation":"(5)","previouslyFormattedCitation":"(5)"},"properties":{"noteIndex":0},"schema":"https://github.com/citation-style-language/schema/raw/master/csl-citation.json"}</w:instrText>
      </w:r>
      <w:r w:rsidR="003A1BE9" w:rsidRPr="000220A2">
        <w:rPr>
          <w:rFonts w:cs="Arial"/>
          <w:szCs w:val="24"/>
          <w:lang w:val="en-US"/>
        </w:rPr>
        <w:fldChar w:fldCharType="separate"/>
      </w:r>
      <w:r w:rsidR="000C2481" w:rsidRPr="000220A2">
        <w:rPr>
          <w:rFonts w:cs="Arial"/>
          <w:noProof/>
          <w:szCs w:val="24"/>
          <w:lang w:val="en-US"/>
        </w:rPr>
        <w:t>(5)</w:t>
      </w:r>
      <w:r w:rsidR="003A1BE9" w:rsidRPr="000220A2">
        <w:rPr>
          <w:rFonts w:cs="Arial"/>
          <w:szCs w:val="24"/>
          <w:lang w:val="en-US"/>
        </w:rPr>
        <w:fldChar w:fldCharType="end"/>
      </w:r>
      <w:r w:rsidR="003A1BE9" w:rsidRPr="000220A2">
        <w:rPr>
          <w:rFonts w:cs="Arial"/>
          <w:szCs w:val="24"/>
          <w:lang w:val="en-US"/>
        </w:rPr>
        <w:t>. The method consists of applying w</w:t>
      </w:r>
      <w:r w:rsidR="003A1BE9" w:rsidRPr="000220A2">
        <w:rPr>
          <w:rFonts w:cstheme="minorHAnsi"/>
          <w:lang w:val="en-US"/>
        </w:rPr>
        <w:t xml:space="preserve">avelet analysis to the upslope part of each velocity waveform, obtaining a spectral discretization of the main components. Comparing two waveforms pertaining to different locations provides a distribution of the time lag of each frequency component, here limited to those with frequencies &lt;10Hz. This spectral distribution is later averaged considering </w:t>
      </w:r>
      <w:r w:rsidR="00261BAC" w:rsidRPr="000220A2">
        <w:rPr>
          <w:rFonts w:cstheme="minorHAnsi"/>
          <w:lang w:val="en-US"/>
        </w:rPr>
        <w:t xml:space="preserve">as weight </w:t>
      </w:r>
      <w:r w:rsidR="003A1BE9" w:rsidRPr="000220A2">
        <w:rPr>
          <w:rFonts w:cstheme="minorHAnsi"/>
          <w:lang w:val="en-US"/>
        </w:rPr>
        <w:t>the magnitude of each frequency component to obtain a unique value for transit time between the two waveforms. Starting from beginning of the analyzed region, each waveform was compared to the adjacent one</w:t>
      </w:r>
      <w:r w:rsidR="003A1BE9" w:rsidRPr="000220A2">
        <w:rPr>
          <w:rFonts w:cs="Arial"/>
          <w:szCs w:val="24"/>
          <w:lang w:val="en-US"/>
        </w:rPr>
        <w:t>. The slope of the best fit line relating cumulative distance and cumulative sum of travelling times (i.e. PWV) was extracted</w:t>
      </w:r>
      <w:r w:rsidR="00261BAC" w:rsidRPr="000220A2">
        <w:rPr>
          <w:rFonts w:cs="Arial"/>
          <w:szCs w:val="24"/>
          <w:lang w:val="en-US"/>
        </w:rPr>
        <w:t>.</w:t>
      </w:r>
    </w:p>
    <w:p w14:paraId="37B02D84" w14:textId="77777777" w:rsidR="006742BB" w:rsidRPr="000220A2" w:rsidRDefault="006742BB" w:rsidP="003E461A">
      <w:pPr>
        <w:spacing w:line="480" w:lineRule="auto"/>
        <w:jc w:val="both"/>
        <w:rPr>
          <w:rFonts w:cstheme="minorHAnsi"/>
          <w:color w:val="000000"/>
          <w:lang w:val="en-US"/>
        </w:rPr>
      </w:pPr>
    </w:p>
    <w:p w14:paraId="03BA6078" w14:textId="5D9D2EF9" w:rsidR="00E94543" w:rsidRPr="000220A2" w:rsidRDefault="00E94543" w:rsidP="00E94543">
      <w:pPr>
        <w:spacing w:line="480" w:lineRule="auto"/>
        <w:rPr>
          <w:rFonts w:cstheme="minorHAnsi"/>
          <w:b/>
          <w:sz w:val="24"/>
          <w:lang w:val="en-US"/>
        </w:rPr>
      </w:pPr>
      <w:r w:rsidRPr="000220A2">
        <w:rPr>
          <w:rFonts w:cstheme="minorHAnsi"/>
          <w:b/>
          <w:sz w:val="24"/>
          <w:lang w:val="en-US"/>
        </w:rPr>
        <w:t xml:space="preserve">3. Inter- and intra-observer variability of </w:t>
      </w:r>
      <w:r w:rsidR="006141A0" w:rsidRPr="000220A2">
        <w:rPr>
          <w:rFonts w:cstheme="minorHAnsi"/>
          <w:b/>
          <w:sz w:val="24"/>
          <w:lang w:val="en-US"/>
        </w:rPr>
        <w:t>flow descriptors</w:t>
      </w:r>
    </w:p>
    <w:p w14:paraId="721FEDA1" w14:textId="351FE359" w:rsidR="00B12EBF" w:rsidRPr="000220A2" w:rsidRDefault="00B12EBF" w:rsidP="00C31559">
      <w:pPr>
        <w:spacing w:line="480" w:lineRule="auto"/>
        <w:ind w:firstLine="708"/>
        <w:jc w:val="both"/>
        <w:rPr>
          <w:lang w:val="en-US"/>
        </w:rPr>
      </w:pPr>
      <w:r w:rsidRPr="000220A2">
        <w:rPr>
          <w:lang w:val="en-US"/>
        </w:rPr>
        <w:t>Intra-observer and inter-observer variability of the different flow descriptors was assessed in a subset of 20 randomly selected patients (10 patients for each analysis), comparing the different measurements in each plane or sub volume of the descending aorta.</w:t>
      </w:r>
      <w:r w:rsidR="0016497C" w:rsidRPr="000220A2">
        <w:rPr>
          <w:rFonts w:asciiTheme="majorHAnsi" w:eastAsia="Times New Roman" w:hAnsiTheme="majorHAnsi" w:cstheme="majorHAnsi"/>
          <w:i/>
          <w:lang w:val="en-GB"/>
        </w:rPr>
        <w:t xml:space="preserve"> </w:t>
      </w:r>
      <w:r w:rsidR="0016497C" w:rsidRPr="000220A2">
        <w:rPr>
          <w:lang w:val="en-US"/>
        </w:rPr>
        <w:t xml:space="preserve">The inter-observer and intra-observer reproducibility for flow descriptors were evaluated using </w:t>
      </w:r>
      <w:r w:rsidR="0016497C" w:rsidRPr="000220A2">
        <w:rPr>
          <w:lang w:val="en-US"/>
        </w:rPr>
        <w:lastRenderedPageBreak/>
        <w:t xml:space="preserve">correlation and Bland-Altman plots, Pearson correlation coefficient (R) and intra-class correlation coefficients (ICC) (average measures, two-way mixed, absolute agreement). </w:t>
      </w:r>
    </w:p>
    <w:p w14:paraId="6820AE29" w14:textId="148D86ED" w:rsidR="00E04AEA" w:rsidRPr="000220A2" w:rsidRDefault="0034146E" w:rsidP="00AD5ED5">
      <w:pPr>
        <w:spacing w:line="480" w:lineRule="auto"/>
        <w:ind w:firstLine="708"/>
        <w:jc w:val="both"/>
        <w:rPr>
          <w:lang w:val="en-US"/>
        </w:rPr>
      </w:pPr>
      <w:r w:rsidRPr="000220A2">
        <w:rPr>
          <w:lang w:val="en-US"/>
        </w:rPr>
        <w:t>The inter-observer reproduci</w:t>
      </w:r>
      <w:r w:rsidR="007C543D" w:rsidRPr="000220A2">
        <w:rPr>
          <w:lang w:val="en-US"/>
        </w:rPr>
        <w:t>bility was assessed with flow data measured by</w:t>
      </w:r>
      <w:r w:rsidRPr="000220A2">
        <w:rPr>
          <w:lang w:val="en-US"/>
        </w:rPr>
        <w:t xml:space="preserve"> two different observers (Observer 1 and Observer 2)</w:t>
      </w:r>
      <w:r w:rsidR="00C6569E" w:rsidRPr="000220A2">
        <w:rPr>
          <w:lang w:val="en-US"/>
        </w:rPr>
        <w:t xml:space="preserve"> in 10 patients. To this aim, each observer segmented the aorta and located the anatomical landmarks as described in Methods. The observers were blinded to </w:t>
      </w:r>
      <w:r w:rsidR="00057329" w:rsidRPr="000220A2">
        <w:rPr>
          <w:lang w:val="en-US"/>
        </w:rPr>
        <w:t>each other’s</w:t>
      </w:r>
      <w:r w:rsidR="00E04AEA" w:rsidRPr="000220A2">
        <w:rPr>
          <w:lang w:val="en-US"/>
        </w:rPr>
        <w:t>’</w:t>
      </w:r>
      <w:r w:rsidR="00057329" w:rsidRPr="000220A2">
        <w:rPr>
          <w:lang w:val="en-US"/>
        </w:rPr>
        <w:t xml:space="preserve"> results</w:t>
      </w:r>
      <w:r w:rsidR="00C6569E" w:rsidRPr="000220A2">
        <w:rPr>
          <w:lang w:val="en-US"/>
        </w:rPr>
        <w:t>.</w:t>
      </w:r>
      <w:r w:rsidR="0016497C" w:rsidRPr="000220A2">
        <w:rPr>
          <w:lang w:val="en-US"/>
        </w:rPr>
        <w:t xml:space="preserve"> </w:t>
      </w:r>
      <w:r w:rsidR="00C31559" w:rsidRPr="000220A2">
        <w:rPr>
          <w:lang w:val="en-US"/>
        </w:rPr>
        <w:t>For the</w:t>
      </w:r>
      <w:r w:rsidRPr="000220A2">
        <w:rPr>
          <w:lang w:val="en-US"/>
        </w:rPr>
        <w:t xml:space="preserve"> intra-observer variability</w:t>
      </w:r>
      <w:r w:rsidR="00E04AEA" w:rsidRPr="000220A2">
        <w:rPr>
          <w:lang w:val="en-US"/>
        </w:rPr>
        <w:t>, Observer 1 segmented the aorta and located the anatomical landmarks twice</w:t>
      </w:r>
      <w:r w:rsidR="00C00809" w:rsidRPr="000220A2">
        <w:rPr>
          <w:lang w:val="en-US"/>
        </w:rPr>
        <w:t xml:space="preserve"> in 10 patients</w:t>
      </w:r>
      <w:r w:rsidR="00E04AEA" w:rsidRPr="000220A2">
        <w:rPr>
          <w:lang w:val="en-US"/>
        </w:rPr>
        <w:t>.</w:t>
      </w:r>
      <w:r w:rsidR="00057329" w:rsidRPr="000220A2">
        <w:rPr>
          <w:lang w:val="en-US"/>
        </w:rPr>
        <w:t xml:space="preserve"> </w:t>
      </w:r>
      <w:r w:rsidR="00E04AEA" w:rsidRPr="000220A2">
        <w:rPr>
          <w:lang w:val="en-US"/>
        </w:rPr>
        <w:t xml:space="preserve"> A minimum of </w:t>
      </w:r>
      <w:r w:rsidR="00C00809" w:rsidRPr="000220A2">
        <w:rPr>
          <w:lang w:val="en-US"/>
        </w:rPr>
        <w:t>12</w:t>
      </w:r>
      <w:r w:rsidR="00E04AEA" w:rsidRPr="000220A2">
        <w:rPr>
          <w:lang w:val="en-US"/>
        </w:rPr>
        <w:t xml:space="preserve"> months </w:t>
      </w:r>
      <w:r w:rsidR="00C00809" w:rsidRPr="000220A2">
        <w:rPr>
          <w:lang w:val="en-US"/>
        </w:rPr>
        <w:t>elapsed</w:t>
      </w:r>
      <w:r w:rsidR="00E04AEA" w:rsidRPr="000220A2">
        <w:rPr>
          <w:lang w:val="en-US"/>
        </w:rPr>
        <w:t xml:space="preserve"> between </w:t>
      </w:r>
      <w:r w:rsidR="00C00809" w:rsidRPr="000220A2">
        <w:rPr>
          <w:lang w:val="en-US"/>
        </w:rPr>
        <w:t>the two sets of measurements of the observer, who was blinded to previous results.</w:t>
      </w:r>
    </w:p>
    <w:p w14:paraId="345639F8" w14:textId="697A6B34" w:rsidR="0034146E" w:rsidRPr="000220A2" w:rsidRDefault="00E94543" w:rsidP="0034146E">
      <w:pPr>
        <w:spacing w:line="480" w:lineRule="auto"/>
        <w:ind w:firstLine="708"/>
        <w:jc w:val="both"/>
        <w:rPr>
          <w:szCs w:val="24"/>
          <w:lang w:val="en-US"/>
        </w:rPr>
      </w:pPr>
      <w:r w:rsidRPr="000220A2">
        <w:rPr>
          <w:rFonts w:cstheme="minorHAnsi"/>
          <w:color w:val="000000"/>
          <w:lang w:val="en-US"/>
        </w:rPr>
        <w:t>Inter-observer variability for the flow parameters in the false l</w:t>
      </w:r>
      <w:r w:rsidR="0034474E" w:rsidRPr="000220A2">
        <w:rPr>
          <w:rFonts w:cstheme="minorHAnsi"/>
          <w:color w:val="000000"/>
          <w:lang w:val="en-US"/>
        </w:rPr>
        <w:t xml:space="preserve">umen is shown in Figure S2, </w:t>
      </w:r>
      <w:r w:rsidRPr="000220A2">
        <w:rPr>
          <w:rFonts w:cstheme="minorHAnsi"/>
          <w:color w:val="000000"/>
          <w:lang w:val="en-US"/>
        </w:rPr>
        <w:t>S3</w:t>
      </w:r>
      <w:r w:rsidR="0034474E" w:rsidRPr="000220A2">
        <w:rPr>
          <w:rFonts w:cstheme="minorHAnsi"/>
          <w:color w:val="000000"/>
          <w:lang w:val="en-US"/>
        </w:rPr>
        <w:t xml:space="preserve"> and S4</w:t>
      </w:r>
      <w:r w:rsidRPr="000220A2">
        <w:rPr>
          <w:rFonts w:cstheme="minorHAnsi"/>
          <w:color w:val="000000"/>
          <w:lang w:val="en-US"/>
        </w:rPr>
        <w:t xml:space="preserve">. </w:t>
      </w:r>
      <w:r w:rsidR="0034146E" w:rsidRPr="000220A2">
        <w:rPr>
          <w:szCs w:val="24"/>
          <w:lang w:val="en-US"/>
        </w:rPr>
        <w:t>Inter-observer variability was good for retrograde systolic flow, retrograde flow fraction, IRF, WSS and KE (</w:t>
      </w:r>
      <w:r w:rsidR="00604A5E" w:rsidRPr="000220A2">
        <w:rPr>
          <w:szCs w:val="24"/>
          <w:lang w:val="en-US"/>
        </w:rPr>
        <w:t>ICC</w:t>
      </w:r>
      <w:r w:rsidR="0034146E" w:rsidRPr="000220A2">
        <w:rPr>
          <w:szCs w:val="24"/>
          <w:lang w:val="en-US"/>
        </w:rPr>
        <w:t xml:space="preserve"> </w:t>
      </w:r>
      <w:r w:rsidR="00604A5E" w:rsidRPr="000220A2">
        <w:rPr>
          <w:szCs w:val="24"/>
          <w:lang w:val="en-US"/>
        </w:rPr>
        <w:t>&gt;</w:t>
      </w:r>
      <w:r w:rsidR="0034146E" w:rsidRPr="000220A2">
        <w:rPr>
          <w:szCs w:val="24"/>
          <w:lang w:val="en-US"/>
        </w:rPr>
        <w:t xml:space="preserve">0.75 and </w:t>
      </w:r>
      <w:r w:rsidR="00604A5E" w:rsidRPr="000220A2">
        <w:rPr>
          <w:szCs w:val="24"/>
          <w:lang w:val="en-US"/>
        </w:rPr>
        <w:t>&lt;</w:t>
      </w:r>
      <w:r w:rsidR="0034146E" w:rsidRPr="000220A2">
        <w:rPr>
          <w:szCs w:val="24"/>
          <w:lang w:val="en-US"/>
        </w:rPr>
        <w:t>0.90) and excellent for retrograde diastolic flow and flow stasis (ICC&gt;</w:t>
      </w:r>
      <w:r w:rsidR="00604A5E" w:rsidRPr="000220A2">
        <w:rPr>
          <w:szCs w:val="24"/>
          <w:lang w:val="en-US"/>
        </w:rPr>
        <w:t>=</w:t>
      </w:r>
      <w:r w:rsidR="0034146E" w:rsidRPr="000220A2">
        <w:rPr>
          <w:szCs w:val="24"/>
          <w:lang w:val="en-US"/>
        </w:rPr>
        <w:t xml:space="preserve">0.90) (Table S1). Pearson correlation coefficients between data of Observer 1 and data of Observer 2 were &gt;0.70 for all flow descriptors (Figures S2-S4). </w:t>
      </w:r>
    </w:p>
    <w:p w14:paraId="66A31E26" w14:textId="6B94C0A0" w:rsidR="0034146E" w:rsidRPr="000220A2" w:rsidRDefault="0034146E" w:rsidP="0034146E">
      <w:pPr>
        <w:spacing w:line="480" w:lineRule="auto"/>
        <w:ind w:firstLine="708"/>
        <w:jc w:val="both"/>
        <w:rPr>
          <w:szCs w:val="24"/>
          <w:lang w:val="en-US"/>
        </w:rPr>
      </w:pPr>
      <w:r w:rsidRPr="000220A2">
        <w:rPr>
          <w:szCs w:val="24"/>
          <w:lang w:val="en-US"/>
        </w:rPr>
        <w:t xml:space="preserve">Intra-observer variability </w:t>
      </w:r>
      <w:r w:rsidRPr="000220A2">
        <w:rPr>
          <w:rFonts w:cstheme="minorHAnsi"/>
          <w:color w:val="000000"/>
          <w:lang w:val="en-US"/>
        </w:rPr>
        <w:t xml:space="preserve">is presented in Figures S5, S6 and S7.  Most of the flow descriptors showed an ICC&gt;0.75 </w:t>
      </w:r>
      <w:r w:rsidR="00604A5E" w:rsidRPr="000220A2">
        <w:rPr>
          <w:rFonts w:cstheme="minorHAnsi"/>
          <w:color w:val="000000"/>
          <w:lang w:val="en-US"/>
        </w:rPr>
        <w:t xml:space="preserve">and correlation coefficients &gt;0.75 </w:t>
      </w:r>
      <w:r w:rsidRPr="000220A2">
        <w:rPr>
          <w:rFonts w:cstheme="minorHAnsi"/>
          <w:color w:val="000000"/>
          <w:lang w:val="en-US"/>
        </w:rPr>
        <w:t>for the two sets of data of the Observer 1. Larger mean differences and limits of agreement for retrograde flows and IRF</w:t>
      </w:r>
      <w:r w:rsidR="0094601A" w:rsidRPr="000220A2">
        <w:rPr>
          <w:rFonts w:cstheme="minorHAnsi"/>
          <w:color w:val="000000"/>
          <w:lang w:val="en-US"/>
        </w:rPr>
        <w:t xml:space="preserve"> were found in the inter</w:t>
      </w:r>
      <w:r w:rsidRPr="000220A2">
        <w:rPr>
          <w:rFonts w:cstheme="minorHAnsi"/>
          <w:color w:val="000000"/>
          <w:lang w:val="en-US"/>
        </w:rPr>
        <w:t xml:space="preserve">-observer variability </w:t>
      </w:r>
      <w:r w:rsidR="0094601A" w:rsidRPr="000220A2">
        <w:rPr>
          <w:rFonts w:cstheme="minorHAnsi"/>
          <w:color w:val="000000"/>
          <w:lang w:val="en-US"/>
        </w:rPr>
        <w:t>analysis compared to the int</w:t>
      </w:r>
      <w:r w:rsidRPr="000220A2">
        <w:rPr>
          <w:rFonts w:cstheme="minorHAnsi"/>
          <w:color w:val="000000"/>
          <w:lang w:val="en-US"/>
        </w:rPr>
        <w:t>r</w:t>
      </w:r>
      <w:r w:rsidR="0094601A" w:rsidRPr="000220A2">
        <w:rPr>
          <w:rFonts w:cstheme="minorHAnsi"/>
          <w:color w:val="000000"/>
          <w:lang w:val="en-US"/>
        </w:rPr>
        <w:t>a</w:t>
      </w:r>
      <w:r w:rsidRPr="000220A2">
        <w:rPr>
          <w:rFonts w:cstheme="minorHAnsi"/>
          <w:color w:val="000000"/>
          <w:lang w:val="en-US"/>
        </w:rPr>
        <w:t>-observer variability</w:t>
      </w:r>
      <w:r w:rsidR="0094601A" w:rsidRPr="000220A2">
        <w:rPr>
          <w:rFonts w:cstheme="minorHAnsi"/>
          <w:color w:val="000000"/>
          <w:lang w:val="en-US"/>
        </w:rPr>
        <w:t xml:space="preserve"> analysis (Table S1)</w:t>
      </w:r>
      <w:r w:rsidRPr="000220A2">
        <w:rPr>
          <w:rFonts w:cstheme="minorHAnsi"/>
          <w:color w:val="000000"/>
          <w:lang w:val="en-US"/>
        </w:rPr>
        <w:t xml:space="preserve">. </w:t>
      </w:r>
    </w:p>
    <w:p w14:paraId="22E202B3" w14:textId="54D00820" w:rsidR="00E94543" w:rsidRPr="000220A2" w:rsidRDefault="00E94543" w:rsidP="00AD5ED5">
      <w:pPr>
        <w:spacing w:line="480" w:lineRule="auto"/>
        <w:ind w:firstLine="708"/>
        <w:jc w:val="both"/>
        <w:rPr>
          <w:rFonts w:cstheme="minorHAnsi"/>
          <w:color w:val="000000"/>
          <w:lang w:val="en-US"/>
        </w:rPr>
      </w:pPr>
    </w:p>
    <w:p w14:paraId="48C82803" w14:textId="77777777" w:rsidR="0094601A" w:rsidRPr="000220A2" w:rsidRDefault="0094601A" w:rsidP="00AD5ED5">
      <w:pPr>
        <w:spacing w:line="480" w:lineRule="auto"/>
        <w:ind w:firstLine="708"/>
        <w:jc w:val="both"/>
        <w:rPr>
          <w:rFonts w:cstheme="minorHAnsi"/>
          <w:color w:val="000000"/>
          <w:lang w:val="en-US"/>
        </w:rPr>
      </w:pPr>
    </w:p>
    <w:p w14:paraId="147DE607" w14:textId="77777777" w:rsidR="00C31559" w:rsidRPr="000220A2" w:rsidRDefault="00C31559" w:rsidP="00AD5ED5">
      <w:pPr>
        <w:spacing w:line="480" w:lineRule="auto"/>
        <w:ind w:firstLine="708"/>
        <w:jc w:val="both"/>
        <w:rPr>
          <w:rFonts w:cstheme="minorHAnsi"/>
          <w:color w:val="000000"/>
          <w:lang w:val="en-US"/>
        </w:rPr>
      </w:pPr>
    </w:p>
    <w:p w14:paraId="41B3D1DB" w14:textId="77777777" w:rsidR="0094601A" w:rsidRPr="000220A2" w:rsidRDefault="0094601A" w:rsidP="00AD5ED5">
      <w:pPr>
        <w:spacing w:line="480" w:lineRule="auto"/>
        <w:ind w:firstLine="708"/>
        <w:jc w:val="both"/>
        <w:rPr>
          <w:rFonts w:cstheme="minorHAnsi"/>
          <w:color w:val="000000"/>
          <w:lang w:val="en-US"/>
        </w:rPr>
      </w:pPr>
    </w:p>
    <w:p w14:paraId="6E53EC11" w14:textId="43357B09" w:rsidR="00E94543" w:rsidRPr="000220A2" w:rsidRDefault="00E94543" w:rsidP="00E94543">
      <w:pPr>
        <w:spacing w:line="480" w:lineRule="auto"/>
        <w:jc w:val="both"/>
        <w:rPr>
          <w:rFonts w:cstheme="minorHAnsi"/>
          <w:b/>
          <w:color w:val="000000"/>
          <w:sz w:val="36"/>
          <w:lang w:val="en-US"/>
        </w:rPr>
      </w:pPr>
      <w:r w:rsidRPr="000220A2">
        <w:rPr>
          <w:rFonts w:cstheme="minorHAnsi"/>
          <w:b/>
          <w:color w:val="000000"/>
          <w:sz w:val="36"/>
          <w:lang w:val="en-US"/>
        </w:rPr>
        <w:lastRenderedPageBreak/>
        <w:t>TABLES</w:t>
      </w:r>
    </w:p>
    <w:p w14:paraId="24B08300" w14:textId="77777777" w:rsidR="00E94543" w:rsidRPr="000220A2" w:rsidRDefault="00E94543" w:rsidP="00E94543">
      <w:pPr>
        <w:spacing w:line="480" w:lineRule="auto"/>
        <w:rPr>
          <w:rFonts w:cstheme="minorHAnsi"/>
          <w:color w:val="000000"/>
          <w:lang w:val="en-US"/>
        </w:rPr>
      </w:pPr>
    </w:p>
    <w:tbl>
      <w:tblPr>
        <w:tblStyle w:val="TableGrid"/>
        <w:tblW w:w="9106" w:type="dxa"/>
        <w:tblLayout w:type="fixed"/>
        <w:tblLook w:val="04A0" w:firstRow="1" w:lastRow="0" w:firstColumn="1" w:lastColumn="0" w:noHBand="0" w:noVBand="1"/>
      </w:tblPr>
      <w:tblGrid>
        <w:gridCol w:w="1980"/>
        <w:gridCol w:w="2551"/>
        <w:gridCol w:w="1042"/>
        <w:gridCol w:w="2502"/>
        <w:gridCol w:w="1031"/>
      </w:tblGrid>
      <w:tr w:rsidR="00AA2DA8" w:rsidRPr="000220A2" w14:paraId="4E4C2257" w14:textId="77777777" w:rsidTr="00AA2DA8">
        <w:trPr>
          <w:trHeight w:val="593"/>
        </w:trPr>
        <w:tc>
          <w:tcPr>
            <w:tcW w:w="9106" w:type="dxa"/>
            <w:gridSpan w:val="5"/>
          </w:tcPr>
          <w:p w14:paraId="7D26A31A" w14:textId="7D139A24" w:rsidR="00AA2DA8" w:rsidRPr="000220A2" w:rsidRDefault="00AA2DA8" w:rsidP="00796524">
            <w:pPr>
              <w:spacing w:line="480" w:lineRule="auto"/>
              <w:rPr>
                <w:rFonts w:cstheme="minorHAnsi"/>
                <w:b/>
                <w:sz w:val="24"/>
                <w:lang w:val="en-US"/>
              </w:rPr>
            </w:pPr>
            <w:r w:rsidRPr="000220A2">
              <w:rPr>
                <w:rFonts w:cstheme="minorHAnsi"/>
                <w:b/>
                <w:sz w:val="24"/>
                <w:lang w:val="en-US"/>
              </w:rPr>
              <w:t>Table S1. Inter- and intra-observer reproducibility of flow dynamic parameters.</w:t>
            </w:r>
          </w:p>
        </w:tc>
      </w:tr>
      <w:tr w:rsidR="00AA2DA8" w:rsidRPr="000220A2" w14:paraId="1ECABC78" w14:textId="77777777" w:rsidTr="00AA2DA8">
        <w:trPr>
          <w:trHeight w:val="593"/>
        </w:trPr>
        <w:tc>
          <w:tcPr>
            <w:tcW w:w="1980" w:type="dxa"/>
            <w:vMerge w:val="restart"/>
            <w:vAlign w:val="center"/>
          </w:tcPr>
          <w:p w14:paraId="59CE5439" w14:textId="77777777" w:rsidR="00AA2DA8" w:rsidRPr="000220A2" w:rsidRDefault="00AA2DA8" w:rsidP="0045726A">
            <w:pPr>
              <w:spacing w:line="480" w:lineRule="auto"/>
              <w:jc w:val="center"/>
              <w:rPr>
                <w:rFonts w:cstheme="minorHAnsi"/>
                <w:b/>
                <w:sz w:val="24"/>
                <w:lang w:val="en-US"/>
              </w:rPr>
            </w:pPr>
          </w:p>
        </w:tc>
        <w:tc>
          <w:tcPr>
            <w:tcW w:w="3593" w:type="dxa"/>
            <w:gridSpan w:val="2"/>
            <w:vAlign w:val="center"/>
          </w:tcPr>
          <w:p w14:paraId="170E0958" w14:textId="45DA9002" w:rsidR="00AA2DA8" w:rsidRPr="000220A2" w:rsidRDefault="00AA2DA8" w:rsidP="0045726A">
            <w:pPr>
              <w:jc w:val="center"/>
              <w:rPr>
                <w:rFonts w:cstheme="minorHAnsi"/>
                <w:b/>
                <w:sz w:val="24"/>
                <w:lang w:val="en-US"/>
              </w:rPr>
            </w:pPr>
            <w:r w:rsidRPr="000220A2">
              <w:rPr>
                <w:rFonts w:cstheme="minorHAnsi"/>
                <w:b/>
                <w:sz w:val="24"/>
                <w:lang w:val="en-US"/>
              </w:rPr>
              <w:t>Inter-observer variability</w:t>
            </w:r>
          </w:p>
        </w:tc>
        <w:tc>
          <w:tcPr>
            <w:tcW w:w="3533" w:type="dxa"/>
            <w:gridSpan w:val="2"/>
            <w:vAlign w:val="center"/>
          </w:tcPr>
          <w:p w14:paraId="21CBB425" w14:textId="3BB6CB03" w:rsidR="00AA2DA8" w:rsidRPr="000220A2" w:rsidRDefault="00AA2DA8" w:rsidP="00AA2DA8">
            <w:pPr>
              <w:jc w:val="center"/>
              <w:rPr>
                <w:rFonts w:cstheme="minorHAnsi"/>
                <w:b/>
                <w:sz w:val="24"/>
                <w:lang w:val="en-US"/>
              </w:rPr>
            </w:pPr>
            <w:r w:rsidRPr="000220A2">
              <w:rPr>
                <w:rFonts w:cstheme="minorHAnsi"/>
                <w:b/>
                <w:sz w:val="24"/>
                <w:lang w:val="en-US"/>
              </w:rPr>
              <w:t>Intra-observer variability</w:t>
            </w:r>
          </w:p>
        </w:tc>
      </w:tr>
      <w:tr w:rsidR="00AA2DA8" w:rsidRPr="000220A2" w14:paraId="5E7CABA1" w14:textId="77777777" w:rsidTr="00AA2DA8">
        <w:trPr>
          <w:trHeight w:val="593"/>
        </w:trPr>
        <w:tc>
          <w:tcPr>
            <w:tcW w:w="1980" w:type="dxa"/>
            <w:vMerge/>
            <w:vAlign w:val="center"/>
          </w:tcPr>
          <w:p w14:paraId="5CF5EAD6" w14:textId="77777777" w:rsidR="00AA2DA8" w:rsidRPr="000220A2" w:rsidRDefault="00AA2DA8" w:rsidP="0045726A">
            <w:pPr>
              <w:spacing w:line="480" w:lineRule="auto"/>
              <w:jc w:val="center"/>
              <w:rPr>
                <w:rFonts w:cstheme="minorHAnsi"/>
                <w:b/>
                <w:sz w:val="24"/>
                <w:lang w:val="en-US"/>
              </w:rPr>
            </w:pPr>
          </w:p>
        </w:tc>
        <w:tc>
          <w:tcPr>
            <w:tcW w:w="2551" w:type="dxa"/>
            <w:vAlign w:val="center"/>
          </w:tcPr>
          <w:p w14:paraId="613EF1DA" w14:textId="5E091499" w:rsidR="00AA2DA8" w:rsidRPr="000220A2" w:rsidRDefault="00AA2DA8" w:rsidP="0045726A">
            <w:pPr>
              <w:jc w:val="center"/>
              <w:rPr>
                <w:rFonts w:cstheme="minorHAnsi"/>
                <w:sz w:val="24"/>
                <w:lang w:val="en-US"/>
              </w:rPr>
            </w:pPr>
            <w:r w:rsidRPr="000220A2">
              <w:rPr>
                <w:rFonts w:cstheme="minorHAnsi"/>
                <w:sz w:val="24"/>
                <w:lang w:val="en-US"/>
              </w:rPr>
              <w:t>Mean difference (LOA)</w:t>
            </w:r>
          </w:p>
        </w:tc>
        <w:tc>
          <w:tcPr>
            <w:tcW w:w="1042" w:type="dxa"/>
            <w:vAlign w:val="center"/>
          </w:tcPr>
          <w:p w14:paraId="7BD28D33" w14:textId="7F51D861" w:rsidR="00AA2DA8" w:rsidRPr="000220A2" w:rsidRDefault="00AA2DA8" w:rsidP="00AA2DA8">
            <w:pPr>
              <w:jc w:val="center"/>
              <w:rPr>
                <w:rFonts w:cstheme="minorHAnsi"/>
                <w:sz w:val="24"/>
                <w:lang w:val="en-US"/>
              </w:rPr>
            </w:pPr>
            <w:r w:rsidRPr="000220A2">
              <w:rPr>
                <w:rFonts w:cstheme="minorHAnsi"/>
                <w:sz w:val="24"/>
                <w:lang w:val="en-US"/>
              </w:rPr>
              <w:t>ICC</w:t>
            </w:r>
          </w:p>
        </w:tc>
        <w:tc>
          <w:tcPr>
            <w:tcW w:w="2502" w:type="dxa"/>
            <w:vAlign w:val="center"/>
          </w:tcPr>
          <w:p w14:paraId="7DA7F6D5" w14:textId="0F32B5A8" w:rsidR="00AA2DA8" w:rsidRPr="000220A2" w:rsidRDefault="00AA2DA8" w:rsidP="00AA2DA8">
            <w:pPr>
              <w:jc w:val="center"/>
              <w:rPr>
                <w:rFonts w:cstheme="minorHAnsi"/>
                <w:sz w:val="24"/>
                <w:lang w:val="en-US"/>
              </w:rPr>
            </w:pPr>
            <w:r w:rsidRPr="000220A2">
              <w:rPr>
                <w:rFonts w:cstheme="minorHAnsi"/>
                <w:sz w:val="24"/>
                <w:lang w:val="en-US"/>
              </w:rPr>
              <w:t>Mean difference (LOA)</w:t>
            </w:r>
          </w:p>
        </w:tc>
        <w:tc>
          <w:tcPr>
            <w:tcW w:w="1031" w:type="dxa"/>
            <w:vAlign w:val="center"/>
          </w:tcPr>
          <w:p w14:paraId="46D1176E" w14:textId="276F991E" w:rsidR="00AA2DA8" w:rsidRPr="000220A2" w:rsidRDefault="00AA2DA8" w:rsidP="0045726A">
            <w:pPr>
              <w:jc w:val="center"/>
              <w:rPr>
                <w:rFonts w:cstheme="minorHAnsi"/>
                <w:sz w:val="24"/>
                <w:lang w:val="en-US"/>
              </w:rPr>
            </w:pPr>
            <w:r w:rsidRPr="000220A2">
              <w:rPr>
                <w:rFonts w:cstheme="minorHAnsi"/>
                <w:sz w:val="24"/>
                <w:lang w:val="en-US"/>
              </w:rPr>
              <w:t>ICC</w:t>
            </w:r>
          </w:p>
        </w:tc>
      </w:tr>
      <w:tr w:rsidR="00AA2DA8" w:rsidRPr="000220A2" w14:paraId="7A6EBE61" w14:textId="77777777" w:rsidTr="00AA2DA8">
        <w:trPr>
          <w:trHeight w:val="403"/>
        </w:trPr>
        <w:tc>
          <w:tcPr>
            <w:tcW w:w="1980" w:type="dxa"/>
            <w:vAlign w:val="center"/>
          </w:tcPr>
          <w:p w14:paraId="62AD16F1" w14:textId="087EDE01" w:rsidR="00AA2DA8" w:rsidRPr="000220A2" w:rsidRDefault="00AA2DA8" w:rsidP="0045726A">
            <w:pPr>
              <w:jc w:val="center"/>
              <w:rPr>
                <w:rFonts w:cstheme="minorHAnsi"/>
                <w:b/>
                <w:bCs/>
                <w:sz w:val="24"/>
                <w:lang w:val="en-US"/>
              </w:rPr>
            </w:pPr>
            <w:r w:rsidRPr="000220A2">
              <w:t>Maximum velocity [cm/s]</w:t>
            </w:r>
          </w:p>
        </w:tc>
        <w:tc>
          <w:tcPr>
            <w:tcW w:w="2551" w:type="dxa"/>
            <w:vAlign w:val="center"/>
          </w:tcPr>
          <w:p w14:paraId="2556031B" w14:textId="75F9EF5D" w:rsidR="00AA2DA8" w:rsidRPr="000220A2" w:rsidRDefault="00B8378F" w:rsidP="0045726A">
            <w:pPr>
              <w:jc w:val="center"/>
              <w:rPr>
                <w:rFonts w:cstheme="minorHAnsi"/>
                <w:sz w:val="24"/>
                <w:lang w:val="en-US"/>
              </w:rPr>
            </w:pPr>
            <w:r w:rsidRPr="000220A2">
              <w:rPr>
                <w:rFonts w:cstheme="minorHAnsi"/>
                <w:sz w:val="24"/>
                <w:lang w:val="en-US"/>
              </w:rPr>
              <w:t>-5.89 (-31.59, 19.81</w:t>
            </w:r>
            <w:r w:rsidR="00AA2DA8" w:rsidRPr="000220A2">
              <w:rPr>
                <w:rFonts w:cstheme="minorHAnsi"/>
                <w:sz w:val="24"/>
                <w:lang w:val="en-US"/>
              </w:rPr>
              <w:t>)</w:t>
            </w:r>
          </w:p>
        </w:tc>
        <w:tc>
          <w:tcPr>
            <w:tcW w:w="1042" w:type="dxa"/>
            <w:vAlign w:val="center"/>
          </w:tcPr>
          <w:p w14:paraId="5E842B06" w14:textId="7396627C" w:rsidR="00AA2DA8" w:rsidRPr="000220A2" w:rsidRDefault="00ED2194" w:rsidP="00AA2DA8">
            <w:pPr>
              <w:jc w:val="center"/>
              <w:rPr>
                <w:rFonts w:cstheme="minorHAnsi"/>
                <w:sz w:val="24"/>
                <w:lang w:val="en-US"/>
              </w:rPr>
            </w:pPr>
            <w:r w:rsidRPr="000220A2">
              <w:rPr>
                <w:rFonts w:cstheme="minorHAnsi"/>
                <w:sz w:val="24"/>
                <w:lang w:val="en-US"/>
              </w:rPr>
              <w:t>0.756</w:t>
            </w:r>
          </w:p>
        </w:tc>
        <w:tc>
          <w:tcPr>
            <w:tcW w:w="2502" w:type="dxa"/>
            <w:vAlign w:val="center"/>
          </w:tcPr>
          <w:p w14:paraId="5A1F3C14" w14:textId="0FA90639" w:rsidR="00AA2DA8" w:rsidRPr="000220A2" w:rsidRDefault="007258A8" w:rsidP="00AA2DA8">
            <w:pPr>
              <w:jc w:val="center"/>
              <w:rPr>
                <w:rFonts w:cstheme="minorHAnsi"/>
                <w:sz w:val="24"/>
                <w:lang w:val="en-US"/>
              </w:rPr>
            </w:pPr>
            <w:r w:rsidRPr="000220A2">
              <w:rPr>
                <w:rFonts w:cstheme="minorHAnsi"/>
                <w:sz w:val="24"/>
                <w:lang w:val="en-US"/>
              </w:rPr>
              <w:t>-4.60 (-24.82, 15.62)</w:t>
            </w:r>
          </w:p>
        </w:tc>
        <w:tc>
          <w:tcPr>
            <w:tcW w:w="1031" w:type="dxa"/>
            <w:vAlign w:val="center"/>
          </w:tcPr>
          <w:p w14:paraId="6FC1D755" w14:textId="62607938" w:rsidR="00AA2DA8" w:rsidRPr="000220A2" w:rsidRDefault="007258A8" w:rsidP="00AA2DA8">
            <w:pPr>
              <w:jc w:val="center"/>
              <w:rPr>
                <w:rFonts w:cstheme="minorHAnsi"/>
                <w:sz w:val="24"/>
                <w:lang w:val="en-US"/>
              </w:rPr>
            </w:pPr>
            <w:r w:rsidRPr="000220A2">
              <w:rPr>
                <w:rFonts w:cstheme="minorHAnsi"/>
                <w:sz w:val="24"/>
                <w:lang w:val="en-US"/>
              </w:rPr>
              <w:t>0.785</w:t>
            </w:r>
          </w:p>
        </w:tc>
      </w:tr>
      <w:tr w:rsidR="00AA2DA8" w:rsidRPr="000220A2" w14:paraId="5C194B94" w14:textId="77777777" w:rsidTr="00AA2DA8">
        <w:trPr>
          <w:trHeight w:val="403"/>
        </w:trPr>
        <w:tc>
          <w:tcPr>
            <w:tcW w:w="1980" w:type="dxa"/>
            <w:vAlign w:val="center"/>
          </w:tcPr>
          <w:p w14:paraId="5356DCFE" w14:textId="4DC81323" w:rsidR="00AA2DA8" w:rsidRPr="000220A2" w:rsidRDefault="00AA2DA8" w:rsidP="0045726A">
            <w:pPr>
              <w:jc w:val="center"/>
              <w:rPr>
                <w:lang w:val="en-US"/>
              </w:rPr>
            </w:pPr>
            <w:r w:rsidRPr="000220A2">
              <w:rPr>
                <w:lang w:val="en-US"/>
              </w:rPr>
              <w:t>Retrograde systolic flow [mL]</w:t>
            </w:r>
          </w:p>
        </w:tc>
        <w:tc>
          <w:tcPr>
            <w:tcW w:w="2551" w:type="dxa"/>
            <w:vAlign w:val="center"/>
          </w:tcPr>
          <w:p w14:paraId="4668EF83" w14:textId="6D97C56F" w:rsidR="00AA2DA8" w:rsidRPr="000220A2" w:rsidRDefault="00AA2DA8" w:rsidP="0045726A">
            <w:pPr>
              <w:jc w:val="center"/>
              <w:rPr>
                <w:rFonts w:cstheme="minorHAnsi"/>
                <w:sz w:val="24"/>
                <w:lang w:val="en-US"/>
              </w:rPr>
            </w:pPr>
            <w:r w:rsidRPr="000220A2">
              <w:rPr>
                <w:rFonts w:cstheme="minorHAnsi"/>
                <w:sz w:val="24"/>
                <w:lang w:val="en-US"/>
              </w:rPr>
              <w:t>-0.40 (-2.02, 1.21)</w:t>
            </w:r>
          </w:p>
        </w:tc>
        <w:tc>
          <w:tcPr>
            <w:tcW w:w="1042" w:type="dxa"/>
            <w:vAlign w:val="center"/>
          </w:tcPr>
          <w:p w14:paraId="5C7501EC" w14:textId="6B4D3637" w:rsidR="00AA2DA8" w:rsidRPr="000220A2" w:rsidRDefault="00ED2194" w:rsidP="00AA2DA8">
            <w:pPr>
              <w:jc w:val="center"/>
              <w:rPr>
                <w:rFonts w:cstheme="minorHAnsi"/>
                <w:sz w:val="24"/>
                <w:lang w:val="en-US"/>
              </w:rPr>
            </w:pPr>
            <w:r w:rsidRPr="000220A2">
              <w:rPr>
                <w:rFonts w:cstheme="minorHAnsi"/>
                <w:sz w:val="24"/>
                <w:lang w:val="en-US"/>
              </w:rPr>
              <w:t>0.757</w:t>
            </w:r>
          </w:p>
        </w:tc>
        <w:tc>
          <w:tcPr>
            <w:tcW w:w="2502" w:type="dxa"/>
            <w:vAlign w:val="center"/>
          </w:tcPr>
          <w:p w14:paraId="5FD7EE9C" w14:textId="047486C1" w:rsidR="00AA2DA8" w:rsidRPr="000220A2" w:rsidRDefault="007258A8" w:rsidP="00AA2DA8">
            <w:pPr>
              <w:jc w:val="center"/>
              <w:rPr>
                <w:rFonts w:cstheme="minorHAnsi"/>
                <w:sz w:val="24"/>
                <w:lang w:val="en-US"/>
              </w:rPr>
            </w:pPr>
            <w:r w:rsidRPr="000220A2">
              <w:rPr>
                <w:rFonts w:cstheme="minorHAnsi"/>
                <w:sz w:val="24"/>
                <w:lang w:val="en-US"/>
              </w:rPr>
              <w:t>-0.09 (</w:t>
            </w:r>
            <w:r w:rsidR="00A85062" w:rsidRPr="000220A2">
              <w:rPr>
                <w:rFonts w:cstheme="minorHAnsi"/>
                <w:sz w:val="24"/>
                <w:lang w:val="en-US"/>
              </w:rPr>
              <w:t>-1.14, 0.96</w:t>
            </w:r>
            <w:r w:rsidRPr="000220A2">
              <w:rPr>
                <w:rFonts w:cstheme="minorHAnsi"/>
                <w:sz w:val="24"/>
                <w:lang w:val="en-US"/>
              </w:rPr>
              <w:t>)</w:t>
            </w:r>
          </w:p>
        </w:tc>
        <w:tc>
          <w:tcPr>
            <w:tcW w:w="1031" w:type="dxa"/>
            <w:vAlign w:val="center"/>
          </w:tcPr>
          <w:p w14:paraId="42B95C5E" w14:textId="2A17423F" w:rsidR="00AA2DA8" w:rsidRPr="000220A2" w:rsidRDefault="007258A8" w:rsidP="00AA2DA8">
            <w:pPr>
              <w:jc w:val="center"/>
              <w:rPr>
                <w:rFonts w:cstheme="minorHAnsi"/>
                <w:sz w:val="24"/>
                <w:lang w:val="en-US"/>
              </w:rPr>
            </w:pPr>
            <w:r w:rsidRPr="000220A2">
              <w:rPr>
                <w:rFonts w:cstheme="minorHAnsi"/>
                <w:sz w:val="24"/>
                <w:lang w:val="en-US"/>
              </w:rPr>
              <w:t>0.715</w:t>
            </w:r>
          </w:p>
        </w:tc>
      </w:tr>
      <w:tr w:rsidR="00AA2DA8" w:rsidRPr="000220A2" w14:paraId="3FA9052B" w14:textId="77777777" w:rsidTr="00AA2DA8">
        <w:trPr>
          <w:trHeight w:val="403"/>
        </w:trPr>
        <w:tc>
          <w:tcPr>
            <w:tcW w:w="1980" w:type="dxa"/>
            <w:vAlign w:val="center"/>
          </w:tcPr>
          <w:p w14:paraId="058A7BAA" w14:textId="31C2C8E2" w:rsidR="00AA2DA8" w:rsidRPr="000220A2" w:rsidRDefault="00AA2DA8" w:rsidP="0045726A">
            <w:pPr>
              <w:jc w:val="center"/>
              <w:rPr>
                <w:rFonts w:cstheme="minorHAnsi"/>
                <w:b/>
                <w:sz w:val="24"/>
                <w:lang w:val="en-US"/>
              </w:rPr>
            </w:pPr>
            <w:r w:rsidRPr="000220A2">
              <w:rPr>
                <w:lang w:val="en-US"/>
              </w:rPr>
              <w:t>Retrograde diastolic flow  [mL]</w:t>
            </w:r>
          </w:p>
        </w:tc>
        <w:tc>
          <w:tcPr>
            <w:tcW w:w="2551" w:type="dxa"/>
            <w:vAlign w:val="center"/>
          </w:tcPr>
          <w:p w14:paraId="2CB6D5F1" w14:textId="6DE6DDC7" w:rsidR="00AA2DA8" w:rsidRPr="000220A2" w:rsidRDefault="00AA2DA8" w:rsidP="0045726A">
            <w:pPr>
              <w:jc w:val="center"/>
              <w:rPr>
                <w:rFonts w:cstheme="minorHAnsi"/>
                <w:sz w:val="24"/>
                <w:lang w:val="en-US"/>
              </w:rPr>
            </w:pPr>
            <w:r w:rsidRPr="000220A2">
              <w:rPr>
                <w:rFonts w:cstheme="minorHAnsi"/>
                <w:sz w:val="24"/>
                <w:lang w:val="en-US"/>
              </w:rPr>
              <w:t>-0.40 (-4.44, 3.63)</w:t>
            </w:r>
          </w:p>
        </w:tc>
        <w:tc>
          <w:tcPr>
            <w:tcW w:w="1042" w:type="dxa"/>
            <w:vAlign w:val="center"/>
          </w:tcPr>
          <w:p w14:paraId="5C577DFA" w14:textId="0C25CFE6" w:rsidR="00AA2DA8" w:rsidRPr="000220A2" w:rsidRDefault="00ED2194" w:rsidP="00AA2DA8">
            <w:pPr>
              <w:jc w:val="center"/>
              <w:rPr>
                <w:rFonts w:cstheme="minorHAnsi"/>
                <w:sz w:val="24"/>
                <w:lang w:val="en-US"/>
              </w:rPr>
            </w:pPr>
            <w:r w:rsidRPr="000220A2">
              <w:rPr>
                <w:rFonts w:cstheme="minorHAnsi"/>
                <w:sz w:val="24"/>
                <w:lang w:val="en-US"/>
              </w:rPr>
              <w:t>0.904</w:t>
            </w:r>
          </w:p>
        </w:tc>
        <w:tc>
          <w:tcPr>
            <w:tcW w:w="2502" w:type="dxa"/>
            <w:vAlign w:val="center"/>
          </w:tcPr>
          <w:p w14:paraId="15B51CCC" w14:textId="641AF930" w:rsidR="00AA2DA8" w:rsidRPr="000220A2" w:rsidRDefault="00A85062" w:rsidP="00AA2DA8">
            <w:pPr>
              <w:jc w:val="center"/>
              <w:rPr>
                <w:rFonts w:cstheme="minorHAnsi"/>
                <w:sz w:val="24"/>
                <w:lang w:val="en-US"/>
              </w:rPr>
            </w:pPr>
            <w:r w:rsidRPr="000220A2">
              <w:rPr>
                <w:rFonts w:cstheme="minorHAnsi"/>
                <w:sz w:val="24"/>
                <w:lang w:val="en-US"/>
              </w:rPr>
              <w:t>0.07 (-3.71, 3.85)</w:t>
            </w:r>
          </w:p>
        </w:tc>
        <w:tc>
          <w:tcPr>
            <w:tcW w:w="1031" w:type="dxa"/>
            <w:vAlign w:val="center"/>
          </w:tcPr>
          <w:p w14:paraId="7D3A4654" w14:textId="79D69926" w:rsidR="00AA2DA8" w:rsidRPr="000220A2" w:rsidRDefault="00A85062" w:rsidP="00AA2DA8">
            <w:pPr>
              <w:jc w:val="center"/>
              <w:rPr>
                <w:rFonts w:cstheme="minorHAnsi"/>
                <w:sz w:val="24"/>
                <w:lang w:val="en-US"/>
              </w:rPr>
            </w:pPr>
            <w:r w:rsidRPr="000220A2">
              <w:rPr>
                <w:rFonts w:cstheme="minorHAnsi"/>
                <w:sz w:val="24"/>
                <w:lang w:val="en-US"/>
              </w:rPr>
              <w:t>0.900</w:t>
            </w:r>
          </w:p>
        </w:tc>
      </w:tr>
      <w:tr w:rsidR="00AA2DA8" w:rsidRPr="000220A2" w14:paraId="78488D55" w14:textId="77777777" w:rsidTr="00AA2DA8">
        <w:trPr>
          <w:trHeight w:val="403"/>
        </w:trPr>
        <w:tc>
          <w:tcPr>
            <w:tcW w:w="1980" w:type="dxa"/>
            <w:vAlign w:val="center"/>
          </w:tcPr>
          <w:p w14:paraId="523817D0" w14:textId="015AB8B1" w:rsidR="00AA2DA8" w:rsidRPr="000220A2" w:rsidRDefault="00AA2DA8" w:rsidP="0045726A">
            <w:pPr>
              <w:jc w:val="center"/>
              <w:rPr>
                <w:rFonts w:cstheme="minorHAnsi"/>
                <w:b/>
                <w:bCs/>
                <w:sz w:val="24"/>
                <w:lang w:val="en-US"/>
              </w:rPr>
            </w:pPr>
            <w:r w:rsidRPr="000220A2">
              <w:t>Retrograde flow fraction [%]</w:t>
            </w:r>
          </w:p>
        </w:tc>
        <w:tc>
          <w:tcPr>
            <w:tcW w:w="2551" w:type="dxa"/>
            <w:vAlign w:val="center"/>
          </w:tcPr>
          <w:p w14:paraId="4CF6748F" w14:textId="17FBB5E4" w:rsidR="00AA2DA8" w:rsidRPr="000220A2" w:rsidRDefault="000E1076" w:rsidP="0045726A">
            <w:pPr>
              <w:jc w:val="center"/>
              <w:rPr>
                <w:rFonts w:cstheme="minorHAnsi"/>
                <w:sz w:val="24"/>
                <w:lang w:val="en-US"/>
              </w:rPr>
            </w:pPr>
            <w:r w:rsidRPr="000220A2">
              <w:rPr>
                <w:rFonts w:cstheme="minorHAnsi"/>
                <w:sz w:val="24"/>
                <w:lang w:val="en-US"/>
              </w:rPr>
              <w:t>-2.17 (-34.07, 29.72)</w:t>
            </w:r>
          </w:p>
        </w:tc>
        <w:tc>
          <w:tcPr>
            <w:tcW w:w="1042" w:type="dxa"/>
            <w:vAlign w:val="center"/>
          </w:tcPr>
          <w:p w14:paraId="5388C90D" w14:textId="2E7D9770" w:rsidR="00AA2DA8" w:rsidRPr="000220A2" w:rsidRDefault="000E1076" w:rsidP="00AA2DA8">
            <w:pPr>
              <w:jc w:val="center"/>
              <w:rPr>
                <w:rFonts w:cstheme="minorHAnsi"/>
                <w:sz w:val="24"/>
                <w:lang w:val="en-US"/>
              </w:rPr>
            </w:pPr>
            <w:r w:rsidRPr="000220A2">
              <w:rPr>
                <w:rFonts w:cstheme="minorHAnsi"/>
                <w:sz w:val="24"/>
                <w:lang w:val="en-US"/>
              </w:rPr>
              <w:t>0.877</w:t>
            </w:r>
          </w:p>
        </w:tc>
        <w:tc>
          <w:tcPr>
            <w:tcW w:w="2502" w:type="dxa"/>
            <w:vAlign w:val="center"/>
          </w:tcPr>
          <w:p w14:paraId="0E84B04D" w14:textId="7C5804EA" w:rsidR="00AA2DA8" w:rsidRPr="000220A2" w:rsidRDefault="00172F93" w:rsidP="00AA2DA8">
            <w:pPr>
              <w:jc w:val="center"/>
              <w:rPr>
                <w:rFonts w:cstheme="minorHAnsi"/>
                <w:sz w:val="24"/>
                <w:lang w:val="en-US"/>
              </w:rPr>
            </w:pPr>
            <w:r w:rsidRPr="000220A2">
              <w:rPr>
                <w:rFonts w:cstheme="minorHAnsi"/>
                <w:sz w:val="24"/>
                <w:lang w:val="en-US"/>
              </w:rPr>
              <w:t>9.45 (-29.96, 48.85)</w:t>
            </w:r>
          </w:p>
        </w:tc>
        <w:tc>
          <w:tcPr>
            <w:tcW w:w="1031" w:type="dxa"/>
            <w:vAlign w:val="center"/>
          </w:tcPr>
          <w:p w14:paraId="25E25E4E" w14:textId="57C18D00" w:rsidR="00AA2DA8" w:rsidRPr="000220A2" w:rsidRDefault="00172F93" w:rsidP="00AA2DA8">
            <w:pPr>
              <w:jc w:val="center"/>
              <w:rPr>
                <w:rFonts w:cstheme="minorHAnsi"/>
                <w:sz w:val="24"/>
                <w:lang w:val="en-US"/>
              </w:rPr>
            </w:pPr>
            <w:r w:rsidRPr="000220A2">
              <w:rPr>
                <w:rFonts w:cstheme="minorHAnsi"/>
                <w:sz w:val="24"/>
                <w:lang w:val="en-US"/>
              </w:rPr>
              <w:t>0.843</w:t>
            </w:r>
          </w:p>
        </w:tc>
      </w:tr>
      <w:tr w:rsidR="00AA2DA8" w:rsidRPr="000220A2" w14:paraId="4ACD75BE" w14:textId="77777777" w:rsidTr="00AA2DA8">
        <w:trPr>
          <w:trHeight w:val="403"/>
        </w:trPr>
        <w:tc>
          <w:tcPr>
            <w:tcW w:w="1980" w:type="dxa"/>
            <w:vAlign w:val="center"/>
          </w:tcPr>
          <w:p w14:paraId="1262DC29" w14:textId="106C1F91" w:rsidR="00AA2DA8" w:rsidRPr="000220A2" w:rsidRDefault="00AA2DA8" w:rsidP="0045726A">
            <w:pPr>
              <w:jc w:val="center"/>
              <w:rPr>
                <w:rFonts w:cstheme="minorHAnsi"/>
                <w:b/>
                <w:sz w:val="24"/>
                <w:lang w:val="en-US"/>
              </w:rPr>
            </w:pPr>
            <w:r w:rsidRPr="000220A2">
              <w:t>IRF [cm</w:t>
            </w:r>
            <w:r w:rsidRPr="000220A2">
              <w:rPr>
                <w:vertAlign w:val="superscript"/>
              </w:rPr>
              <w:t>2</w:t>
            </w:r>
            <w:r w:rsidRPr="000220A2">
              <w:t>/s]</w:t>
            </w:r>
          </w:p>
        </w:tc>
        <w:tc>
          <w:tcPr>
            <w:tcW w:w="2551" w:type="dxa"/>
            <w:vAlign w:val="center"/>
          </w:tcPr>
          <w:p w14:paraId="75A4C21F" w14:textId="3ACEF02B" w:rsidR="00AA2DA8" w:rsidRPr="000220A2" w:rsidRDefault="00AA2DA8" w:rsidP="0045726A">
            <w:pPr>
              <w:jc w:val="center"/>
              <w:rPr>
                <w:rFonts w:cstheme="minorHAnsi"/>
                <w:sz w:val="24"/>
                <w:lang w:val="en-US"/>
              </w:rPr>
            </w:pPr>
            <w:r w:rsidRPr="000220A2">
              <w:rPr>
                <w:rFonts w:cstheme="minorHAnsi"/>
                <w:sz w:val="24"/>
                <w:lang w:val="en-US"/>
              </w:rPr>
              <w:t>-1.97 (-18.41, 14.47)</w:t>
            </w:r>
          </w:p>
        </w:tc>
        <w:tc>
          <w:tcPr>
            <w:tcW w:w="1042" w:type="dxa"/>
            <w:vAlign w:val="center"/>
          </w:tcPr>
          <w:p w14:paraId="2D2AA0C0" w14:textId="23277297" w:rsidR="00AA2DA8" w:rsidRPr="000220A2" w:rsidRDefault="000E1076" w:rsidP="00AA2DA8">
            <w:pPr>
              <w:jc w:val="center"/>
              <w:rPr>
                <w:rFonts w:cstheme="minorHAnsi"/>
                <w:sz w:val="24"/>
                <w:lang w:val="en-US"/>
              </w:rPr>
            </w:pPr>
            <w:r w:rsidRPr="000220A2">
              <w:rPr>
                <w:rFonts w:cstheme="minorHAnsi"/>
                <w:sz w:val="24"/>
                <w:lang w:val="en-US"/>
              </w:rPr>
              <w:t>0.777</w:t>
            </w:r>
          </w:p>
        </w:tc>
        <w:tc>
          <w:tcPr>
            <w:tcW w:w="2502" w:type="dxa"/>
            <w:vAlign w:val="center"/>
          </w:tcPr>
          <w:p w14:paraId="3857A39B" w14:textId="57702D4C" w:rsidR="00AA2DA8" w:rsidRPr="000220A2" w:rsidRDefault="00CF284E" w:rsidP="00AA2DA8">
            <w:pPr>
              <w:jc w:val="center"/>
              <w:rPr>
                <w:rFonts w:cstheme="minorHAnsi"/>
                <w:sz w:val="24"/>
                <w:lang w:val="en-US"/>
              </w:rPr>
            </w:pPr>
            <w:r w:rsidRPr="000220A2">
              <w:rPr>
                <w:rFonts w:cstheme="minorHAnsi"/>
                <w:sz w:val="24"/>
                <w:lang w:val="en-US"/>
              </w:rPr>
              <w:t>-0.80 (-11.79, 10.20)</w:t>
            </w:r>
          </w:p>
        </w:tc>
        <w:tc>
          <w:tcPr>
            <w:tcW w:w="1031" w:type="dxa"/>
            <w:vAlign w:val="center"/>
          </w:tcPr>
          <w:p w14:paraId="4CB80610" w14:textId="6A37F5A2" w:rsidR="00AA2DA8" w:rsidRPr="000220A2" w:rsidRDefault="00CF284E" w:rsidP="00AA2DA8">
            <w:pPr>
              <w:jc w:val="center"/>
              <w:rPr>
                <w:rFonts w:cstheme="minorHAnsi"/>
                <w:sz w:val="24"/>
                <w:lang w:val="en-US"/>
              </w:rPr>
            </w:pPr>
            <w:r w:rsidRPr="000220A2">
              <w:rPr>
                <w:rFonts w:cstheme="minorHAnsi"/>
                <w:sz w:val="24"/>
                <w:lang w:val="en-US"/>
              </w:rPr>
              <w:t>0.788</w:t>
            </w:r>
          </w:p>
        </w:tc>
      </w:tr>
      <w:tr w:rsidR="00AA2DA8" w:rsidRPr="000220A2" w14:paraId="5563E0E3" w14:textId="77777777" w:rsidTr="00AA2DA8">
        <w:trPr>
          <w:trHeight w:val="403"/>
        </w:trPr>
        <w:tc>
          <w:tcPr>
            <w:tcW w:w="1980" w:type="dxa"/>
            <w:vAlign w:val="center"/>
          </w:tcPr>
          <w:p w14:paraId="472AE35F" w14:textId="1F03B92C" w:rsidR="00AA2DA8" w:rsidRPr="000220A2" w:rsidRDefault="00AA2DA8" w:rsidP="0045726A">
            <w:pPr>
              <w:jc w:val="center"/>
              <w:rPr>
                <w:rFonts w:cstheme="minorHAnsi"/>
                <w:b/>
                <w:sz w:val="24"/>
                <w:lang w:val="en-US"/>
              </w:rPr>
            </w:pPr>
            <w:r w:rsidRPr="000220A2">
              <w:rPr>
                <w:lang w:val="en-US"/>
              </w:rPr>
              <w:t>WSS  [N/m</w:t>
            </w:r>
            <w:r w:rsidRPr="000220A2">
              <w:rPr>
                <w:vertAlign w:val="superscript"/>
                <w:lang w:val="en-US"/>
              </w:rPr>
              <w:t>2</w:t>
            </w:r>
            <w:r w:rsidRPr="000220A2">
              <w:rPr>
                <w:lang w:val="en-US"/>
              </w:rPr>
              <w:t>]</w:t>
            </w:r>
          </w:p>
        </w:tc>
        <w:tc>
          <w:tcPr>
            <w:tcW w:w="2551" w:type="dxa"/>
            <w:vAlign w:val="center"/>
          </w:tcPr>
          <w:p w14:paraId="53619C30" w14:textId="22A35441" w:rsidR="00AA2DA8" w:rsidRPr="000220A2" w:rsidRDefault="006F77BA" w:rsidP="006F77BA">
            <w:pPr>
              <w:jc w:val="center"/>
              <w:rPr>
                <w:rFonts w:cstheme="minorHAnsi"/>
                <w:sz w:val="24"/>
                <w:lang w:val="en-US"/>
              </w:rPr>
            </w:pPr>
            <w:r w:rsidRPr="000220A2">
              <w:rPr>
                <w:rFonts w:cstheme="minorHAnsi"/>
                <w:sz w:val="24"/>
                <w:lang w:val="en-US"/>
              </w:rPr>
              <w:t>-0.02 (-0.18</w:t>
            </w:r>
            <w:r w:rsidR="00AA2DA8" w:rsidRPr="000220A2">
              <w:rPr>
                <w:rFonts w:cstheme="minorHAnsi"/>
                <w:sz w:val="24"/>
                <w:lang w:val="en-US"/>
              </w:rPr>
              <w:t>, 0.1</w:t>
            </w:r>
            <w:r w:rsidRPr="000220A2">
              <w:rPr>
                <w:rFonts w:cstheme="minorHAnsi"/>
                <w:sz w:val="24"/>
                <w:lang w:val="en-US"/>
              </w:rPr>
              <w:t>3</w:t>
            </w:r>
            <w:r w:rsidR="00AA2DA8" w:rsidRPr="000220A2">
              <w:rPr>
                <w:rFonts w:cstheme="minorHAnsi"/>
                <w:sz w:val="24"/>
                <w:lang w:val="en-US"/>
              </w:rPr>
              <w:t>)</w:t>
            </w:r>
          </w:p>
        </w:tc>
        <w:tc>
          <w:tcPr>
            <w:tcW w:w="1042" w:type="dxa"/>
            <w:vAlign w:val="center"/>
          </w:tcPr>
          <w:p w14:paraId="748B0000" w14:textId="3EC790C8" w:rsidR="00AA2DA8" w:rsidRPr="000220A2" w:rsidRDefault="000E1076" w:rsidP="00AA2DA8">
            <w:pPr>
              <w:jc w:val="center"/>
              <w:rPr>
                <w:rFonts w:cstheme="minorHAnsi"/>
                <w:sz w:val="24"/>
                <w:lang w:val="en-US"/>
              </w:rPr>
            </w:pPr>
            <w:r w:rsidRPr="000220A2">
              <w:rPr>
                <w:rFonts w:cstheme="minorHAnsi"/>
                <w:sz w:val="24"/>
                <w:lang w:val="en-US"/>
              </w:rPr>
              <w:t>0</w:t>
            </w:r>
            <w:r w:rsidR="006F77BA" w:rsidRPr="000220A2">
              <w:rPr>
                <w:rFonts w:cstheme="minorHAnsi"/>
                <w:sz w:val="24"/>
                <w:lang w:val="en-US"/>
              </w:rPr>
              <w:t>.751</w:t>
            </w:r>
          </w:p>
        </w:tc>
        <w:tc>
          <w:tcPr>
            <w:tcW w:w="2502" w:type="dxa"/>
            <w:vAlign w:val="center"/>
          </w:tcPr>
          <w:p w14:paraId="5D23DB4E" w14:textId="7A8AAC3B" w:rsidR="00AA2DA8" w:rsidRPr="000220A2" w:rsidRDefault="00EA389C" w:rsidP="00AA2DA8">
            <w:pPr>
              <w:jc w:val="center"/>
              <w:rPr>
                <w:rFonts w:cstheme="minorHAnsi"/>
                <w:sz w:val="24"/>
                <w:lang w:val="en-US"/>
              </w:rPr>
            </w:pPr>
            <w:r w:rsidRPr="000220A2">
              <w:rPr>
                <w:rFonts w:cstheme="minorHAnsi"/>
                <w:sz w:val="24"/>
                <w:lang w:val="en-US"/>
              </w:rPr>
              <w:t>-0.01 (-0.18, 0.17)</w:t>
            </w:r>
          </w:p>
        </w:tc>
        <w:tc>
          <w:tcPr>
            <w:tcW w:w="1031" w:type="dxa"/>
            <w:vAlign w:val="center"/>
          </w:tcPr>
          <w:p w14:paraId="62B1ADC2" w14:textId="0E6BBCEA" w:rsidR="00AA2DA8" w:rsidRPr="000220A2" w:rsidRDefault="009836DE" w:rsidP="00AA2DA8">
            <w:pPr>
              <w:jc w:val="center"/>
              <w:rPr>
                <w:rFonts w:cstheme="minorHAnsi"/>
                <w:sz w:val="24"/>
                <w:lang w:val="en-US"/>
              </w:rPr>
            </w:pPr>
            <w:r w:rsidRPr="000220A2">
              <w:rPr>
                <w:rFonts w:cstheme="minorHAnsi"/>
                <w:sz w:val="24"/>
                <w:lang w:val="en-US"/>
              </w:rPr>
              <w:t>0.855</w:t>
            </w:r>
          </w:p>
        </w:tc>
      </w:tr>
      <w:tr w:rsidR="00AA2DA8" w:rsidRPr="000220A2" w14:paraId="6D04747C" w14:textId="77777777" w:rsidTr="00AA2DA8">
        <w:trPr>
          <w:trHeight w:val="403"/>
        </w:trPr>
        <w:tc>
          <w:tcPr>
            <w:tcW w:w="1980" w:type="dxa"/>
            <w:vAlign w:val="center"/>
          </w:tcPr>
          <w:p w14:paraId="73B75681" w14:textId="6CE39480" w:rsidR="00AA2DA8" w:rsidRPr="000220A2" w:rsidRDefault="00AA2DA8" w:rsidP="0045726A">
            <w:pPr>
              <w:jc w:val="center"/>
              <w:rPr>
                <w:rFonts w:cstheme="minorHAnsi"/>
                <w:b/>
                <w:sz w:val="24"/>
                <w:lang w:val="en-US"/>
              </w:rPr>
            </w:pPr>
            <w:r w:rsidRPr="000220A2">
              <w:rPr>
                <w:lang w:val="en-US"/>
              </w:rPr>
              <w:t>KE [mJ]</w:t>
            </w:r>
          </w:p>
        </w:tc>
        <w:tc>
          <w:tcPr>
            <w:tcW w:w="2551" w:type="dxa"/>
            <w:vAlign w:val="center"/>
          </w:tcPr>
          <w:p w14:paraId="5B7E7E3C" w14:textId="61451527" w:rsidR="00AA2DA8" w:rsidRPr="000220A2" w:rsidRDefault="000523C0" w:rsidP="0045726A">
            <w:pPr>
              <w:jc w:val="center"/>
              <w:rPr>
                <w:rFonts w:cstheme="minorHAnsi"/>
                <w:sz w:val="24"/>
                <w:lang w:val="en-US"/>
              </w:rPr>
            </w:pPr>
            <w:r w:rsidRPr="000220A2">
              <w:rPr>
                <w:rFonts w:cstheme="minorHAnsi"/>
                <w:sz w:val="24"/>
                <w:lang w:val="en-US"/>
              </w:rPr>
              <w:t>-0.04 (-0.53, 0.45</w:t>
            </w:r>
            <w:r w:rsidR="00AA2DA8" w:rsidRPr="000220A2">
              <w:rPr>
                <w:rFonts w:cstheme="minorHAnsi"/>
                <w:sz w:val="24"/>
                <w:lang w:val="en-US"/>
              </w:rPr>
              <w:t>)</w:t>
            </w:r>
          </w:p>
        </w:tc>
        <w:tc>
          <w:tcPr>
            <w:tcW w:w="1042" w:type="dxa"/>
            <w:vAlign w:val="center"/>
          </w:tcPr>
          <w:p w14:paraId="7B27911F" w14:textId="74F04CEE" w:rsidR="00AA2DA8" w:rsidRPr="000220A2" w:rsidRDefault="0087395A" w:rsidP="00AA2DA8">
            <w:pPr>
              <w:jc w:val="center"/>
              <w:rPr>
                <w:rFonts w:cstheme="minorHAnsi"/>
                <w:sz w:val="24"/>
                <w:lang w:val="en-US"/>
              </w:rPr>
            </w:pPr>
            <w:r w:rsidRPr="000220A2">
              <w:rPr>
                <w:rFonts w:cstheme="minorHAnsi"/>
                <w:sz w:val="24"/>
                <w:lang w:val="en-US"/>
              </w:rPr>
              <w:t>0.884</w:t>
            </w:r>
          </w:p>
        </w:tc>
        <w:tc>
          <w:tcPr>
            <w:tcW w:w="2502" w:type="dxa"/>
            <w:vAlign w:val="center"/>
          </w:tcPr>
          <w:p w14:paraId="19D63C6A" w14:textId="08DDECA9" w:rsidR="00AA2DA8" w:rsidRPr="000220A2" w:rsidRDefault="00EA389C" w:rsidP="00AA2DA8">
            <w:pPr>
              <w:jc w:val="center"/>
              <w:rPr>
                <w:rFonts w:cstheme="minorHAnsi"/>
                <w:sz w:val="24"/>
                <w:lang w:val="en-US"/>
              </w:rPr>
            </w:pPr>
            <w:r w:rsidRPr="000220A2">
              <w:rPr>
                <w:rFonts w:cstheme="minorHAnsi"/>
                <w:sz w:val="24"/>
                <w:lang w:val="en-US"/>
              </w:rPr>
              <w:t>-0.09 (-0.67, 0.50)</w:t>
            </w:r>
          </w:p>
        </w:tc>
        <w:tc>
          <w:tcPr>
            <w:tcW w:w="1031" w:type="dxa"/>
            <w:vAlign w:val="center"/>
          </w:tcPr>
          <w:p w14:paraId="1EBDA8E1" w14:textId="44CCC079" w:rsidR="00AA2DA8" w:rsidRPr="000220A2" w:rsidRDefault="00EA389C" w:rsidP="00AA2DA8">
            <w:pPr>
              <w:jc w:val="center"/>
              <w:rPr>
                <w:rFonts w:cstheme="minorHAnsi"/>
                <w:sz w:val="24"/>
                <w:lang w:val="en-US"/>
              </w:rPr>
            </w:pPr>
            <w:r w:rsidRPr="000220A2">
              <w:rPr>
                <w:rFonts w:cstheme="minorHAnsi"/>
                <w:sz w:val="24"/>
                <w:lang w:val="en-US"/>
              </w:rPr>
              <w:t>0.859</w:t>
            </w:r>
          </w:p>
        </w:tc>
      </w:tr>
      <w:tr w:rsidR="00AA2DA8" w:rsidRPr="000220A2" w14:paraId="5072EC75" w14:textId="77777777" w:rsidTr="00AA2DA8">
        <w:trPr>
          <w:trHeight w:val="403"/>
        </w:trPr>
        <w:tc>
          <w:tcPr>
            <w:tcW w:w="1980" w:type="dxa"/>
            <w:vAlign w:val="center"/>
          </w:tcPr>
          <w:p w14:paraId="46FEBA7A" w14:textId="71C4EDF1" w:rsidR="00AA2DA8" w:rsidRPr="000220A2" w:rsidRDefault="00AA2DA8" w:rsidP="0045726A">
            <w:pPr>
              <w:jc w:val="center"/>
              <w:rPr>
                <w:rFonts w:cstheme="minorHAnsi"/>
                <w:b/>
                <w:sz w:val="24"/>
                <w:lang w:val="en-US"/>
              </w:rPr>
            </w:pPr>
            <w:r w:rsidRPr="000220A2">
              <w:rPr>
                <w:lang w:val="en-US"/>
              </w:rPr>
              <w:t>MSDR [cm/s</w:t>
            </w:r>
            <w:r w:rsidRPr="000220A2">
              <w:rPr>
                <w:vertAlign w:val="superscript"/>
                <w:lang w:val="en-US"/>
              </w:rPr>
              <w:t>3</w:t>
            </w:r>
            <w:r w:rsidRPr="000220A2">
              <w:rPr>
                <w:lang w:val="en-US"/>
              </w:rPr>
              <w:t>]</w:t>
            </w:r>
          </w:p>
        </w:tc>
        <w:tc>
          <w:tcPr>
            <w:tcW w:w="2551" w:type="dxa"/>
            <w:vAlign w:val="center"/>
          </w:tcPr>
          <w:p w14:paraId="3544B6A2" w14:textId="6F309B08" w:rsidR="00AA2DA8" w:rsidRPr="000220A2" w:rsidRDefault="000523C0" w:rsidP="0045726A">
            <w:pPr>
              <w:jc w:val="center"/>
              <w:rPr>
                <w:rFonts w:cstheme="minorHAnsi"/>
                <w:sz w:val="24"/>
                <w:lang w:val="en-US"/>
              </w:rPr>
            </w:pPr>
            <w:r w:rsidRPr="000220A2">
              <w:rPr>
                <w:rFonts w:cstheme="minorHAnsi"/>
                <w:sz w:val="24"/>
                <w:lang w:val="en-US"/>
              </w:rPr>
              <w:t>288</w:t>
            </w:r>
            <w:r w:rsidR="00243752" w:rsidRPr="000220A2">
              <w:rPr>
                <w:rFonts w:cstheme="minorHAnsi"/>
                <w:sz w:val="24"/>
                <w:lang w:val="en-US"/>
              </w:rPr>
              <w:t xml:space="preserve"> (-1490, 2068)</w:t>
            </w:r>
          </w:p>
        </w:tc>
        <w:tc>
          <w:tcPr>
            <w:tcW w:w="1042" w:type="dxa"/>
            <w:vAlign w:val="center"/>
          </w:tcPr>
          <w:p w14:paraId="26880C87" w14:textId="3249739A" w:rsidR="00AA2DA8" w:rsidRPr="000220A2" w:rsidRDefault="000523C0" w:rsidP="00AA2DA8">
            <w:pPr>
              <w:jc w:val="center"/>
              <w:rPr>
                <w:rFonts w:cstheme="minorHAnsi"/>
                <w:sz w:val="24"/>
                <w:lang w:val="en-US"/>
              </w:rPr>
            </w:pPr>
            <w:r w:rsidRPr="000220A2">
              <w:rPr>
                <w:rFonts w:cstheme="minorHAnsi"/>
                <w:sz w:val="24"/>
                <w:lang w:val="en-US"/>
              </w:rPr>
              <w:t>0.879</w:t>
            </w:r>
          </w:p>
        </w:tc>
        <w:tc>
          <w:tcPr>
            <w:tcW w:w="2502" w:type="dxa"/>
            <w:vAlign w:val="center"/>
          </w:tcPr>
          <w:p w14:paraId="6BAF4125" w14:textId="2CDB8FDE" w:rsidR="00AA2DA8" w:rsidRPr="000220A2" w:rsidRDefault="00AD0D2E" w:rsidP="00AA2DA8">
            <w:pPr>
              <w:jc w:val="center"/>
              <w:rPr>
                <w:rFonts w:cstheme="minorHAnsi"/>
                <w:sz w:val="24"/>
                <w:lang w:val="en-US"/>
              </w:rPr>
            </w:pPr>
            <w:r w:rsidRPr="000220A2">
              <w:rPr>
                <w:rFonts w:cstheme="minorHAnsi"/>
                <w:sz w:val="24"/>
                <w:lang w:val="en-US"/>
              </w:rPr>
              <w:t>-285 (-2334, 1763)</w:t>
            </w:r>
          </w:p>
        </w:tc>
        <w:tc>
          <w:tcPr>
            <w:tcW w:w="1031" w:type="dxa"/>
            <w:vAlign w:val="center"/>
          </w:tcPr>
          <w:p w14:paraId="281F364D" w14:textId="7E2B0066" w:rsidR="00AA2DA8" w:rsidRPr="000220A2" w:rsidRDefault="00AD0D2E" w:rsidP="00AA2DA8">
            <w:pPr>
              <w:jc w:val="center"/>
              <w:rPr>
                <w:rFonts w:cstheme="minorHAnsi"/>
                <w:sz w:val="24"/>
                <w:lang w:val="en-US"/>
              </w:rPr>
            </w:pPr>
            <w:r w:rsidRPr="000220A2">
              <w:rPr>
                <w:rFonts w:cstheme="minorHAnsi"/>
                <w:sz w:val="24"/>
                <w:lang w:val="en-US"/>
              </w:rPr>
              <w:t>0.953</w:t>
            </w:r>
          </w:p>
        </w:tc>
      </w:tr>
      <w:tr w:rsidR="00AA2DA8" w:rsidRPr="000220A2" w14:paraId="448DE0C6" w14:textId="77777777" w:rsidTr="00AA2DA8">
        <w:trPr>
          <w:trHeight w:val="403"/>
        </w:trPr>
        <w:tc>
          <w:tcPr>
            <w:tcW w:w="1980" w:type="dxa"/>
            <w:vAlign w:val="center"/>
          </w:tcPr>
          <w:p w14:paraId="74F058FE" w14:textId="2AE92D50" w:rsidR="00AA2DA8" w:rsidRPr="000220A2" w:rsidRDefault="00AA2DA8" w:rsidP="0045726A">
            <w:pPr>
              <w:jc w:val="center"/>
              <w:rPr>
                <w:rFonts w:cstheme="minorHAnsi"/>
                <w:b/>
                <w:sz w:val="24"/>
                <w:lang w:val="en-US"/>
              </w:rPr>
            </w:pPr>
            <w:r w:rsidRPr="000220A2">
              <w:rPr>
                <w:lang w:val="en-US"/>
              </w:rPr>
              <w:t>Flow stasis [%]</w:t>
            </w:r>
          </w:p>
        </w:tc>
        <w:tc>
          <w:tcPr>
            <w:tcW w:w="2551" w:type="dxa"/>
            <w:vAlign w:val="center"/>
          </w:tcPr>
          <w:p w14:paraId="4392F67E" w14:textId="0F8842B3" w:rsidR="00AA2DA8" w:rsidRPr="000220A2" w:rsidRDefault="00243752" w:rsidP="00243752">
            <w:pPr>
              <w:jc w:val="center"/>
              <w:rPr>
                <w:rFonts w:cstheme="minorHAnsi"/>
                <w:sz w:val="24"/>
                <w:lang w:val="en-US"/>
              </w:rPr>
            </w:pPr>
            <w:r w:rsidRPr="000220A2">
              <w:rPr>
                <w:rFonts w:cstheme="minorHAnsi"/>
                <w:sz w:val="24"/>
                <w:lang w:val="en-US"/>
              </w:rPr>
              <w:t>-0.10 (-11.12, 10.93</w:t>
            </w:r>
            <w:r w:rsidR="00AA2DA8" w:rsidRPr="000220A2">
              <w:rPr>
                <w:rFonts w:cstheme="minorHAnsi"/>
                <w:sz w:val="24"/>
                <w:lang w:val="en-US"/>
              </w:rPr>
              <w:t>)</w:t>
            </w:r>
          </w:p>
        </w:tc>
        <w:tc>
          <w:tcPr>
            <w:tcW w:w="1042" w:type="dxa"/>
            <w:vAlign w:val="center"/>
          </w:tcPr>
          <w:p w14:paraId="027F9ACE" w14:textId="36B87BF7" w:rsidR="00AA2DA8" w:rsidRPr="000220A2" w:rsidRDefault="00243752" w:rsidP="00AA2DA8">
            <w:pPr>
              <w:jc w:val="center"/>
              <w:rPr>
                <w:rFonts w:cstheme="minorHAnsi"/>
                <w:sz w:val="24"/>
                <w:lang w:val="en-US"/>
              </w:rPr>
            </w:pPr>
            <w:r w:rsidRPr="000220A2">
              <w:rPr>
                <w:rFonts w:cstheme="minorHAnsi"/>
                <w:sz w:val="24"/>
                <w:lang w:val="en-US"/>
              </w:rPr>
              <w:t>0.954</w:t>
            </w:r>
          </w:p>
        </w:tc>
        <w:tc>
          <w:tcPr>
            <w:tcW w:w="2502" w:type="dxa"/>
            <w:vAlign w:val="center"/>
          </w:tcPr>
          <w:p w14:paraId="1F01605D" w14:textId="7B2EDB69" w:rsidR="00AA2DA8" w:rsidRPr="000220A2" w:rsidRDefault="00AD0D2E" w:rsidP="00AA2DA8">
            <w:pPr>
              <w:jc w:val="center"/>
              <w:rPr>
                <w:rFonts w:cstheme="minorHAnsi"/>
                <w:sz w:val="24"/>
                <w:lang w:val="en-US"/>
              </w:rPr>
            </w:pPr>
            <w:r w:rsidRPr="000220A2">
              <w:rPr>
                <w:rFonts w:cstheme="minorHAnsi"/>
                <w:sz w:val="24"/>
                <w:lang w:val="en-US"/>
              </w:rPr>
              <w:t>-0.76 (-5.40, 3.87)</w:t>
            </w:r>
          </w:p>
        </w:tc>
        <w:tc>
          <w:tcPr>
            <w:tcW w:w="1031" w:type="dxa"/>
            <w:vAlign w:val="center"/>
          </w:tcPr>
          <w:p w14:paraId="7807211A" w14:textId="621B0E35" w:rsidR="00AA2DA8" w:rsidRPr="000220A2" w:rsidRDefault="00AD0D2E" w:rsidP="00AA2DA8">
            <w:pPr>
              <w:jc w:val="center"/>
              <w:rPr>
                <w:rFonts w:cstheme="minorHAnsi"/>
                <w:sz w:val="24"/>
                <w:lang w:val="en-US"/>
              </w:rPr>
            </w:pPr>
            <w:r w:rsidRPr="000220A2">
              <w:rPr>
                <w:rFonts w:cstheme="minorHAnsi"/>
                <w:sz w:val="24"/>
                <w:lang w:val="en-US"/>
              </w:rPr>
              <w:t>0.984</w:t>
            </w:r>
          </w:p>
        </w:tc>
      </w:tr>
      <w:tr w:rsidR="00AA2DA8" w:rsidRPr="000220A2" w14:paraId="2C682953" w14:textId="77777777" w:rsidTr="00AA2DA8">
        <w:trPr>
          <w:trHeight w:val="1092"/>
        </w:trPr>
        <w:tc>
          <w:tcPr>
            <w:tcW w:w="9106" w:type="dxa"/>
            <w:gridSpan w:val="5"/>
            <w:vAlign w:val="center"/>
          </w:tcPr>
          <w:p w14:paraId="03484C8D" w14:textId="77777777" w:rsidR="00796524" w:rsidRPr="000220A2" w:rsidRDefault="0094601A" w:rsidP="0094601A">
            <w:pPr>
              <w:spacing w:line="360" w:lineRule="auto"/>
              <w:jc w:val="both"/>
              <w:rPr>
                <w:lang w:val="en-US"/>
              </w:rPr>
            </w:pPr>
            <w:r w:rsidRPr="000220A2">
              <w:rPr>
                <w:lang w:val="en-US"/>
              </w:rPr>
              <w:t xml:space="preserve">Results of the comparison of flow descriptors measured by Observer 1 and Observer 2 (inter-variability) and the comparison of two sets of flow descriptors calculated by the same Observer 1 (intra-variability). Mean difference, 95% LOA and ICC are shown. </w:t>
            </w:r>
          </w:p>
          <w:p w14:paraId="7BA60DB1" w14:textId="07AD7EA4" w:rsidR="00AA2DA8" w:rsidRPr="000220A2" w:rsidRDefault="0094601A" w:rsidP="0094601A">
            <w:pPr>
              <w:spacing w:line="360" w:lineRule="auto"/>
              <w:jc w:val="both"/>
              <w:rPr>
                <w:rFonts w:cstheme="minorHAnsi"/>
                <w:b/>
                <w:i/>
                <w:sz w:val="24"/>
                <w:lang w:val="en-US"/>
              </w:rPr>
            </w:pPr>
            <w:r w:rsidRPr="000220A2">
              <w:rPr>
                <w:i/>
                <w:lang w:val="en-US"/>
              </w:rPr>
              <w:t xml:space="preserve">ICC= intra-class correlation coefficient, </w:t>
            </w:r>
            <w:r w:rsidR="00AA2DA8" w:rsidRPr="000220A2">
              <w:rPr>
                <w:i/>
                <w:lang w:val="en-US"/>
              </w:rPr>
              <w:t>IRF = in-plane rotational flow, LOA= limits of agreement, KE = kinetic energy, MSDR = maximum systolic deceleration rate, WSS = wall shear stress.</w:t>
            </w:r>
            <w:r w:rsidRPr="000220A2">
              <w:rPr>
                <w:i/>
                <w:lang w:val="en-US"/>
              </w:rPr>
              <w:t xml:space="preserve"> </w:t>
            </w:r>
          </w:p>
        </w:tc>
      </w:tr>
    </w:tbl>
    <w:p w14:paraId="2DA77B7A" w14:textId="77777777" w:rsidR="00E94543" w:rsidRPr="000220A2" w:rsidRDefault="00E94543" w:rsidP="00E94543">
      <w:pPr>
        <w:spacing w:line="480" w:lineRule="auto"/>
        <w:ind w:firstLine="708"/>
        <w:rPr>
          <w:rFonts w:cstheme="minorHAnsi"/>
          <w:b/>
          <w:sz w:val="24"/>
          <w:lang w:val="en-US"/>
        </w:rPr>
      </w:pPr>
    </w:p>
    <w:p w14:paraId="3D58EAD3" w14:textId="77777777" w:rsidR="00E94543" w:rsidRPr="000220A2" w:rsidRDefault="00E94543" w:rsidP="00E94543">
      <w:pPr>
        <w:spacing w:line="480" w:lineRule="auto"/>
        <w:rPr>
          <w:lang w:val="en-US"/>
        </w:rPr>
      </w:pPr>
    </w:p>
    <w:p w14:paraId="76E30563" w14:textId="77777777" w:rsidR="00E94543" w:rsidRPr="000220A2" w:rsidRDefault="00E94543" w:rsidP="00E94543">
      <w:pPr>
        <w:spacing w:line="480" w:lineRule="auto"/>
        <w:rPr>
          <w:lang w:val="en-US"/>
        </w:rPr>
      </w:pPr>
    </w:p>
    <w:p w14:paraId="281B9E1C" w14:textId="77777777" w:rsidR="000C2481" w:rsidRPr="000220A2" w:rsidRDefault="000C2481" w:rsidP="00E94543">
      <w:pPr>
        <w:spacing w:line="480" w:lineRule="auto"/>
        <w:rPr>
          <w:lang w:val="en-US"/>
        </w:rPr>
      </w:pPr>
    </w:p>
    <w:p w14:paraId="468D65DF" w14:textId="77777777" w:rsidR="000C2481" w:rsidRPr="000220A2" w:rsidRDefault="000C2481" w:rsidP="00E94543">
      <w:pPr>
        <w:spacing w:line="480" w:lineRule="auto"/>
        <w:rPr>
          <w:lang w:val="en-US"/>
        </w:rPr>
      </w:pPr>
    </w:p>
    <w:p w14:paraId="3CEE494C" w14:textId="77777777" w:rsidR="00C31559" w:rsidRPr="000220A2" w:rsidRDefault="00C31559" w:rsidP="00E94543">
      <w:pPr>
        <w:spacing w:line="480" w:lineRule="auto"/>
        <w:rPr>
          <w:lang w:val="en-US"/>
        </w:rPr>
      </w:pPr>
    </w:p>
    <w:p w14:paraId="1089BE7E" w14:textId="1E72ED98" w:rsidR="00E94543" w:rsidRPr="000220A2" w:rsidRDefault="00E3696E" w:rsidP="00E94543">
      <w:pPr>
        <w:spacing w:line="480" w:lineRule="auto"/>
        <w:jc w:val="both"/>
        <w:rPr>
          <w:rFonts w:cstheme="minorHAnsi"/>
          <w:b/>
          <w:color w:val="000000"/>
          <w:sz w:val="36"/>
          <w:lang w:val="en-US"/>
        </w:rPr>
      </w:pPr>
      <w:r w:rsidRPr="000220A2">
        <w:rPr>
          <w:rFonts w:cstheme="minorHAnsi"/>
          <w:b/>
          <w:color w:val="000000"/>
          <w:sz w:val="36"/>
          <w:lang w:val="en-US"/>
        </w:rPr>
        <w:lastRenderedPageBreak/>
        <w:t>F</w:t>
      </w:r>
      <w:r w:rsidR="00E94543" w:rsidRPr="000220A2">
        <w:rPr>
          <w:rFonts w:cstheme="minorHAnsi"/>
          <w:b/>
          <w:color w:val="000000"/>
          <w:sz w:val="36"/>
          <w:lang w:val="en-US"/>
        </w:rPr>
        <w:t>IGURES</w:t>
      </w:r>
    </w:p>
    <w:p w14:paraId="75BDE1BB" w14:textId="77777777" w:rsidR="00E94543" w:rsidRPr="000220A2" w:rsidRDefault="00E94543" w:rsidP="00E94543">
      <w:pPr>
        <w:spacing w:line="480" w:lineRule="auto"/>
        <w:rPr>
          <w:lang w:val="en-US"/>
        </w:rPr>
      </w:pPr>
    </w:p>
    <w:p w14:paraId="5B446486" w14:textId="77777777" w:rsidR="00E94543" w:rsidRPr="000220A2" w:rsidRDefault="00E94543" w:rsidP="00E94543">
      <w:pPr>
        <w:spacing w:line="480"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E94543" w:rsidRPr="000220A2" w14:paraId="2134BCEB" w14:textId="77777777" w:rsidTr="00E53B82">
        <w:tc>
          <w:tcPr>
            <w:tcW w:w="8494" w:type="dxa"/>
          </w:tcPr>
          <w:p w14:paraId="1DBAC56E" w14:textId="77777777" w:rsidR="00E94543" w:rsidRPr="000220A2" w:rsidRDefault="00E94543" w:rsidP="00E53B82">
            <w:pPr>
              <w:spacing w:line="480" w:lineRule="auto"/>
              <w:rPr>
                <w:rFonts w:cstheme="minorHAnsi"/>
                <w:lang w:val="en-US"/>
              </w:rPr>
            </w:pPr>
            <w:r w:rsidRPr="000220A2">
              <w:rPr>
                <w:rFonts w:cstheme="minorHAnsi"/>
                <w:noProof/>
                <w:lang w:val="en-IN" w:eastAsia="en-IN"/>
              </w:rPr>
              <w:drawing>
                <wp:inline distT="0" distB="0" distL="0" distR="0" wp14:anchorId="73D9C468" wp14:editId="0450AF8A">
                  <wp:extent cx="5250094" cy="4588115"/>
                  <wp:effectExtent l="0" t="0" r="8255"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Figure S1.tif"/>
                          <pic:cNvPicPr/>
                        </pic:nvPicPr>
                        <pic:blipFill rotWithShape="1">
                          <a:blip r:embed="rId7">
                            <a:extLst>
                              <a:ext uri="{28A0092B-C50C-407E-A947-70E740481C1C}">
                                <a14:useLocalDpi xmlns:a14="http://schemas.microsoft.com/office/drawing/2010/main" val="0"/>
                              </a:ext>
                            </a:extLst>
                          </a:blip>
                          <a:srcRect l="5328" t="4653" r="7153" b="40348"/>
                          <a:stretch/>
                        </pic:blipFill>
                        <pic:spPr bwMode="auto">
                          <a:xfrm>
                            <a:off x="0" y="0"/>
                            <a:ext cx="5266101" cy="4602103"/>
                          </a:xfrm>
                          <a:prstGeom prst="rect">
                            <a:avLst/>
                          </a:prstGeom>
                          <a:ln>
                            <a:noFill/>
                          </a:ln>
                          <a:extLst>
                            <a:ext uri="{53640926-AAD7-44D8-BBD7-CCE9431645EC}">
                              <a14:shadowObscured xmlns:a14="http://schemas.microsoft.com/office/drawing/2010/main"/>
                            </a:ext>
                          </a:extLst>
                        </pic:spPr>
                      </pic:pic>
                    </a:graphicData>
                  </a:graphic>
                </wp:inline>
              </w:drawing>
            </w:r>
          </w:p>
        </w:tc>
      </w:tr>
      <w:tr w:rsidR="00E94543" w:rsidRPr="000220A2" w14:paraId="5EF4E3F3" w14:textId="77777777" w:rsidTr="00E53B82">
        <w:tc>
          <w:tcPr>
            <w:tcW w:w="8494" w:type="dxa"/>
          </w:tcPr>
          <w:p w14:paraId="7F40406F" w14:textId="77777777" w:rsidR="00E94543" w:rsidRPr="000220A2" w:rsidRDefault="00E94543" w:rsidP="00E53B82">
            <w:pPr>
              <w:spacing w:line="480" w:lineRule="auto"/>
              <w:jc w:val="both"/>
              <w:rPr>
                <w:rFonts w:cstheme="minorHAnsi"/>
                <w:lang w:val="en-US"/>
              </w:rPr>
            </w:pPr>
            <w:r w:rsidRPr="000220A2">
              <w:rPr>
                <w:rFonts w:cstheme="minorHAnsi"/>
                <w:lang w:val="en-US"/>
              </w:rPr>
              <w:t>Figure S1: Kinetic energy (B), through-plane velocity (C) and acceleration-time curve (D) in a volume covering the false lumen from the pulmonary bifurcation to the diaphragmatic level (A).</w:t>
            </w:r>
          </w:p>
        </w:tc>
      </w:tr>
    </w:tbl>
    <w:p w14:paraId="69D14E6E" w14:textId="77777777" w:rsidR="00E94543" w:rsidRPr="000220A2" w:rsidRDefault="00E94543" w:rsidP="00E94543">
      <w:pPr>
        <w:spacing w:line="480" w:lineRule="auto"/>
        <w:rPr>
          <w:lang w:val="en-US"/>
        </w:rPr>
      </w:pPr>
    </w:p>
    <w:p w14:paraId="72452AD3" w14:textId="77777777" w:rsidR="00E4764F" w:rsidRPr="000220A2" w:rsidRDefault="00E4764F" w:rsidP="00E94543">
      <w:pPr>
        <w:spacing w:line="480" w:lineRule="auto"/>
        <w:rPr>
          <w:lang w:val="en-US"/>
        </w:rPr>
      </w:pPr>
    </w:p>
    <w:p w14:paraId="6288D0F8" w14:textId="77777777" w:rsidR="00E4764F" w:rsidRPr="000220A2" w:rsidRDefault="00E4764F">
      <w:pPr>
        <w:rPr>
          <w:lang w:val="en-US"/>
        </w:rPr>
      </w:pPr>
    </w:p>
    <w:p w14:paraId="3487DA99" w14:textId="77777777" w:rsidR="00E94543" w:rsidRPr="000220A2" w:rsidRDefault="00E94543">
      <w:pPr>
        <w:rPr>
          <w:lang w:val="en-US"/>
        </w:rPr>
      </w:pPr>
    </w:p>
    <w:tbl>
      <w:tblPr>
        <w:tblStyle w:val="TableGrid"/>
        <w:tblW w:w="0" w:type="auto"/>
        <w:tblLook w:val="04A0" w:firstRow="1" w:lastRow="0" w:firstColumn="1" w:lastColumn="0" w:noHBand="0" w:noVBand="1"/>
      </w:tblPr>
      <w:tblGrid>
        <w:gridCol w:w="8494"/>
      </w:tblGrid>
      <w:tr w:rsidR="00C210F3" w:rsidRPr="000220A2" w14:paraId="5737777E" w14:textId="77777777" w:rsidTr="006141A0">
        <w:tc>
          <w:tcPr>
            <w:tcW w:w="8494" w:type="dxa"/>
            <w:tcBorders>
              <w:top w:val="nil"/>
              <w:left w:val="nil"/>
              <w:bottom w:val="nil"/>
              <w:right w:val="nil"/>
            </w:tcBorders>
          </w:tcPr>
          <w:p w14:paraId="7D0F8392" w14:textId="755B08E1" w:rsidR="00C210F3" w:rsidRPr="000220A2" w:rsidRDefault="00C210F3" w:rsidP="00604A5E">
            <w:pPr>
              <w:spacing w:line="480" w:lineRule="auto"/>
              <w:jc w:val="center"/>
              <w:rPr>
                <w:rFonts w:cstheme="minorHAnsi"/>
                <w:b/>
                <w:color w:val="000000"/>
                <w:sz w:val="36"/>
              </w:rPr>
            </w:pPr>
            <w:r w:rsidRPr="000220A2">
              <w:rPr>
                <w:rFonts w:cstheme="minorHAnsi"/>
                <w:b/>
                <w:noProof/>
                <w:color w:val="000000"/>
                <w:sz w:val="36"/>
                <w:lang w:val="en-IN" w:eastAsia="en-IN"/>
              </w:rPr>
              <w:lastRenderedPageBreak/>
              <w:drawing>
                <wp:inline distT="0" distB="0" distL="0" distR="0" wp14:anchorId="4070A32A" wp14:editId="7F207EA0">
                  <wp:extent cx="4936342" cy="7381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2.tif"/>
                          <pic:cNvPicPr/>
                        </pic:nvPicPr>
                        <pic:blipFill>
                          <a:blip r:embed="rId8">
                            <a:extLst>
                              <a:ext uri="{28A0092B-C50C-407E-A947-70E740481C1C}">
                                <a14:useLocalDpi xmlns:a14="http://schemas.microsoft.com/office/drawing/2010/main" val="0"/>
                              </a:ext>
                            </a:extLst>
                          </a:blip>
                          <a:stretch>
                            <a:fillRect/>
                          </a:stretch>
                        </pic:blipFill>
                        <pic:spPr>
                          <a:xfrm>
                            <a:off x="0" y="0"/>
                            <a:ext cx="4952707" cy="7406347"/>
                          </a:xfrm>
                          <a:prstGeom prst="rect">
                            <a:avLst/>
                          </a:prstGeom>
                        </pic:spPr>
                      </pic:pic>
                    </a:graphicData>
                  </a:graphic>
                </wp:inline>
              </w:drawing>
            </w:r>
          </w:p>
        </w:tc>
      </w:tr>
      <w:tr w:rsidR="00C210F3" w:rsidRPr="000220A2" w14:paraId="042D77EE" w14:textId="77777777" w:rsidTr="006141A0">
        <w:tc>
          <w:tcPr>
            <w:tcW w:w="8494" w:type="dxa"/>
            <w:tcBorders>
              <w:top w:val="nil"/>
              <w:left w:val="nil"/>
              <w:bottom w:val="nil"/>
              <w:right w:val="nil"/>
            </w:tcBorders>
          </w:tcPr>
          <w:p w14:paraId="36660DD5" w14:textId="297302F0" w:rsidR="00C210F3" w:rsidRPr="000220A2" w:rsidRDefault="00C210F3" w:rsidP="00E53B82">
            <w:pPr>
              <w:spacing w:line="276" w:lineRule="auto"/>
              <w:jc w:val="both"/>
              <w:rPr>
                <w:rFonts w:cstheme="minorHAnsi"/>
                <w:b/>
                <w:color w:val="000000"/>
                <w:lang w:val="en-US"/>
              </w:rPr>
            </w:pPr>
            <w:r w:rsidRPr="000220A2">
              <w:rPr>
                <w:rFonts w:cstheme="minorHAnsi"/>
                <w:lang w:val="en-US"/>
              </w:rPr>
              <w:t>Figure S2.</w:t>
            </w:r>
            <w:r w:rsidRPr="000220A2">
              <w:rPr>
                <w:rFonts w:cstheme="minorHAnsi"/>
                <w:b/>
                <w:color w:val="000000"/>
                <w:lang w:val="en-US"/>
              </w:rPr>
              <w:t xml:space="preserve"> </w:t>
            </w:r>
            <w:r w:rsidR="00A41B88" w:rsidRPr="000220A2">
              <w:rPr>
                <w:rFonts w:cstheme="minorHAnsi"/>
                <w:b/>
                <w:color w:val="000000"/>
                <w:lang w:val="en-US"/>
              </w:rPr>
              <w:t>I</w:t>
            </w:r>
            <w:r w:rsidR="00604A5E" w:rsidRPr="000220A2">
              <w:rPr>
                <w:rFonts w:cstheme="minorHAnsi"/>
                <w:b/>
                <w:bCs/>
                <w:i/>
                <w:iCs/>
                <w:lang w:val="en-US"/>
              </w:rPr>
              <w:t xml:space="preserve">nter-observer variability of </w:t>
            </w:r>
            <w:r w:rsidR="00A41B88" w:rsidRPr="000220A2">
              <w:rPr>
                <w:rFonts w:cstheme="minorHAnsi"/>
                <w:b/>
                <w:bCs/>
                <w:i/>
                <w:iCs/>
                <w:lang w:val="en-US"/>
              </w:rPr>
              <w:t>maximum velocity and systolic and diastolic flow</w:t>
            </w:r>
            <w:r w:rsidR="002368FB" w:rsidRPr="000220A2">
              <w:rPr>
                <w:rFonts w:cstheme="minorHAnsi"/>
                <w:b/>
                <w:bCs/>
                <w:i/>
                <w:iCs/>
                <w:lang w:val="en-US"/>
              </w:rPr>
              <w:t>s</w:t>
            </w:r>
            <w:r w:rsidR="00604A5E" w:rsidRPr="000220A2">
              <w:rPr>
                <w:rFonts w:cstheme="minorHAnsi"/>
                <w:b/>
                <w:bCs/>
                <w:i/>
                <w:iCs/>
                <w:lang w:val="en-US"/>
              </w:rPr>
              <w:t xml:space="preserve">. </w:t>
            </w:r>
            <w:r w:rsidR="00604A5E" w:rsidRPr="000220A2">
              <w:rPr>
                <w:rFonts w:cstheme="minorHAnsi"/>
                <w:i/>
                <w:iCs/>
                <w:lang w:val="en-US"/>
              </w:rPr>
              <w:t xml:space="preserve">Correlation (left) and Bland-Altman (right) plots for the inter-observer reproducibility of </w:t>
            </w:r>
            <w:r w:rsidR="002368FB" w:rsidRPr="000220A2">
              <w:rPr>
                <w:rFonts w:cstheme="minorHAnsi"/>
                <w:i/>
                <w:iCs/>
                <w:lang w:val="en-US"/>
              </w:rPr>
              <w:t>maximum velocity (A and B), retrograde systolic flow (C and D) and retrograde diastolic flow (E and F)</w:t>
            </w:r>
            <w:r w:rsidR="00604A5E" w:rsidRPr="000220A2">
              <w:rPr>
                <w:rFonts w:cstheme="minorHAnsi"/>
                <w:i/>
                <w:iCs/>
                <w:lang w:val="en-US"/>
              </w:rPr>
              <w:t>.</w:t>
            </w:r>
            <w:r w:rsidR="002368FB" w:rsidRPr="000220A2">
              <w:rPr>
                <w:rFonts w:cstheme="minorHAnsi"/>
                <w:i/>
                <w:iCs/>
                <w:lang w:val="en-US"/>
              </w:rPr>
              <w:t xml:space="preserve"> </w:t>
            </w:r>
            <w:r w:rsidR="00E53B82" w:rsidRPr="000220A2">
              <w:rPr>
                <w:rFonts w:cstheme="minorHAnsi"/>
                <w:i/>
                <w:iCs/>
                <w:lang w:val="en-US"/>
              </w:rPr>
              <w:t>Dotted</w:t>
            </w:r>
            <w:r w:rsidR="00604A5E" w:rsidRPr="000220A2">
              <w:rPr>
                <w:rFonts w:cstheme="minorHAnsi"/>
                <w:i/>
                <w:iCs/>
                <w:lang w:val="en-US"/>
              </w:rPr>
              <w:t xml:space="preserve"> lines represent bisectors (left) and </w:t>
            </w:r>
            <w:r w:rsidR="00E53B82" w:rsidRPr="000220A2">
              <w:rPr>
                <w:rFonts w:cstheme="minorHAnsi"/>
                <w:i/>
                <w:iCs/>
                <w:lang w:val="en-US"/>
              </w:rPr>
              <w:t>95% confidence interval</w:t>
            </w:r>
            <w:r w:rsidR="00604A5E" w:rsidRPr="000220A2">
              <w:rPr>
                <w:rFonts w:cstheme="minorHAnsi"/>
                <w:i/>
                <w:iCs/>
                <w:lang w:val="en-US"/>
              </w:rPr>
              <w:t xml:space="preserve"> (right) while </w:t>
            </w:r>
            <w:r w:rsidR="00E53B82" w:rsidRPr="000220A2">
              <w:rPr>
                <w:rFonts w:cstheme="minorHAnsi"/>
                <w:i/>
                <w:iCs/>
                <w:lang w:val="en-US"/>
              </w:rPr>
              <w:t>continuous</w:t>
            </w:r>
            <w:r w:rsidR="00604A5E" w:rsidRPr="000220A2">
              <w:rPr>
                <w:rFonts w:cstheme="minorHAnsi"/>
                <w:i/>
                <w:iCs/>
                <w:lang w:val="en-US"/>
              </w:rPr>
              <w:t xml:space="preserve"> lines represent best linear fit (left) and mean</w:t>
            </w:r>
            <w:r w:rsidR="00E53B82" w:rsidRPr="000220A2">
              <w:rPr>
                <w:rFonts w:cstheme="minorHAnsi"/>
                <w:i/>
                <w:iCs/>
                <w:lang w:val="en-US"/>
              </w:rPr>
              <w:t xml:space="preserve"> difference</w:t>
            </w:r>
            <w:r w:rsidR="00604A5E" w:rsidRPr="000220A2">
              <w:rPr>
                <w:rFonts w:cstheme="minorHAnsi"/>
                <w:i/>
                <w:iCs/>
                <w:lang w:val="en-US"/>
              </w:rPr>
              <w:t xml:space="preserve"> (right).</w:t>
            </w:r>
          </w:p>
        </w:tc>
      </w:tr>
      <w:tr w:rsidR="00E53B82" w:rsidRPr="000220A2" w14:paraId="3EEE83D1" w14:textId="77777777" w:rsidTr="006141A0">
        <w:tc>
          <w:tcPr>
            <w:tcW w:w="8494" w:type="dxa"/>
            <w:tcBorders>
              <w:top w:val="nil"/>
              <w:left w:val="nil"/>
              <w:bottom w:val="nil"/>
              <w:right w:val="nil"/>
            </w:tcBorders>
          </w:tcPr>
          <w:p w14:paraId="058AF53B" w14:textId="74BC994A" w:rsidR="00E53B82" w:rsidRPr="000220A2" w:rsidRDefault="00E53B82" w:rsidP="00E53B82">
            <w:pPr>
              <w:spacing w:line="480" w:lineRule="auto"/>
              <w:jc w:val="center"/>
              <w:rPr>
                <w:rFonts w:cstheme="minorHAnsi"/>
                <w:b/>
                <w:color w:val="000000"/>
                <w:sz w:val="36"/>
                <w:lang w:val="en-US"/>
              </w:rPr>
            </w:pPr>
            <w:r w:rsidRPr="000220A2">
              <w:rPr>
                <w:rFonts w:cstheme="minorHAnsi"/>
                <w:b/>
                <w:noProof/>
                <w:color w:val="000000"/>
                <w:sz w:val="36"/>
                <w:lang w:val="en-IN" w:eastAsia="en-IN"/>
              </w:rPr>
              <w:lastRenderedPageBreak/>
              <w:drawing>
                <wp:inline distT="0" distB="0" distL="0" distR="0" wp14:anchorId="0251AF9C" wp14:editId="299E7999">
                  <wp:extent cx="5009515" cy="7491298"/>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3.tif"/>
                          <pic:cNvPicPr/>
                        </pic:nvPicPr>
                        <pic:blipFill>
                          <a:blip r:embed="rId9">
                            <a:extLst>
                              <a:ext uri="{28A0092B-C50C-407E-A947-70E740481C1C}">
                                <a14:useLocalDpi xmlns:a14="http://schemas.microsoft.com/office/drawing/2010/main" val="0"/>
                              </a:ext>
                            </a:extLst>
                          </a:blip>
                          <a:stretch>
                            <a:fillRect/>
                          </a:stretch>
                        </pic:blipFill>
                        <pic:spPr>
                          <a:xfrm>
                            <a:off x="0" y="0"/>
                            <a:ext cx="5013949" cy="7497929"/>
                          </a:xfrm>
                          <a:prstGeom prst="rect">
                            <a:avLst/>
                          </a:prstGeom>
                        </pic:spPr>
                      </pic:pic>
                    </a:graphicData>
                  </a:graphic>
                </wp:inline>
              </w:drawing>
            </w:r>
          </w:p>
        </w:tc>
      </w:tr>
      <w:tr w:rsidR="00E53B82" w:rsidRPr="000220A2" w14:paraId="468DBFA0" w14:textId="77777777" w:rsidTr="006141A0">
        <w:tc>
          <w:tcPr>
            <w:tcW w:w="8494" w:type="dxa"/>
            <w:tcBorders>
              <w:top w:val="nil"/>
              <w:left w:val="nil"/>
              <w:bottom w:val="nil"/>
              <w:right w:val="nil"/>
            </w:tcBorders>
          </w:tcPr>
          <w:p w14:paraId="5F43C948" w14:textId="2847EB29" w:rsidR="00E53B82" w:rsidRPr="000220A2" w:rsidRDefault="00E53B82" w:rsidP="00E53B82">
            <w:pPr>
              <w:spacing w:line="276" w:lineRule="auto"/>
              <w:jc w:val="both"/>
              <w:rPr>
                <w:rFonts w:cstheme="minorHAnsi"/>
                <w:b/>
                <w:color w:val="000000"/>
                <w:lang w:val="en-US"/>
              </w:rPr>
            </w:pPr>
            <w:r w:rsidRPr="000220A2">
              <w:rPr>
                <w:rFonts w:cstheme="minorHAnsi"/>
                <w:lang w:val="en-US"/>
              </w:rPr>
              <w:t>Figure S3.</w:t>
            </w:r>
            <w:r w:rsidRPr="000220A2">
              <w:rPr>
                <w:rFonts w:cstheme="minorHAnsi"/>
                <w:b/>
                <w:color w:val="000000"/>
                <w:lang w:val="en-US"/>
              </w:rPr>
              <w:t xml:space="preserve"> I</w:t>
            </w:r>
            <w:r w:rsidRPr="000220A2">
              <w:rPr>
                <w:rFonts w:cstheme="minorHAnsi"/>
                <w:b/>
                <w:bCs/>
                <w:i/>
                <w:iCs/>
                <w:lang w:val="en-US"/>
              </w:rPr>
              <w:t xml:space="preserve">nter-observer variability of retrograde flow fraction, in-plane rotational flow and wall shear stress. </w:t>
            </w:r>
            <w:r w:rsidRPr="000220A2">
              <w:rPr>
                <w:rFonts w:cstheme="minorHAnsi"/>
                <w:i/>
                <w:iCs/>
                <w:lang w:val="en-US"/>
              </w:rPr>
              <w:t>Correlation (left) and Bland-Altman (right) plots for the inter-observer reproducibility of retrograde flow fraction (A and B), in-plane rotational flow (C and D) and wall shear stress (E and F). Dotted lines represent bisectors (left) and 95% confidence interval (right) while continuous lines represent best linear fit (left) and mean difference (right).</w:t>
            </w:r>
          </w:p>
        </w:tc>
      </w:tr>
      <w:tr w:rsidR="00E53B82" w:rsidRPr="000220A2" w14:paraId="444C5A82" w14:textId="77777777" w:rsidTr="006141A0">
        <w:tc>
          <w:tcPr>
            <w:tcW w:w="8494" w:type="dxa"/>
            <w:tcBorders>
              <w:top w:val="nil"/>
              <w:left w:val="nil"/>
              <w:bottom w:val="nil"/>
              <w:right w:val="nil"/>
            </w:tcBorders>
          </w:tcPr>
          <w:p w14:paraId="387A3B93" w14:textId="3682D9C8" w:rsidR="00E53B82" w:rsidRPr="000220A2" w:rsidRDefault="00E53B82" w:rsidP="00E53B82">
            <w:pPr>
              <w:spacing w:line="480" w:lineRule="auto"/>
              <w:jc w:val="center"/>
              <w:rPr>
                <w:rFonts w:cstheme="minorHAnsi"/>
                <w:b/>
                <w:color w:val="000000"/>
                <w:sz w:val="36"/>
                <w:lang w:val="en-US"/>
              </w:rPr>
            </w:pPr>
            <w:r w:rsidRPr="000220A2">
              <w:rPr>
                <w:rFonts w:cstheme="minorHAnsi"/>
                <w:b/>
                <w:noProof/>
                <w:color w:val="000000"/>
                <w:sz w:val="36"/>
                <w:lang w:val="en-IN" w:eastAsia="en-IN"/>
              </w:rPr>
              <w:lastRenderedPageBreak/>
              <w:drawing>
                <wp:inline distT="0" distB="0" distL="0" distR="0" wp14:anchorId="54E9B19C" wp14:editId="1851C804">
                  <wp:extent cx="5002441" cy="7480721"/>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4.tif"/>
                          <pic:cNvPicPr/>
                        </pic:nvPicPr>
                        <pic:blipFill>
                          <a:blip r:embed="rId10">
                            <a:extLst>
                              <a:ext uri="{28A0092B-C50C-407E-A947-70E740481C1C}">
                                <a14:useLocalDpi xmlns:a14="http://schemas.microsoft.com/office/drawing/2010/main" val="0"/>
                              </a:ext>
                            </a:extLst>
                          </a:blip>
                          <a:stretch>
                            <a:fillRect/>
                          </a:stretch>
                        </pic:blipFill>
                        <pic:spPr>
                          <a:xfrm>
                            <a:off x="0" y="0"/>
                            <a:ext cx="5011885" cy="7494844"/>
                          </a:xfrm>
                          <a:prstGeom prst="rect">
                            <a:avLst/>
                          </a:prstGeom>
                        </pic:spPr>
                      </pic:pic>
                    </a:graphicData>
                  </a:graphic>
                </wp:inline>
              </w:drawing>
            </w:r>
          </w:p>
        </w:tc>
      </w:tr>
      <w:tr w:rsidR="00E53B82" w:rsidRPr="000220A2" w14:paraId="64EDFE93" w14:textId="77777777" w:rsidTr="006141A0">
        <w:tc>
          <w:tcPr>
            <w:tcW w:w="8494" w:type="dxa"/>
            <w:tcBorders>
              <w:top w:val="nil"/>
              <w:left w:val="nil"/>
              <w:bottom w:val="nil"/>
              <w:right w:val="nil"/>
            </w:tcBorders>
          </w:tcPr>
          <w:p w14:paraId="4038FA7A" w14:textId="6F384000" w:rsidR="00E53B82" w:rsidRPr="000220A2" w:rsidRDefault="00E53B82" w:rsidP="00E53B82">
            <w:pPr>
              <w:spacing w:line="276" w:lineRule="auto"/>
              <w:jc w:val="both"/>
              <w:rPr>
                <w:rFonts w:cstheme="minorHAnsi"/>
                <w:b/>
                <w:color w:val="000000"/>
                <w:lang w:val="en-US"/>
              </w:rPr>
            </w:pPr>
            <w:r w:rsidRPr="000220A2">
              <w:rPr>
                <w:rFonts w:cstheme="minorHAnsi"/>
                <w:lang w:val="en-US"/>
              </w:rPr>
              <w:t>Figure S4.</w:t>
            </w:r>
            <w:r w:rsidRPr="000220A2">
              <w:rPr>
                <w:rFonts w:cstheme="minorHAnsi"/>
                <w:b/>
                <w:color w:val="000000"/>
                <w:lang w:val="en-US"/>
              </w:rPr>
              <w:t xml:space="preserve"> I</w:t>
            </w:r>
            <w:r w:rsidRPr="000220A2">
              <w:rPr>
                <w:rFonts w:cstheme="minorHAnsi"/>
                <w:b/>
                <w:bCs/>
                <w:i/>
                <w:iCs/>
                <w:lang w:val="en-US"/>
              </w:rPr>
              <w:t xml:space="preserve">nter-observer variability of kinetic energy, maximum systolic deceleration rate (MSDR) and flow stasis. </w:t>
            </w:r>
            <w:r w:rsidRPr="000220A2">
              <w:rPr>
                <w:rFonts w:cstheme="minorHAnsi"/>
                <w:i/>
                <w:iCs/>
                <w:lang w:val="en-US"/>
              </w:rPr>
              <w:t>Correlation (left) and Bland-Altman (right) plots for the inter-observer reproducibility of kinetic energy (A and B), MSDR (C and D) and flow stasis (E and F). Dotted lines represent bisectors (left) and 95% confidence interval (right) while continuous lines represent best linear fit (left) and mean difference (right).</w:t>
            </w:r>
          </w:p>
        </w:tc>
      </w:tr>
      <w:tr w:rsidR="00E53B82" w:rsidRPr="000220A2" w14:paraId="37DE75E3" w14:textId="77777777" w:rsidTr="006141A0">
        <w:tc>
          <w:tcPr>
            <w:tcW w:w="8494" w:type="dxa"/>
            <w:tcBorders>
              <w:top w:val="nil"/>
              <w:left w:val="nil"/>
              <w:bottom w:val="nil"/>
              <w:right w:val="nil"/>
            </w:tcBorders>
          </w:tcPr>
          <w:p w14:paraId="0A74A4AF" w14:textId="611D6CC0" w:rsidR="00E53B82" w:rsidRPr="000220A2" w:rsidRDefault="006141A0" w:rsidP="006141A0">
            <w:pPr>
              <w:spacing w:line="480" w:lineRule="auto"/>
              <w:jc w:val="center"/>
              <w:rPr>
                <w:rFonts w:cstheme="minorHAnsi"/>
                <w:b/>
                <w:color w:val="000000"/>
                <w:sz w:val="36"/>
                <w:lang w:val="en-US"/>
              </w:rPr>
            </w:pPr>
            <w:r w:rsidRPr="000220A2">
              <w:rPr>
                <w:rFonts w:cstheme="minorHAnsi"/>
                <w:b/>
                <w:noProof/>
                <w:color w:val="000000"/>
                <w:sz w:val="36"/>
                <w:lang w:val="en-IN" w:eastAsia="en-IN"/>
              </w:rPr>
              <w:lastRenderedPageBreak/>
              <w:drawing>
                <wp:inline distT="0" distB="0" distL="0" distR="0" wp14:anchorId="40E1F6CA" wp14:editId="66F95997">
                  <wp:extent cx="4945083" cy="7394944"/>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S5.tif"/>
                          <pic:cNvPicPr/>
                        </pic:nvPicPr>
                        <pic:blipFill>
                          <a:blip r:embed="rId11">
                            <a:extLst>
                              <a:ext uri="{28A0092B-C50C-407E-A947-70E740481C1C}">
                                <a14:useLocalDpi xmlns:a14="http://schemas.microsoft.com/office/drawing/2010/main" val="0"/>
                              </a:ext>
                            </a:extLst>
                          </a:blip>
                          <a:stretch>
                            <a:fillRect/>
                          </a:stretch>
                        </pic:blipFill>
                        <pic:spPr>
                          <a:xfrm>
                            <a:off x="0" y="0"/>
                            <a:ext cx="4977801" cy="7443871"/>
                          </a:xfrm>
                          <a:prstGeom prst="rect">
                            <a:avLst/>
                          </a:prstGeom>
                        </pic:spPr>
                      </pic:pic>
                    </a:graphicData>
                  </a:graphic>
                </wp:inline>
              </w:drawing>
            </w:r>
          </w:p>
        </w:tc>
      </w:tr>
      <w:tr w:rsidR="00E53B82" w:rsidRPr="000220A2" w14:paraId="5385D75F" w14:textId="77777777" w:rsidTr="006141A0">
        <w:tc>
          <w:tcPr>
            <w:tcW w:w="8494" w:type="dxa"/>
            <w:tcBorders>
              <w:top w:val="nil"/>
              <w:left w:val="nil"/>
              <w:bottom w:val="nil"/>
              <w:right w:val="nil"/>
            </w:tcBorders>
          </w:tcPr>
          <w:p w14:paraId="6C5D54A9" w14:textId="6C762174" w:rsidR="00E53B82" w:rsidRPr="000220A2" w:rsidRDefault="00E53B82" w:rsidP="00E53B82">
            <w:pPr>
              <w:spacing w:line="276" w:lineRule="auto"/>
              <w:jc w:val="both"/>
              <w:rPr>
                <w:rFonts w:cstheme="minorHAnsi"/>
                <w:b/>
                <w:color w:val="000000"/>
                <w:sz w:val="36"/>
                <w:lang w:val="en-US"/>
              </w:rPr>
            </w:pPr>
            <w:r w:rsidRPr="000220A2">
              <w:rPr>
                <w:rFonts w:cstheme="minorHAnsi"/>
                <w:lang w:val="en-US"/>
              </w:rPr>
              <w:t>Figure S5.</w:t>
            </w:r>
            <w:r w:rsidRPr="000220A2">
              <w:rPr>
                <w:rFonts w:cstheme="minorHAnsi"/>
                <w:b/>
                <w:color w:val="000000"/>
                <w:lang w:val="en-US"/>
              </w:rPr>
              <w:t xml:space="preserve"> I</w:t>
            </w:r>
            <w:r w:rsidRPr="000220A2">
              <w:rPr>
                <w:rFonts w:cstheme="minorHAnsi"/>
                <w:b/>
                <w:bCs/>
                <w:i/>
                <w:iCs/>
                <w:lang w:val="en-US"/>
              </w:rPr>
              <w:t xml:space="preserve">ntra-observer variability of maximum velocity and systolic and diastolic flows. </w:t>
            </w:r>
            <w:r w:rsidRPr="000220A2">
              <w:rPr>
                <w:rFonts w:cstheme="minorHAnsi"/>
                <w:i/>
                <w:iCs/>
                <w:lang w:val="en-US"/>
              </w:rPr>
              <w:t>Correlation (left) and Bland-Altman (right) plots for the intra-observer reproducibility of maximum velocity (A and B), retrograde systolic flow (C and D) and retrograde diastolic flow (E and F). Dotted lines represent bisectors (left) and 95% confidence interval (right) while continuous lines represent best linear fit (left) and mean difference (right).</w:t>
            </w:r>
          </w:p>
        </w:tc>
      </w:tr>
      <w:tr w:rsidR="00E53B82" w:rsidRPr="000220A2" w14:paraId="046420EF" w14:textId="77777777" w:rsidTr="006141A0">
        <w:tc>
          <w:tcPr>
            <w:tcW w:w="8494" w:type="dxa"/>
            <w:tcBorders>
              <w:top w:val="nil"/>
              <w:left w:val="nil"/>
              <w:bottom w:val="nil"/>
              <w:right w:val="nil"/>
            </w:tcBorders>
          </w:tcPr>
          <w:p w14:paraId="2E155B81" w14:textId="7077541B" w:rsidR="00E53B82" w:rsidRPr="000220A2" w:rsidRDefault="006141A0" w:rsidP="006141A0">
            <w:pPr>
              <w:spacing w:line="480" w:lineRule="auto"/>
              <w:jc w:val="center"/>
              <w:rPr>
                <w:rFonts w:cstheme="minorHAnsi"/>
                <w:b/>
                <w:color w:val="000000"/>
                <w:sz w:val="36"/>
                <w:lang w:val="en-US"/>
              </w:rPr>
            </w:pPr>
            <w:r w:rsidRPr="000220A2">
              <w:rPr>
                <w:rFonts w:cstheme="minorHAnsi"/>
                <w:b/>
                <w:noProof/>
                <w:color w:val="000000"/>
                <w:sz w:val="36"/>
                <w:lang w:val="en-IN" w:eastAsia="en-IN"/>
              </w:rPr>
              <w:lastRenderedPageBreak/>
              <w:drawing>
                <wp:inline distT="0" distB="0" distL="0" distR="0" wp14:anchorId="2CE2951C" wp14:editId="0EA20426">
                  <wp:extent cx="4867932" cy="7279574"/>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S6.tif"/>
                          <pic:cNvPicPr/>
                        </pic:nvPicPr>
                        <pic:blipFill>
                          <a:blip r:embed="rId12">
                            <a:extLst>
                              <a:ext uri="{28A0092B-C50C-407E-A947-70E740481C1C}">
                                <a14:useLocalDpi xmlns:a14="http://schemas.microsoft.com/office/drawing/2010/main" val="0"/>
                              </a:ext>
                            </a:extLst>
                          </a:blip>
                          <a:stretch>
                            <a:fillRect/>
                          </a:stretch>
                        </pic:blipFill>
                        <pic:spPr>
                          <a:xfrm>
                            <a:off x="0" y="0"/>
                            <a:ext cx="4876807" cy="7292846"/>
                          </a:xfrm>
                          <a:prstGeom prst="rect">
                            <a:avLst/>
                          </a:prstGeom>
                        </pic:spPr>
                      </pic:pic>
                    </a:graphicData>
                  </a:graphic>
                </wp:inline>
              </w:drawing>
            </w:r>
          </w:p>
        </w:tc>
      </w:tr>
      <w:tr w:rsidR="00E53B82" w:rsidRPr="000220A2" w14:paraId="6DC40D2F" w14:textId="77777777" w:rsidTr="006141A0">
        <w:tc>
          <w:tcPr>
            <w:tcW w:w="8494" w:type="dxa"/>
            <w:tcBorders>
              <w:top w:val="nil"/>
              <w:left w:val="nil"/>
              <w:bottom w:val="nil"/>
              <w:right w:val="nil"/>
            </w:tcBorders>
          </w:tcPr>
          <w:p w14:paraId="105025BA" w14:textId="1D972B2F" w:rsidR="00E53B82" w:rsidRPr="000220A2" w:rsidRDefault="00E53B82" w:rsidP="00E53B82">
            <w:pPr>
              <w:spacing w:line="276" w:lineRule="auto"/>
              <w:jc w:val="both"/>
              <w:rPr>
                <w:rFonts w:cstheme="minorHAnsi"/>
                <w:b/>
                <w:color w:val="000000"/>
                <w:sz w:val="36"/>
                <w:lang w:val="en-US"/>
              </w:rPr>
            </w:pPr>
            <w:r w:rsidRPr="000220A2">
              <w:rPr>
                <w:rFonts w:cstheme="minorHAnsi"/>
                <w:lang w:val="en-US"/>
              </w:rPr>
              <w:t>Figure S6.</w:t>
            </w:r>
            <w:r w:rsidRPr="000220A2">
              <w:rPr>
                <w:rFonts w:cstheme="minorHAnsi"/>
                <w:b/>
                <w:color w:val="000000"/>
                <w:lang w:val="en-US"/>
              </w:rPr>
              <w:t xml:space="preserve"> I</w:t>
            </w:r>
            <w:r w:rsidRPr="000220A2">
              <w:rPr>
                <w:rFonts w:cstheme="minorHAnsi"/>
                <w:b/>
                <w:bCs/>
                <w:i/>
                <w:iCs/>
                <w:lang w:val="en-US"/>
              </w:rPr>
              <w:t xml:space="preserve">ntra-observer variability of retrograde flow fraction, in-plane rotational flow and wall shear stress. </w:t>
            </w:r>
            <w:r w:rsidRPr="000220A2">
              <w:rPr>
                <w:rFonts w:cstheme="minorHAnsi"/>
                <w:i/>
                <w:iCs/>
                <w:lang w:val="en-US"/>
              </w:rPr>
              <w:t>Correlation (left) and Bland-Altman (right) plots for the intra-observer reproducibility of retrograde flow fraction (A and B), in-plane rotational flow (C and D) and wall shear stress (E and F). Dotted lines represent bisectors (left) and 95% confidence interval (right) while continuous lines represent best linear fit (left) and mean difference (right).</w:t>
            </w:r>
          </w:p>
        </w:tc>
      </w:tr>
    </w:tbl>
    <w:p w14:paraId="476A8B55" w14:textId="77777777" w:rsidR="00E53B82" w:rsidRPr="000220A2" w:rsidRDefault="00E53B82" w:rsidP="00A12A8D">
      <w:pPr>
        <w:spacing w:line="480" w:lineRule="auto"/>
        <w:jc w:val="both"/>
        <w:rPr>
          <w:rFonts w:cstheme="minorHAnsi"/>
          <w:b/>
          <w:color w:val="000000"/>
          <w:sz w:val="3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E53B82" w:rsidRPr="000220A2" w14:paraId="3BB066B3" w14:textId="77777777" w:rsidTr="006141A0">
        <w:tc>
          <w:tcPr>
            <w:tcW w:w="8494" w:type="dxa"/>
          </w:tcPr>
          <w:p w14:paraId="6B231383" w14:textId="4365FFE3" w:rsidR="00E53B82" w:rsidRPr="000220A2" w:rsidRDefault="006141A0" w:rsidP="006141A0">
            <w:pPr>
              <w:spacing w:line="480" w:lineRule="auto"/>
              <w:jc w:val="center"/>
              <w:rPr>
                <w:rFonts w:cstheme="minorHAnsi"/>
                <w:b/>
                <w:color w:val="000000"/>
                <w:sz w:val="36"/>
                <w:lang w:val="en-US"/>
              </w:rPr>
            </w:pPr>
            <w:r w:rsidRPr="000220A2">
              <w:rPr>
                <w:rFonts w:cstheme="minorHAnsi"/>
                <w:b/>
                <w:noProof/>
                <w:color w:val="000000"/>
                <w:sz w:val="36"/>
                <w:lang w:val="en-IN" w:eastAsia="en-IN"/>
              </w:rPr>
              <w:lastRenderedPageBreak/>
              <w:drawing>
                <wp:inline distT="0" distB="0" distL="0" distR="0" wp14:anchorId="3B167E28" wp14:editId="0D35078B">
                  <wp:extent cx="4883814" cy="730332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S7.tif"/>
                          <pic:cNvPicPr/>
                        </pic:nvPicPr>
                        <pic:blipFill>
                          <a:blip r:embed="rId13">
                            <a:extLst>
                              <a:ext uri="{28A0092B-C50C-407E-A947-70E740481C1C}">
                                <a14:useLocalDpi xmlns:a14="http://schemas.microsoft.com/office/drawing/2010/main" val="0"/>
                              </a:ext>
                            </a:extLst>
                          </a:blip>
                          <a:stretch>
                            <a:fillRect/>
                          </a:stretch>
                        </pic:blipFill>
                        <pic:spPr>
                          <a:xfrm>
                            <a:off x="0" y="0"/>
                            <a:ext cx="4889675" cy="7312089"/>
                          </a:xfrm>
                          <a:prstGeom prst="rect">
                            <a:avLst/>
                          </a:prstGeom>
                        </pic:spPr>
                      </pic:pic>
                    </a:graphicData>
                  </a:graphic>
                </wp:inline>
              </w:drawing>
            </w:r>
          </w:p>
        </w:tc>
      </w:tr>
      <w:tr w:rsidR="00E53B82" w:rsidRPr="000220A2" w14:paraId="0FBC9F03" w14:textId="77777777" w:rsidTr="006141A0">
        <w:tc>
          <w:tcPr>
            <w:tcW w:w="8494" w:type="dxa"/>
          </w:tcPr>
          <w:p w14:paraId="7960C042" w14:textId="3A048E1E" w:rsidR="00E53B82" w:rsidRPr="000220A2" w:rsidRDefault="006141A0" w:rsidP="00E53B82">
            <w:pPr>
              <w:spacing w:line="276" w:lineRule="auto"/>
              <w:jc w:val="both"/>
              <w:rPr>
                <w:rFonts w:cstheme="minorHAnsi"/>
                <w:b/>
                <w:color w:val="000000"/>
                <w:sz w:val="36"/>
                <w:lang w:val="en-US"/>
              </w:rPr>
            </w:pPr>
            <w:r w:rsidRPr="000220A2">
              <w:rPr>
                <w:rFonts w:cstheme="minorHAnsi"/>
                <w:lang w:val="en-US"/>
              </w:rPr>
              <w:t>Figure S7</w:t>
            </w:r>
            <w:r w:rsidR="00E53B82" w:rsidRPr="000220A2">
              <w:rPr>
                <w:rFonts w:cstheme="minorHAnsi"/>
                <w:lang w:val="en-US"/>
              </w:rPr>
              <w:t>.</w:t>
            </w:r>
            <w:r w:rsidR="00E53B82" w:rsidRPr="000220A2">
              <w:rPr>
                <w:rFonts w:cstheme="minorHAnsi"/>
                <w:b/>
                <w:color w:val="000000"/>
                <w:lang w:val="en-US"/>
              </w:rPr>
              <w:t xml:space="preserve"> I</w:t>
            </w:r>
            <w:r w:rsidR="00E53B82" w:rsidRPr="000220A2">
              <w:rPr>
                <w:rFonts w:cstheme="minorHAnsi"/>
                <w:b/>
                <w:bCs/>
                <w:i/>
                <w:iCs/>
                <w:lang w:val="en-US"/>
              </w:rPr>
              <w:t xml:space="preserve">ntra-observer variability of kinetic energy, maximum systolic deceleration rate (MSDR) and flow stasis. </w:t>
            </w:r>
            <w:r w:rsidR="00E53B82" w:rsidRPr="000220A2">
              <w:rPr>
                <w:rFonts w:cstheme="minorHAnsi"/>
                <w:i/>
                <w:iCs/>
                <w:lang w:val="en-US"/>
              </w:rPr>
              <w:t>Correlation (left) and Bland-Al</w:t>
            </w:r>
            <w:r w:rsidRPr="000220A2">
              <w:rPr>
                <w:rFonts w:cstheme="minorHAnsi"/>
                <w:i/>
                <w:iCs/>
                <w:lang w:val="en-US"/>
              </w:rPr>
              <w:t>tman (right) plots for the intra</w:t>
            </w:r>
            <w:r w:rsidR="00E53B82" w:rsidRPr="000220A2">
              <w:rPr>
                <w:rFonts w:cstheme="minorHAnsi"/>
                <w:i/>
                <w:iCs/>
                <w:lang w:val="en-US"/>
              </w:rPr>
              <w:t>-observer reproducibility of kinetic energy (A and B), MSDR (C and D) and flow stasis (E and F). Dotted lines represent bisectors (left) and 95% confidence interval (right) while continuous lines represent best linear fit (left) and mean difference (right).</w:t>
            </w:r>
          </w:p>
        </w:tc>
      </w:tr>
    </w:tbl>
    <w:p w14:paraId="0A3B0CF6" w14:textId="77777777" w:rsidR="00E53B82" w:rsidRPr="000220A2" w:rsidRDefault="00E53B82" w:rsidP="00A12A8D">
      <w:pPr>
        <w:spacing w:line="480" w:lineRule="auto"/>
        <w:jc w:val="both"/>
        <w:rPr>
          <w:rFonts w:cstheme="minorHAnsi"/>
          <w:b/>
          <w:color w:val="000000"/>
          <w:sz w:val="36"/>
          <w:lang w:val="en-US"/>
        </w:rPr>
      </w:pPr>
    </w:p>
    <w:p w14:paraId="13B05558" w14:textId="77777777" w:rsidR="00A12A8D" w:rsidRPr="000220A2" w:rsidRDefault="00A12A8D" w:rsidP="00A12A8D">
      <w:pPr>
        <w:spacing w:line="480" w:lineRule="auto"/>
        <w:jc w:val="both"/>
        <w:rPr>
          <w:rFonts w:cstheme="minorHAnsi"/>
          <w:b/>
          <w:color w:val="000000"/>
          <w:sz w:val="36"/>
        </w:rPr>
      </w:pPr>
      <w:r w:rsidRPr="000220A2">
        <w:rPr>
          <w:rFonts w:cstheme="minorHAnsi"/>
          <w:b/>
          <w:color w:val="000000"/>
          <w:sz w:val="36"/>
        </w:rPr>
        <w:lastRenderedPageBreak/>
        <w:t>REFERENCES</w:t>
      </w:r>
    </w:p>
    <w:p w14:paraId="276EBC35" w14:textId="77777777" w:rsidR="00563DB6" w:rsidRPr="000220A2" w:rsidRDefault="00563DB6" w:rsidP="00563DB6">
      <w:pPr>
        <w:spacing w:line="480" w:lineRule="auto"/>
        <w:jc w:val="both"/>
        <w:rPr>
          <w:lang w:val="en-US"/>
        </w:rPr>
      </w:pPr>
      <w:r w:rsidRPr="000220A2">
        <w:t xml:space="preserve">1. </w:t>
      </w:r>
      <w:r w:rsidRPr="000220A2">
        <w:rPr>
          <w:szCs w:val="32"/>
        </w:rPr>
        <w:t xml:space="preserve">Rodriguez-Palomares J, Dux-Santoy L, Guala A, Kale R, Maldonado G, Teixidó-Turà G, Galian L, Huguet M, Valente F, Gutiérrez L et al. </w:t>
      </w:r>
      <w:r w:rsidRPr="000220A2">
        <w:rPr>
          <w:szCs w:val="32"/>
          <w:lang w:val="en-US"/>
        </w:rPr>
        <w:t xml:space="preserve">Aortic flow patterns and wall shear stress maps by 4D-flow cardiovascular magnetic resonance in the assessment of aortic dilatation in bicuspid aortic valve disease. J Cardiovasc Magn Reson. 2018;20:28. doi: </w:t>
      </w:r>
      <w:r w:rsidRPr="000220A2">
        <w:rPr>
          <w:lang w:val="en-US"/>
        </w:rPr>
        <w:t>10.1186/s12968-018-0451-1.</w:t>
      </w:r>
    </w:p>
    <w:p w14:paraId="5E36FED1" w14:textId="77777777" w:rsidR="00563DB6" w:rsidRPr="000220A2" w:rsidRDefault="00563DB6" w:rsidP="00563DB6">
      <w:pPr>
        <w:spacing w:line="480" w:lineRule="auto"/>
        <w:jc w:val="both"/>
      </w:pPr>
      <w:r w:rsidRPr="000220A2">
        <w:rPr>
          <w:lang w:val="en-US"/>
        </w:rPr>
        <w:t xml:space="preserve">2. </w:t>
      </w:r>
      <w:r w:rsidRPr="000220A2">
        <w:rPr>
          <w:szCs w:val="32"/>
          <w:lang w:val="en-US"/>
        </w:rPr>
        <w:t xml:space="preserve">Stalder AF, Russe MF, Frydrychowicz A, Bock J, Hennig J, Markl M. Quantitative 2D and 3D phase contrast MRI: Optimized analysis of blood flow and vessel wall parameters. </w:t>
      </w:r>
      <w:r w:rsidRPr="000220A2">
        <w:rPr>
          <w:szCs w:val="32"/>
        </w:rPr>
        <w:t xml:space="preserve">Magn Reson Med. 2008;60:1218–1231. </w:t>
      </w:r>
      <w:r w:rsidRPr="000220A2">
        <w:t>doi:10.1002/mrm.21778.</w:t>
      </w:r>
    </w:p>
    <w:p w14:paraId="7EDA6F4A" w14:textId="77777777" w:rsidR="00563DB6" w:rsidRPr="000220A2" w:rsidRDefault="00563DB6" w:rsidP="00563DB6">
      <w:pPr>
        <w:spacing w:line="480" w:lineRule="auto"/>
        <w:jc w:val="both"/>
        <w:rPr>
          <w:lang w:val="en-US"/>
        </w:rPr>
      </w:pPr>
      <w:r w:rsidRPr="000220A2">
        <w:t xml:space="preserve">3. </w:t>
      </w:r>
      <w:r w:rsidRPr="000220A2">
        <w:rPr>
          <w:szCs w:val="32"/>
        </w:rPr>
        <w:t xml:space="preserve">Ruiz-Munoz A, Guala A, Teixido-Tura G, Dux-Santoy L, Sao-Aviles A, Lopez-Sainz A, Chiara G, Servato L, Casas G, Gonzalez-Alujas T et al. </w:t>
      </w:r>
      <w:r w:rsidRPr="000220A2">
        <w:rPr>
          <w:szCs w:val="32"/>
          <w:lang w:val="en-US"/>
        </w:rPr>
        <w:t xml:space="preserve">Aortic dilatation in patients with chronic descending aorta dissection is related to maximum false-lumen systolic flow deceleration rate as evaluated by 4D-flow MRI. Eur Hear J - Cardiovasc Imaging. 2020;21. doi: </w:t>
      </w:r>
      <w:r w:rsidRPr="000220A2">
        <w:rPr>
          <w:lang w:val="en-US"/>
        </w:rPr>
        <w:t>10.1093/ehjci/jez319.1018.</w:t>
      </w:r>
    </w:p>
    <w:p w14:paraId="1CEC6225" w14:textId="77777777" w:rsidR="00563DB6" w:rsidRPr="000220A2" w:rsidRDefault="00563DB6" w:rsidP="00563DB6">
      <w:pPr>
        <w:spacing w:line="480" w:lineRule="auto"/>
        <w:jc w:val="both"/>
        <w:rPr>
          <w:lang w:val="en-US"/>
        </w:rPr>
      </w:pPr>
      <w:r w:rsidRPr="000220A2">
        <w:rPr>
          <w:lang w:val="en-US"/>
        </w:rPr>
        <w:t xml:space="preserve">4. </w:t>
      </w:r>
      <w:r w:rsidRPr="000220A2">
        <w:rPr>
          <w:szCs w:val="32"/>
          <w:lang w:val="en-US"/>
        </w:rPr>
        <w:t xml:space="preserve">Ziegler M, Welander M, Lantz J, Lindenberger M, Bjarnegård N, Karlsson M, Ebbers T, Länne T, Dyverfeldt P. Visualizing and quantifying flow stasis in abdominal aortic aneurysms in men using 4D flow MRI. Magn Reson Imaging. 2019;57:103–110. </w:t>
      </w:r>
      <w:r w:rsidRPr="000220A2">
        <w:rPr>
          <w:lang w:val="en-US"/>
        </w:rPr>
        <w:t>doi:10.1016/j.mri.2018.11.003.</w:t>
      </w:r>
    </w:p>
    <w:p w14:paraId="337DED73" w14:textId="77777777" w:rsidR="00563DB6" w:rsidRPr="000220A2" w:rsidRDefault="00563DB6" w:rsidP="00563DB6">
      <w:pPr>
        <w:spacing w:line="480" w:lineRule="auto"/>
        <w:jc w:val="both"/>
      </w:pPr>
      <w:r w:rsidRPr="000220A2">
        <w:rPr>
          <w:lang w:val="en-US"/>
        </w:rPr>
        <w:t xml:space="preserve">5. </w:t>
      </w:r>
      <w:r w:rsidRPr="000220A2">
        <w:rPr>
          <w:szCs w:val="32"/>
          <w:lang w:val="en-US"/>
        </w:rPr>
        <w:t xml:space="preserve">Bargiotas I, Mousseaux E, Yu WC, Venkatesh BA, Bollache E, De Cesare A, Lima JAC, Redheuil A, Kachenoura N. Estimation of aortic pulse wave transit time in cardiovascular magnetic resonance using complex wavelet cross-spectrum analysis. </w:t>
      </w:r>
      <w:r w:rsidRPr="000220A2">
        <w:rPr>
          <w:szCs w:val="32"/>
        </w:rPr>
        <w:t>J Cardiovasc Magn Reson. 2015;17:65. doi:10.1186/s12968-015-0164-7.</w:t>
      </w:r>
    </w:p>
    <w:p w14:paraId="4FF20B82" w14:textId="227BB26E" w:rsidR="00A12A8D" w:rsidRPr="004B7D12" w:rsidRDefault="00563DB6" w:rsidP="00563DB6">
      <w:pPr>
        <w:spacing w:line="480" w:lineRule="auto"/>
        <w:jc w:val="both"/>
        <w:rPr>
          <w:lang w:val="en-US"/>
        </w:rPr>
      </w:pPr>
      <w:r w:rsidRPr="000220A2">
        <w:t xml:space="preserve">6. </w:t>
      </w:r>
      <w:r w:rsidRPr="000220A2">
        <w:rPr>
          <w:szCs w:val="32"/>
        </w:rPr>
        <w:t xml:space="preserve">Guala A, Rodriguez-Palomares J, Dux-Santoy L, Teixidó-Turà G, Maldonado G, Galian L, Huguet M, Valente F, Gutiérrez L, González-Alujas MT et al. </w:t>
      </w:r>
      <w:r w:rsidRPr="000220A2">
        <w:rPr>
          <w:szCs w:val="32"/>
          <w:lang w:val="en-US"/>
        </w:rPr>
        <w:t>Influence of Aortic Dilation on the Regional Aortic Stiffness of Bicuspid Aortic Valve Assessed by 4-Dimensional Flow Cardiac Magnetic Resonance: Comparison With Marfan Syndrome and Degenerative Aortic Aneurysm. JACC Cardiovasc Imaging. 2019;12:1020–1029. doi:10.1016/j.jcmg.2018.03.017.</w:t>
      </w:r>
      <w:bookmarkStart w:id="0" w:name="_GoBack"/>
      <w:bookmarkEnd w:id="0"/>
    </w:p>
    <w:sectPr w:rsidR="00A12A8D" w:rsidRPr="004B7D12" w:rsidSect="000220A2">
      <w:footerReference w:type="default" r:id="rId14"/>
      <w:pgSz w:w="11906" w:h="16838"/>
      <w:pgMar w:top="1417"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96992D" w16cex:dateUtc="2022-01-22T13: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24F3DD" w16cid:durableId="2596992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3F06F" w14:textId="77777777" w:rsidR="006D73EC" w:rsidRDefault="006D73EC" w:rsidP="0034474E">
      <w:pPr>
        <w:spacing w:after="0" w:line="240" w:lineRule="auto"/>
      </w:pPr>
      <w:r>
        <w:separator/>
      </w:r>
    </w:p>
  </w:endnote>
  <w:endnote w:type="continuationSeparator" w:id="0">
    <w:p w14:paraId="5D7708D6" w14:textId="77777777" w:rsidR="006D73EC" w:rsidRDefault="006D73EC" w:rsidP="00344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0547569"/>
      <w:docPartObj>
        <w:docPartGallery w:val="Page Numbers (Bottom of Page)"/>
        <w:docPartUnique/>
      </w:docPartObj>
    </w:sdtPr>
    <w:sdtEndPr>
      <w:rPr>
        <w:noProof/>
      </w:rPr>
    </w:sdtEndPr>
    <w:sdtContent>
      <w:p w14:paraId="3360BEA2" w14:textId="7E49155C" w:rsidR="00E53B82" w:rsidRDefault="00E53B82">
        <w:pPr>
          <w:pStyle w:val="Footer"/>
          <w:jc w:val="center"/>
        </w:pPr>
        <w:r>
          <w:fldChar w:fldCharType="begin"/>
        </w:r>
        <w:r>
          <w:instrText xml:space="preserve"> PAGE   \* MERGEFORMAT </w:instrText>
        </w:r>
        <w:r>
          <w:fldChar w:fldCharType="separate"/>
        </w:r>
        <w:r w:rsidR="000220A2">
          <w:rPr>
            <w:noProof/>
          </w:rPr>
          <w:t>13</w:t>
        </w:r>
        <w:r>
          <w:rPr>
            <w:noProof/>
          </w:rPr>
          <w:fldChar w:fldCharType="end"/>
        </w:r>
      </w:p>
    </w:sdtContent>
  </w:sdt>
  <w:p w14:paraId="7FDF6296" w14:textId="77777777" w:rsidR="00E53B82" w:rsidRDefault="00E53B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53E6E1" w14:textId="77777777" w:rsidR="006D73EC" w:rsidRDefault="006D73EC" w:rsidP="0034474E">
      <w:pPr>
        <w:spacing w:after="0" w:line="240" w:lineRule="auto"/>
      </w:pPr>
      <w:r>
        <w:separator/>
      </w:r>
    </w:p>
  </w:footnote>
  <w:footnote w:type="continuationSeparator" w:id="0">
    <w:p w14:paraId="1285915F" w14:textId="77777777" w:rsidR="006D73EC" w:rsidRDefault="006D73EC" w:rsidP="003447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2sDQzsDAysjQ0szBT0lEKTi0uzszPAykwrgUAY8m2MiwAAAA="/>
  </w:docVars>
  <w:rsids>
    <w:rsidRoot w:val="00301D9C"/>
    <w:rsid w:val="000220A2"/>
    <w:rsid w:val="000310FA"/>
    <w:rsid w:val="00042CD3"/>
    <w:rsid w:val="000523C0"/>
    <w:rsid w:val="00052B8D"/>
    <w:rsid w:val="00057329"/>
    <w:rsid w:val="00097BA3"/>
    <w:rsid w:val="000C2481"/>
    <w:rsid w:val="000E1076"/>
    <w:rsid w:val="0010096D"/>
    <w:rsid w:val="00132F3A"/>
    <w:rsid w:val="0016497C"/>
    <w:rsid w:val="00172F93"/>
    <w:rsid w:val="001E158A"/>
    <w:rsid w:val="002368FB"/>
    <w:rsid w:val="0023705F"/>
    <w:rsid w:val="00240A26"/>
    <w:rsid w:val="00243752"/>
    <w:rsid w:val="0025179B"/>
    <w:rsid w:val="00261BAC"/>
    <w:rsid w:val="00281E01"/>
    <w:rsid w:val="00301D9C"/>
    <w:rsid w:val="003045A3"/>
    <w:rsid w:val="0034146E"/>
    <w:rsid w:val="0034474E"/>
    <w:rsid w:val="003A1BE9"/>
    <w:rsid w:val="003D6801"/>
    <w:rsid w:val="003E461A"/>
    <w:rsid w:val="0045726A"/>
    <w:rsid w:val="00486856"/>
    <w:rsid w:val="004B7D12"/>
    <w:rsid w:val="004C69B7"/>
    <w:rsid w:val="004E5CF3"/>
    <w:rsid w:val="00505FAB"/>
    <w:rsid w:val="0055642F"/>
    <w:rsid w:val="00563DB6"/>
    <w:rsid w:val="00570714"/>
    <w:rsid w:val="0059080B"/>
    <w:rsid w:val="005D3421"/>
    <w:rsid w:val="00604A5E"/>
    <w:rsid w:val="006141A0"/>
    <w:rsid w:val="006742BB"/>
    <w:rsid w:val="006A6825"/>
    <w:rsid w:val="006B75AF"/>
    <w:rsid w:val="006C384C"/>
    <w:rsid w:val="006D73EC"/>
    <w:rsid w:val="006F77BA"/>
    <w:rsid w:val="007258A8"/>
    <w:rsid w:val="007258B2"/>
    <w:rsid w:val="00764F6E"/>
    <w:rsid w:val="0079144C"/>
    <w:rsid w:val="00796524"/>
    <w:rsid w:val="007C543D"/>
    <w:rsid w:val="007D7519"/>
    <w:rsid w:val="008078F9"/>
    <w:rsid w:val="0087395A"/>
    <w:rsid w:val="008E71D5"/>
    <w:rsid w:val="008F19B3"/>
    <w:rsid w:val="00915C48"/>
    <w:rsid w:val="00932A76"/>
    <w:rsid w:val="0094573B"/>
    <w:rsid w:val="0094601A"/>
    <w:rsid w:val="00946EA4"/>
    <w:rsid w:val="009679C9"/>
    <w:rsid w:val="009732C0"/>
    <w:rsid w:val="009836DE"/>
    <w:rsid w:val="00A12A8D"/>
    <w:rsid w:val="00A41B88"/>
    <w:rsid w:val="00A42A16"/>
    <w:rsid w:val="00A85062"/>
    <w:rsid w:val="00AA2DA8"/>
    <w:rsid w:val="00AD0D2E"/>
    <w:rsid w:val="00AD4B86"/>
    <w:rsid w:val="00AD5ED5"/>
    <w:rsid w:val="00B01C1B"/>
    <w:rsid w:val="00B07EFE"/>
    <w:rsid w:val="00B12EBF"/>
    <w:rsid w:val="00B44320"/>
    <w:rsid w:val="00B8378F"/>
    <w:rsid w:val="00BD68AD"/>
    <w:rsid w:val="00C00809"/>
    <w:rsid w:val="00C16EE9"/>
    <w:rsid w:val="00C210F3"/>
    <w:rsid w:val="00C31559"/>
    <w:rsid w:val="00C6569E"/>
    <w:rsid w:val="00CB11EC"/>
    <w:rsid w:val="00CC04F6"/>
    <w:rsid w:val="00CE1BE1"/>
    <w:rsid w:val="00CF284E"/>
    <w:rsid w:val="00D272BB"/>
    <w:rsid w:val="00D4016F"/>
    <w:rsid w:val="00D56987"/>
    <w:rsid w:val="00D64CA0"/>
    <w:rsid w:val="00D94BC0"/>
    <w:rsid w:val="00DD0DD8"/>
    <w:rsid w:val="00DE193D"/>
    <w:rsid w:val="00DE710D"/>
    <w:rsid w:val="00E04AEA"/>
    <w:rsid w:val="00E16038"/>
    <w:rsid w:val="00E3696E"/>
    <w:rsid w:val="00E44DF0"/>
    <w:rsid w:val="00E4764F"/>
    <w:rsid w:val="00E53B82"/>
    <w:rsid w:val="00E94543"/>
    <w:rsid w:val="00E971A1"/>
    <w:rsid w:val="00EA389C"/>
    <w:rsid w:val="00ED2194"/>
    <w:rsid w:val="00F2005A"/>
    <w:rsid w:val="00F80038"/>
    <w:rsid w:val="00F8230B"/>
    <w:rsid w:val="00F83580"/>
    <w:rsid w:val="00FC02F8"/>
    <w:rsid w:val="00FC6A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6D29E"/>
  <w15:chartTrackingRefBased/>
  <w15:docId w15:val="{01A53B6F-273E-42F1-86E0-FD451077D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D9C"/>
    <w:pPr>
      <w:ind w:left="720"/>
      <w:contextualSpacing/>
    </w:pPr>
  </w:style>
  <w:style w:type="character" w:styleId="CommentReference">
    <w:name w:val="annotation reference"/>
    <w:basedOn w:val="DefaultParagraphFont"/>
    <w:uiPriority w:val="99"/>
    <w:semiHidden/>
    <w:unhideWhenUsed/>
    <w:rsid w:val="00301D9C"/>
    <w:rPr>
      <w:sz w:val="16"/>
      <w:szCs w:val="16"/>
    </w:rPr>
  </w:style>
  <w:style w:type="paragraph" w:styleId="CommentText">
    <w:name w:val="annotation text"/>
    <w:basedOn w:val="Normal"/>
    <w:link w:val="CommentTextChar"/>
    <w:uiPriority w:val="99"/>
    <w:semiHidden/>
    <w:unhideWhenUsed/>
    <w:rsid w:val="00301D9C"/>
    <w:pPr>
      <w:spacing w:line="240" w:lineRule="auto"/>
    </w:pPr>
    <w:rPr>
      <w:rFonts w:ascii="Calibri" w:eastAsia="Calibri" w:hAnsi="Calibri" w:cs="Calibri"/>
      <w:sz w:val="20"/>
      <w:szCs w:val="20"/>
      <w:lang w:val="en-GB"/>
    </w:rPr>
  </w:style>
  <w:style w:type="character" w:customStyle="1" w:styleId="CommentTextChar">
    <w:name w:val="Comment Text Char"/>
    <w:basedOn w:val="DefaultParagraphFont"/>
    <w:link w:val="CommentText"/>
    <w:uiPriority w:val="99"/>
    <w:semiHidden/>
    <w:rsid w:val="00301D9C"/>
    <w:rPr>
      <w:rFonts w:ascii="Calibri" w:eastAsia="Calibri" w:hAnsi="Calibri" w:cs="Calibri"/>
      <w:sz w:val="20"/>
      <w:szCs w:val="20"/>
      <w:lang w:val="en-GB"/>
    </w:rPr>
  </w:style>
  <w:style w:type="paragraph" w:styleId="BalloonText">
    <w:name w:val="Balloon Text"/>
    <w:basedOn w:val="Normal"/>
    <w:link w:val="BalloonTextChar"/>
    <w:uiPriority w:val="99"/>
    <w:semiHidden/>
    <w:unhideWhenUsed/>
    <w:rsid w:val="00301D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D9C"/>
    <w:rPr>
      <w:rFonts w:ascii="Segoe UI" w:hAnsi="Segoe UI" w:cs="Segoe UI"/>
      <w:sz w:val="18"/>
      <w:szCs w:val="18"/>
    </w:rPr>
  </w:style>
  <w:style w:type="character" w:styleId="PlaceholderText">
    <w:name w:val="Placeholder Text"/>
    <w:basedOn w:val="DefaultParagraphFont"/>
    <w:uiPriority w:val="99"/>
    <w:semiHidden/>
    <w:rsid w:val="009732C0"/>
    <w:rPr>
      <w:color w:val="808080"/>
    </w:rPr>
  </w:style>
  <w:style w:type="table" w:styleId="TableGrid">
    <w:name w:val="Table Grid"/>
    <w:basedOn w:val="TableNormal"/>
    <w:uiPriority w:val="39"/>
    <w:rsid w:val="00D64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E71D5"/>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3A1BE9"/>
    <w:rPr>
      <w:rFonts w:asciiTheme="minorHAnsi" w:eastAsiaTheme="minorHAnsi" w:hAnsiTheme="minorHAnsi" w:cstheme="minorBidi"/>
      <w:b/>
      <w:bCs/>
      <w:lang w:val="es-ES"/>
    </w:rPr>
  </w:style>
  <w:style w:type="character" w:customStyle="1" w:styleId="CommentSubjectChar">
    <w:name w:val="Comment Subject Char"/>
    <w:basedOn w:val="CommentTextChar"/>
    <w:link w:val="CommentSubject"/>
    <w:uiPriority w:val="99"/>
    <w:semiHidden/>
    <w:rsid w:val="003A1BE9"/>
    <w:rPr>
      <w:rFonts w:ascii="Calibri" w:eastAsia="Calibri" w:hAnsi="Calibri" w:cs="Calibri"/>
      <w:b/>
      <w:bCs/>
      <w:sz w:val="20"/>
      <w:szCs w:val="20"/>
      <w:lang w:val="en-GB"/>
    </w:rPr>
  </w:style>
  <w:style w:type="paragraph" w:styleId="Header">
    <w:name w:val="header"/>
    <w:basedOn w:val="Normal"/>
    <w:link w:val="HeaderChar"/>
    <w:uiPriority w:val="99"/>
    <w:unhideWhenUsed/>
    <w:rsid w:val="0034474E"/>
    <w:pPr>
      <w:tabs>
        <w:tab w:val="center" w:pos="4419"/>
        <w:tab w:val="right" w:pos="8838"/>
      </w:tabs>
      <w:spacing w:after="0" w:line="240" w:lineRule="auto"/>
    </w:pPr>
  </w:style>
  <w:style w:type="character" w:customStyle="1" w:styleId="HeaderChar">
    <w:name w:val="Header Char"/>
    <w:basedOn w:val="DefaultParagraphFont"/>
    <w:link w:val="Header"/>
    <w:uiPriority w:val="99"/>
    <w:rsid w:val="0034474E"/>
  </w:style>
  <w:style w:type="paragraph" w:styleId="Footer">
    <w:name w:val="footer"/>
    <w:basedOn w:val="Normal"/>
    <w:link w:val="FooterChar"/>
    <w:uiPriority w:val="99"/>
    <w:unhideWhenUsed/>
    <w:rsid w:val="0034474E"/>
    <w:pPr>
      <w:tabs>
        <w:tab w:val="center" w:pos="4419"/>
        <w:tab w:val="right" w:pos="8838"/>
      </w:tabs>
      <w:spacing w:after="0" w:line="240" w:lineRule="auto"/>
    </w:pPr>
  </w:style>
  <w:style w:type="character" w:customStyle="1" w:styleId="FooterChar">
    <w:name w:val="Footer Char"/>
    <w:basedOn w:val="DefaultParagraphFont"/>
    <w:link w:val="Footer"/>
    <w:uiPriority w:val="99"/>
    <w:rsid w:val="0034474E"/>
  </w:style>
  <w:style w:type="paragraph" w:styleId="NoSpacing">
    <w:name w:val="No Spacing"/>
    <w:uiPriority w:val="1"/>
    <w:qFormat/>
    <w:rsid w:val="002368FB"/>
    <w:pPr>
      <w:spacing w:after="0" w:line="240" w:lineRule="auto"/>
    </w:pPr>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image" Target="media/image1.tif"/><Relationship Id="rId12" Type="http://schemas.openxmlformats.org/officeDocument/2006/relationships/image" Target="media/image6.tif"/><Relationship Id="rId2" Type="http://schemas.openxmlformats.org/officeDocument/2006/relationships/styles" Target="styles.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201FD-54BA-4726-8CF1-9EBCB5D07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6440</Words>
  <Characters>36711</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Aroa Ruiz-Muñoz</dc:creator>
  <cp:keywords/>
  <dc:description/>
  <cp:lastModifiedBy>Priya V.</cp:lastModifiedBy>
  <cp:revision>6</cp:revision>
  <dcterms:created xsi:type="dcterms:W3CDTF">2022-01-22T13:57:00Z</dcterms:created>
  <dcterms:modified xsi:type="dcterms:W3CDTF">2022-03-18T11:17:00Z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http://www.zotero.org/styles/american-medical-association-no-url</vt:lpwstr>
  </property>
  <property fmtid="{D5CDD505-2E9C-101B-9397-08002B2CF9AE}" pid="5" name="Mendeley Recent Style Name 1_1">
    <vt:lpwstr>American Medical Association 11th edition (no URL)</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http://www.zotero.org/styles/circulation</vt:lpwstr>
  </property>
  <property fmtid="{D5CDD505-2E9C-101B-9397-08002B2CF9AE}" pid="9" name="Mendeley Recent Style Name 3_1">
    <vt:lpwstr>Circulation</vt:lpwstr>
  </property>
  <property fmtid="{D5CDD505-2E9C-101B-9397-08002B2CF9AE}" pid="10" name="Mendeley Recent Style Id 4_1">
    <vt:lpwstr>http://www.zotero.org/styles/european-radiology</vt:lpwstr>
  </property>
  <property fmtid="{D5CDD505-2E9C-101B-9397-08002B2CF9AE}" pid="11" name="Mendeley Recent Style Name 4_1">
    <vt:lpwstr>European Radiology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4cb1a999-cce7-3f1c-82e7-77bf27073903</vt:lpwstr>
  </property>
  <property fmtid="{D5CDD505-2E9C-101B-9397-08002B2CF9AE}" pid="24" name="Mendeley Citation Style_1">
    <vt:lpwstr>http://www.zotero.org/styles/vancouver</vt:lpwstr>
  </property>
</Properties>
</file>