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2288" w14:textId="77777777" w:rsidR="000D6706" w:rsidRDefault="000D6706" w:rsidP="000D6706">
      <w:pPr>
        <w:spacing w:line="240" w:lineRule="auto"/>
      </w:pPr>
      <w:r>
        <w:rPr>
          <w:noProof/>
        </w:rPr>
        <w:drawing>
          <wp:inline distT="0" distB="0" distL="0" distR="0" wp14:anchorId="1BA92717" wp14:editId="434D4D9C">
            <wp:extent cx="5332730" cy="2794635"/>
            <wp:effectExtent l="0" t="0" r="1270" b="5715"/>
            <wp:docPr id="4" name="Picture 4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30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08F40" w14:textId="77777777" w:rsidR="000D6706" w:rsidRDefault="000D6706" w:rsidP="000D6706">
      <w:pPr>
        <w:spacing w:line="240" w:lineRule="auto"/>
      </w:pPr>
    </w:p>
    <w:p w14:paraId="66746DE7" w14:textId="77777777" w:rsidR="000D6706" w:rsidRPr="00443799" w:rsidRDefault="000D6706" w:rsidP="000D6706">
      <w:pPr>
        <w:spacing w:line="240" w:lineRule="auto"/>
        <w:rPr>
          <w:sz w:val="20"/>
          <w:szCs w:val="20"/>
        </w:rPr>
      </w:pPr>
      <w:r w:rsidRPr="00443799">
        <w:rPr>
          <w:b/>
          <w:bCs/>
          <w:sz w:val="20"/>
          <w:szCs w:val="20"/>
        </w:rPr>
        <w:t>Additional file 1</w:t>
      </w:r>
      <w:r>
        <w:rPr>
          <w:b/>
          <w:bCs/>
          <w:sz w:val="20"/>
          <w:szCs w:val="20"/>
        </w:rPr>
        <w:t>5</w:t>
      </w:r>
      <w:r w:rsidRPr="00443799">
        <w:rPr>
          <w:b/>
          <w:bCs/>
          <w:sz w:val="20"/>
          <w:szCs w:val="20"/>
        </w:rPr>
        <w:t>:</w:t>
      </w:r>
      <w:r w:rsidRPr="00443799">
        <w:rPr>
          <w:sz w:val="20"/>
          <w:szCs w:val="20"/>
        </w:rPr>
        <w:t xml:space="preserve"> (a) Geometries, (b) volumes, and (c) relative area change in the MPA of patients with CTEPH and the cohort of patients with normal LV/RV and PA function, but with mild to moderate </w:t>
      </w:r>
      <w:proofErr w:type="spellStart"/>
      <w:r w:rsidRPr="00443799">
        <w:rPr>
          <w:sz w:val="20"/>
          <w:szCs w:val="20"/>
        </w:rPr>
        <w:t>vavulopathies</w:t>
      </w:r>
      <w:proofErr w:type="spellEnd"/>
      <w:r w:rsidRPr="00443799">
        <w:rPr>
          <w:sz w:val="20"/>
          <w:szCs w:val="20"/>
        </w:rPr>
        <w:t>.</w:t>
      </w:r>
    </w:p>
    <w:p w14:paraId="0C4AA8A4" w14:textId="77777777" w:rsidR="00C55A64" w:rsidRDefault="00C55A64"/>
    <w:sectPr w:rsidR="00C55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06"/>
    <w:rsid w:val="000D6706"/>
    <w:rsid w:val="00C5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6C84B"/>
  <w15:chartTrackingRefBased/>
  <w15:docId w15:val="{A37BD68B-2BC6-4FDA-828D-7166C392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706"/>
    <w:pPr>
      <w:spacing w:line="48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Lian Dong</dc:creator>
  <cp:keywords/>
  <dc:description/>
  <cp:lastModifiedBy>Melody Lian Dong</cp:lastModifiedBy>
  <cp:revision>1</cp:revision>
  <dcterms:created xsi:type="dcterms:W3CDTF">2022-10-14T17:18:00Z</dcterms:created>
  <dcterms:modified xsi:type="dcterms:W3CDTF">2022-10-14T17:18:00Z</dcterms:modified>
</cp:coreProperties>
</file>