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D6A1DE" w14:textId="77777777" w:rsidR="00F42929" w:rsidRDefault="00F42929" w:rsidP="00F42929">
      <w:pPr>
        <w:pStyle w:val="Heading1"/>
      </w:pPr>
      <w:r>
        <w:t xml:space="preserve">Additional file 2: </w:t>
      </w:r>
      <w:r w:rsidRPr="003431F3">
        <w:rPr>
          <w:i/>
          <w:iCs/>
        </w:rPr>
        <w:t>PrecDist</w:t>
      </w:r>
      <w:r>
        <w:t xml:space="preserve"> measurement definition in pulsatile conditions</w:t>
      </w:r>
    </w:p>
    <w:p w14:paraId="460CBDE1" w14:textId="77777777" w:rsidR="00F42929" w:rsidRDefault="00F42929" w:rsidP="00F42929"/>
    <w:p w14:paraId="71DD40DE" w14:textId="77777777" w:rsidR="00F42929" w:rsidRDefault="00F42929" w:rsidP="00F42929">
      <w:r>
        <w:t xml:space="preserve">In pulsatile conditions, the quantification of </w:t>
      </w:r>
      <w:r w:rsidRPr="00001E9D">
        <w:rPr>
          <w:i/>
          <w:iCs/>
        </w:rPr>
        <w:t>PrecDist-M</w:t>
      </w:r>
      <w:r w:rsidDel="008219BE">
        <w:t xml:space="preserve"> </w:t>
      </w:r>
      <w:r>
        <w:t>would require a careful choice of instant that minimises the impact of potential confounding factors. This choice is not easy, and the robust computation is done by averaging the pressure differences through the entire systolic interval as explained here.</w:t>
      </w:r>
    </w:p>
    <w:p w14:paraId="500E8693" w14:textId="77777777" w:rsidR="00F42929" w:rsidRDefault="00F42929" w:rsidP="00F42929">
      <w:r w:rsidRPr="00B54236">
        <w:rPr>
          <w:i/>
          <w:iCs/>
        </w:rPr>
        <w:t>PrecDist-M</w:t>
      </w:r>
      <w:r>
        <w:t xml:space="preserve"> may be initially defined at the instant when the ΔP</w:t>
      </w:r>
      <w:r>
        <w:rPr>
          <w:vertAlign w:val="subscript"/>
        </w:rPr>
        <w:t>peak</w:t>
      </w:r>
      <w:r w:rsidDel="0048741A">
        <w:t xml:space="preserve"> </w:t>
      </w:r>
      <w:r>
        <w:t>is maximal across the valve, motivated by the fact that the ΔP</w:t>
      </w:r>
      <w:r>
        <w:rPr>
          <w:vertAlign w:val="subscript"/>
        </w:rPr>
        <w:t>peak</w:t>
      </w:r>
      <w:r>
        <w:t xml:space="preserve"> is fundamental in the early diagnosis of stenotic conditions </w:t>
      </w:r>
      <w:r>
        <w:fldChar w:fldCharType="begin"/>
      </w:r>
      <w:r>
        <w:instrText xml:space="preserve"> ADDIN EN.CITE &lt;EndNote&gt;&lt;Cite&gt;&lt;Author&gt;Falk&lt;/Author&gt;&lt;Year&gt;2017&lt;/Year&gt;&lt;RecNum&gt;2267&lt;/RecNum&gt;&lt;DisplayText&gt;(1)&lt;/DisplayText&gt;&lt;record&gt;&lt;rec-number&gt;2267&lt;/rec-number&gt;&lt;foreign-keys&gt;&lt;key app="EN" db-id="ewspvdxalvtfa1e5przpv2sqwaadds95sxvd" timestamp="1635180024"&gt;2267&lt;/key&gt;&lt;/foreign-keys&gt;&lt;ref-type name="Journal Article"&gt;17&lt;/ref-type&gt;&lt;contributors&gt;&lt;authors&gt;&lt;author&gt;Falk, Volkmar&lt;/author&gt;&lt;author&gt;Baumgartner, Helmut&lt;/author&gt;&lt;author&gt;Bax, Jeroen J&lt;/author&gt;&lt;author&gt;De Bonis, Michele&lt;/author&gt;&lt;author&gt;Hamm, Christian&lt;/author&gt;&lt;author&gt;Holm, Per Johan&lt;/author&gt;&lt;author&gt;Iung, Bernard&lt;/author&gt;&lt;author&gt;Lancellotti, Patrizio&lt;/author&gt;&lt;author&gt;Lansac, Emmanuel&lt;/author&gt;&lt;author&gt;Muñoz, Daniel Rodriguez&lt;/author&gt;&lt;/authors&gt;&lt;/contributors&gt;&lt;titles&gt;&lt;title&gt;2017 ESC/EACTS Guidelines for the management of valvular heart disease&lt;/title&gt;&lt;secondary-title&gt;European Journal of Cardio-Thoracic Surgery&lt;/secondary-title&gt;&lt;/titles&gt;&lt;periodical&gt;&lt;full-title&gt;European Journal of Cardio-Thoracic Surgery&lt;/full-title&gt;&lt;abbr-1&gt;Eur. J. Cardiothorac. Surg.&lt;/abbr-1&gt;&lt;abbr-2&gt;Eur J Cardiothorac Surg&lt;/abbr-2&gt;&lt;/periodical&gt;&lt;pages&gt;616-664&lt;/pages&gt;&lt;volume&gt;52&lt;/volume&gt;&lt;number&gt;4&lt;/number&gt;&lt;dates&gt;&lt;year&gt;2017&lt;/year&gt;&lt;/dates&gt;&lt;isbn&gt;1010-7940&lt;/isbn&gt;&lt;urls&gt;&lt;related-urls&gt;&lt;url&gt;https://www.zora.uzh.ch/id/eprint/150847/1/ezx324.pdf&lt;/url&gt;&lt;/related-urls&gt;&lt;/urls&gt;&lt;/record&gt;&lt;/Cite&gt;&lt;/EndNote&gt;</w:instrText>
      </w:r>
      <w:r>
        <w:fldChar w:fldCharType="separate"/>
      </w:r>
      <w:r>
        <w:rPr>
          <w:noProof/>
        </w:rPr>
        <w:t>(1)</w:t>
      </w:r>
      <w:r>
        <w:fldChar w:fldCharType="end"/>
      </w:r>
      <w:r>
        <w:t>. However, catheterised recordings used to measure the i</w:t>
      </w:r>
      <w:r w:rsidRPr="00EF7EAB">
        <w:t>nstantaneous</w:t>
      </w:r>
      <w:r>
        <w:t xml:space="preserve"> pressures and their differences are</w:t>
      </w:r>
      <w:r w:rsidRPr="00EF7EAB">
        <w:t xml:space="preserve"> polluted</w:t>
      </w:r>
      <w:r>
        <w:t xml:space="preserve"> by some factors to be minimised. </w:t>
      </w:r>
    </w:p>
    <w:p w14:paraId="584D8E0B" w14:textId="360C5A3C" w:rsidR="00F42929" w:rsidRDefault="00F42929" w:rsidP="00F42929">
      <w:r>
        <w:t xml:space="preserve">The first factor that needs to be discussed is the potential impact of the temporal acceleration and deceleration of flow. This effect is illustrated by plotting the pressure difference measured at the pressure ports along the length of the vessel in 3 instances (early systole, peak velocity systole and late systole): early systole has a positive gradient (blood is being accelerated in time), and late systole has a negative gradient (blood is being decelerated in time), thus polluting the definition of the baseline (Figure </w:t>
      </w:r>
      <w:r w:rsidR="00B13C6B">
        <w:t>S2</w:t>
      </w:r>
      <w:r>
        <w:t xml:space="preserve">). The instant of maximum velocity is the instant when the impact of temporal acceleration (i.e., transient component of the pressure drop) is minimal, and when the impact of spatial acceleration is maximal (i.e., advective component of the pressure drop), as described in the supplementary material of the study by Lamata et al </w:t>
      </w:r>
      <w:r>
        <w:fldChar w:fldCharType="begin">
          <w:fldData xml:space="preserve">PEVuZE5vdGU+PENpdGU+PEF1dGhvcj5MYW1hdGE8L0F1dGhvcj48WWVhcj4yMDE0PC9ZZWFyPjxS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</w:fldData>
        </w:fldChar>
      </w:r>
      <w:r>
        <w:instrText xml:space="preserve"> ADDIN EN.CITE </w:instrText>
      </w:r>
      <w:r>
        <w:fldChar w:fldCharType="begin">
          <w:fldData xml:space="preserve">PEVuZE5vdGU+PENpdGU+PEF1dGhvcj5MYW1hdGE8L0F1dGhvcj48WWVhcj4yMDE0PC9ZZWFyPjxS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</w:fldData>
        </w:fldChar>
      </w:r>
      <w:r>
        <w:instrText xml:space="preserve"> ADDIN EN.CITE.DATA </w:instrText>
      </w:r>
      <w:r>
        <w:fldChar w:fldCharType="end"/>
      </w:r>
      <w:r>
        <w:fldChar w:fldCharType="separate"/>
      </w:r>
      <w:r>
        <w:rPr>
          <w:noProof/>
        </w:rPr>
        <w:t>(17)</w:t>
      </w:r>
      <w:r>
        <w:fldChar w:fldCharType="end"/>
      </w:r>
      <w:r>
        <w:t xml:space="preserve">. Nevertheless, the null temporal acceleration along the entire vessel will never occur - averaging over the systolic period of the cycle overcomes this issue as the acceleration has and equivalent deceleration. </w:t>
      </w:r>
    </w:p>
    <w:p w14:paraId="324F1144" w14:textId="77777777" w:rsidR="00F42929" w:rsidRDefault="00F42929" w:rsidP="00F42929">
      <w:r>
        <w:t xml:space="preserve"> </w:t>
      </w:r>
    </w:p>
    <w:p w14:paraId="1E562C4E" w14:textId="77777777" w:rsidR="00F42929" w:rsidRDefault="00F42929" w:rsidP="00F42929">
      <w:pPr>
        <w:keepNext/>
        <w:jc w:val="center"/>
      </w:pPr>
      <w:r w:rsidRPr="00D02F6D">
        <w:rPr>
          <w:noProof/>
        </w:rPr>
        <w:drawing>
          <wp:inline distT="0" distB="0" distL="0" distR="0" wp14:anchorId="7EED94DA" wp14:editId="7B7474A4">
            <wp:extent cx="4572000" cy="2824843"/>
            <wp:effectExtent l="0" t="0" r="0" b="13970"/>
            <wp:docPr id="16" name="Chart 16">
              <a:extLst xmlns:a="http://schemas.openxmlformats.org/drawingml/2006/main">
                <a:ext uri="{FF2B5EF4-FFF2-40B4-BE49-F238E27FC236}">
                  <a16:creationId xmlns:a16="http://schemas.microsoft.com/office/drawing/2014/main" id="{6F2CE1BE-6487-4011-86F7-C145AC2755A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14:paraId="6AEE7491" w14:textId="0A12C45E" w:rsidR="00F42929" w:rsidRDefault="00F42929" w:rsidP="00F42929">
      <w:pPr>
        <w:pStyle w:val="Caption"/>
      </w:pPr>
      <w:r w:rsidRPr="00E84EF9">
        <w:rPr>
          <w:i w:val="0"/>
          <w:iCs w:val="0"/>
        </w:rPr>
        <w:t xml:space="preserve">Figure </w:t>
      </w:r>
      <w:r w:rsidR="00915ACC" w:rsidRPr="00E84EF9">
        <w:rPr>
          <w:i w:val="0"/>
          <w:iCs w:val="0"/>
        </w:rPr>
        <w:t>S</w:t>
      </w:r>
      <w:r w:rsidRPr="00E84EF9">
        <w:rPr>
          <w:i w:val="0"/>
          <w:iCs w:val="0"/>
        </w:rPr>
        <w:t>2</w:t>
      </w:r>
      <w:r w:rsidR="00E84EF9">
        <w:rPr>
          <w:i w:val="0"/>
          <w:iCs w:val="0"/>
        </w:rPr>
        <w:t>.</w:t>
      </w:r>
      <w:r>
        <w:t xml:space="preserve"> Exemplary transients of the measured pressure drop (ΔP</w:t>
      </w:r>
      <w:r>
        <w:rPr>
          <w:vertAlign w:val="subscript"/>
        </w:rPr>
        <w:t>measured</w:t>
      </w:r>
      <w:r>
        <w:t xml:space="preserve">) depending on the systolic instance considered. Whereas in the instance of peak ΔP (corresponding to the instance when the momentum is maximum), a plateau is reached along the aorta, at the instances pre- and post-peak systolic ΔP, there is still acceleration and deceleration respectively, resulting in a reasonably constant down- and up-slope of the ΔP traces along the phantom, respectively. </w:t>
      </w:r>
    </w:p>
    <w:p w14:paraId="58FABC69" w14:textId="1950738C" w:rsidR="00F42929" w:rsidRDefault="00F42929" w:rsidP="00F42929">
      <w:r>
        <w:lastRenderedPageBreak/>
        <w:t xml:space="preserve">The second important factor in catheter recordings is that the measurement of a single instant can be affected by pressure oscillations. These oscillations can be caused by interferences created by forward and backward pressure waves at points of impedance mismatch. In our phantom the oscillations were originated by the flow pump, that did not manage to create a rapid increase in pressure without the introduction of pressure steps (see Figure </w:t>
      </w:r>
      <w:r w:rsidR="00B13C6B">
        <w:t>S3</w:t>
      </w:r>
      <w:r>
        <w:t>). Averaging over the systolic period minimises this issue as the oscillations are all integrated, cancelling their positive and negative phases.</w:t>
      </w:r>
    </w:p>
    <w:p w14:paraId="261AEAFA" w14:textId="77777777" w:rsidR="00F42929" w:rsidRDefault="00F42929" w:rsidP="00F42929">
      <w:pPr>
        <w:keepNext/>
        <w:jc w:val="center"/>
      </w:pPr>
      <w:r>
        <w:rPr>
          <w:noProof/>
        </w:rPr>
        <w:drawing>
          <wp:inline distT="0" distB="0" distL="0" distR="0" wp14:anchorId="3DABA4C0" wp14:editId="7CDC2640">
            <wp:extent cx="5403273" cy="2899984"/>
            <wp:effectExtent l="0" t="0" r="6985"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6">
                      <a:extLst>
                        <a:ext uri="{28A0092B-C50C-407E-A947-70E740481C1C}">
                          <a14:useLocalDpi xmlns:a14="http://schemas.microsoft.com/office/drawing/2010/main" val="0"/>
                        </a:ext>
                      </a:extLst>
                    </a:blip>
                    <a:srcRect b="2468"/>
                    <a:stretch/>
                  </pic:blipFill>
                  <pic:spPr bwMode="auto">
                    <a:xfrm>
                      <a:off x="0" y="0"/>
                      <a:ext cx="5445177" cy="2922474"/>
                    </a:xfrm>
                    <a:prstGeom prst="rect">
                      <a:avLst/>
                    </a:prstGeom>
                    <a:noFill/>
                    <a:ln>
                      <a:noFill/>
                    </a:ln>
                    <a:extLst>
                      <a:ext uri="{53640926-AAD7-44D8-BBD7-CCE9431645EC}">
                        <a14:shadowObscured xmlns:a14="http://schemas.microsoft.com/office/drawing/2010/main"/>
                      </a:ext>
                    </a:extLst>
                  </pic:spPr>
                </pic:pic>
              </a:graphicData>
            </a:graphic>
          </wp:inline>
        </w:drawing>
      </w:r>
    </w:p>
    <w:p w14:paraId="71B542B2" w14:textId="0D0408B8" w:rsidR="00F42929" w:rsidRDefault="00F42929" w:rsidP="00F42929">
      <w:pPr>
        <w:pStyle w:val="Caption"/>
      </w:pPr>
      <w:r w:rsidRPr="00E84EF9">
        <w:rPr>
          <w:i w:val="0"/>
          <w:iCs w:val="0"/>
        </w:rPr>
        <w:t xml:space="preserve">Figure </w:t>
      </w:r>
      <w:r w:rsidR="00915ACC" w:rsidRPr="00E84EF9">
        <w:rPr>
          <w:i w:val="0"/>
          <w:iCs w:val="0"/>
        </w:rPr>
        <w:t>S3</w:t>
      </w:r>
      <w:r w:rsidR="00E84EF9" w:rsidRPr="00E84EF9">
        <w:rPr>
          <w:i w:val="0"/>
          <w:iCs w:val="0"/>
        </w:rPr>
        <w:t>.</w:t>
      </w:r>
      <w:r>
        <w:t xml:space="preserve"> Exemplary transients of the measured pressure drop in the phantom workbench one, where the 8 simultaneously recorded pressures traces are shown (Channels ch1-8). The pressure oscillations are clearly visible and potentially would have a non-negligible impact in the pressure recovery distance, whereas the average trace is more robust</w:t>
      </w:r>
    </w:p>
    <w:p w14:paraId="51CCAA9D" w14:textId="77777777" w:rsidR="00F42929" w:rsidRPr="00816163" w:rsidRDefault="00F42929" w:rsidP="00F42929"/>
    <w:p w14:paraId="33BA1DEE" w14:textId="51BE5E01" w:rsidR="00F42929" w:rsidRDefault="00F42929" w:rsidP="00F42929">
      <w:r>
        <w:t xml:space="preserve">Therefore, the most robust manner to define </w:t>
      </w:r>
      <w:r w:rsidRPr="1E4073B1">
        <w:rPr>
          <w:i/>
          <w:iCs/>
        </w:rPr>
        <w:t>PrecDist</w:t>
      </w:r>
      <w:r>
        <w:t xml:space="preserve"> is to study, not the idealised instant of peak velocity, but the mean systolic pressure drop. Thus, to complement the already existing literature, we aim to stablish a further correlation between peak and mean systolic ΔP for measured pressure and PrecDist. The respective R</w:t>
      </w:r>
      <w:r w:rsidRPr="1E4073B1">
        <w:rPr>
          <w:vertAlign w:val="superscript"/>
        </w:rPr>
        <w:t>2</w:t>
      </w:r>
      <w:r>
        <w:t xml:space="preserve"> were 0.91 and 0.64 (see Figure </w:t>
      </w:r>
      <w:r w:rsidR="00B13C6B">
        <w:t>S4</w:t>
      </w:r>
      <w:r>
        <w:t>).</w:t>
      </w:r>
    </w:p>
    <w:p w14:paraId="061B0596" w14:textId="7F4A5F76" w:rsidR="00F42929" w:rsidRPr="00E415B5" w:rsidRDefault="00F42929" w:rsidP="00F42929">
      <w:r>
        <w:t xml:space="preserve">Furthermore, the transients of constant and mean systolic pulsatile conditions for the same peak flow rates were compared in other to visualize the potential variability on the pressure recovery profiles under pulsatile flow conditions. The magnitude of the mean systolic traces is smaller, but most importantly the transients are identical, even with the above-mentioned oscillations (see Figure </w:t>
      </w:r>
      <w:r w:rsidR="00B13C6B">
        <w:t>S5</w:t>
      </w:r>
      <w:r>
        <w:t>).</w:t>
      </w:r>
    </w:p>
    <w:p w14:paraId="55B201F7" w14:textId="77777777" w:rsidR="00F42929" w:rsidRDefault="00F42929" w:rsidP="00F42929"/>
    <w:p w14:paraId="29023C98" w14:textId="77777777" w:rsidR="00F42929" w:rsidRDefault="00F42929" w:rsidP="00F42929">
      <w:pPr>
        <w:keepNext/>
        <w:jc w:val="center"/>
      </w:pPr>
      <w:r>
        <w:rPr>
          <w:noProof/>
        </w:rPr>
        <w:lastRenderedPageBreak/>
        <w:drawing>
          <wp:inline distT="0" distB="0" distL="0" distR="0" wp14:anchorId="24B4508D" wp14:editId="3482E8E5">
            <wp:extent cx="5737860" cy="1933154"/>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52827" cy="1938197"/>
                    </a:xfrm>
                    <a:prstGeom prst="rect">
                      <a:avLst/>
                    </a:prstGeom>
                    <a:noFill/>
                  </pic:spPr>
                </pic:pic>
              </a:graphicData>
            </a:graphic>
          </wp:inline>
        </w:drawing>
      </w:r>
    </w:p>
    <w:p w14:paraId="55DB6138" w14:textId="39F9E6B6" w:rsidR="00F42929" w:rsidRDefault="00F42929" w:rsidP="00F42929">
      <w:pPr>
        <w:pStyle w:val="Caption"/>
      </w:pPr>
      <w:r w:rsidRPr="00E84EF9">
        <w:rPr>
          <w:i w:val="0"/>
          <w:iCs w:val="0"/>
        </w:rPr>
        <w:t xml:space="preserve">Figure </w:t>
      </w:r>
      <w:r w:rsidR="00915ACC" w:rsidRPr="00E84EF9">
        <w:rPr>
          <w:i w:val="0"/>
          <w:iCs w:val="0"/>
        </w:rPr>
        <w:t>S4</w:t>
      </w:r>
      <w:r w:rsidR="00E84EF9">
        <w:rPr>
          <w:i w:val="0"/>
          <w:iCs w:val="0"/>
        </w:rPr>
        <w:t>.</w:t>
      </w:r>
      <w:r>
        <w:t xml:space="preserve"> Scatter plots and respective correlations between (A) measured peak and mean systolic pressure drops (</w:t>
      </w:r>
      <w:r>
        <w:rPr>
          <w:rFonts w:cs="Calibri"/>
        </w:rPr>
        <w:t>Δ</w:t>
      </w:r>
      <w:r>
        <w:t>P</w:t>
      </w:r>
      <w:r>
        <w:rPr>
          <w:vertAlign w:val="subscript"/>
        </w:rPr>
        <w:t>mean systole</w:t>
      </w:r>
      <w:r>
        <w:t>) and (B) the respective Pressure recovery distance (PrecDist).</w:t>
      </w:r>
    </w:p>
    <w:p w14:paraId="5C2D7E8E" w14:textId="77777777" w:rsidR="00F42929" w:rsidRDefault="00F42929" w:rsidP="00F42929">
      <w:pPr>
        <w:keepNext/>
        <w:jc w:val="center"/>
      </w:pPr>
      <w:r>
        <w:rPr>
          <w:noProof/>
        </w:rPr>
        <w:drawing>
          <wp:inline distT="0" distB="0" distL="0" distR="0" wp14:anchorId="1D2D7176" wp14:editId="73666E4B">
            <wp:extent cx="5815965" cy="1572895"/>
            <wp:effectExtent l="0" t="0" r="0" b="825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15965" cy="1572895"/>
                    </a:xfrm>
                    <a:prstGeom prst="rect">
                      <a:avLst/>
                    </a:prstGeom>
                    <a:noFill/>
                  </pic:spPr>
                </pic:pic>
              </a:graphicData>
            </a:graphic>
          </wp:inline>
        </w:drawing>
      </w:r>
    </w:p>
    <w:p w14:paraId="5025AD67" w14:textId="089F417E" w:rsidR="00AB6CF9" w:rsidRPr="00F42929" w:rsidRDefault="00F42929" w:rsidP="00F42929">
      <w:pPr>
        <w:rPr>
          <w:rFonts w:eastAsia="Times New Roman" w:cs="Times New Roman"/>
          <w:i/>
          <w:iCs/>
          <w:color w:val="44546A" w:themeColor="text2"/>
          <w:sz w:val="18"/>
          <w:szCs w:val="18"/>
        </w:rPr>
      </w:pPr>
      <w:r w:rsidRPr="00E84EF9">
        <w:rPr>
          <w:rFonts w:eastAsia="Times New Roman" w:cs="Times New Roman"/>
          <w:color w:val="44546A" w:themeColor="text2"/>
          <w:sz w:val="18"/>
          <w:szCs w:val="18"/>
        </w:rPr>
        <w:t xml:space="preserve">Figure </w:t>
      </w:r>
      <w:r w:rsidR="00915ACC" w:rsidRPr="00E84EF9">
        <w:rPr>
          <w:rFonts w:eastAsia="Times New Roman" w:cs="Times New Roman"/>
          <w:color w:val="44546A" w:themeColor="text2"/>
          <w:sz w:val="18"/>
          <w:szCs w:val="18"/>
        </w:rPr>
        <w:t>S5</w:t>
      </w:r>
      <w:r w:rsidR="00E84EF9">
        <w:rPr>
          <w:rFonts w:eastAsia="Times New Roman" w:cs="Times New Roman"/>
          <w:color w:val="44546A" w:themeColor="text2"/>
          <w:sz w:val="18"/>
          <w:szCs w:val="18"/>
        </w:rPr>
        <w:t>.</w:t>
      </w:r>
      <w:r w:rsidRPr="00F42929">
        <w:rPr>
          <w:rFonts w:eastAsia="Times New Roman" w:cs="Times New Roman"/>
          <w:i/>
          <w:iCs/>
          <w:color w:val="44546A" w:themeColor="text2"/>
          <w:sz w:val="18"/>
          <w:szCs w:val="18"/>
        </w:rPr>
        <w:t xml:space="preserve"> Visualization of the measured pressure variation transients (ΔPmeasured) of constant (const.) and mean systolic pulsatile (mean syst. puls.) for the same trans-valvular flow rates.</w:t>
      </w:r>
    </w:p>
    <w:sectPr w:rsidR="00AB6CF9" w:rsidRPr="00F4292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D2708D"/>
    <w:multiLevelType w:val="multilevel"/>
    <w:tmpl w:val="2A8CC560"/>
    <w:lvl w:ilvl="0">
      <w:start w:val="1"/>
      <w:numFmt w:val="decimal"/>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3D0C26FB"/>
    <w:multiLevelType w:val="multilevel"/>
    <w:tmpl w:val="50343518"/>
    <w:lvl w:ilvl="0">
      <w:start w:val="1"/>
      <w:numFmt w:val="decimal"/>
      <w:lvlText w:val="%1"/>
      <w:lvlJc w:val="left"/>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1">
      <w:start w:val="1"/>
      <w:numFmt w:val="decimal"/>
      <w:lvlText w:val="%1.%2"/>
      <w:lvlJc w:val="left"/>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2">
      <w:start w:val="1"/>
      <w:numFmt w:val="decimal"/>
      <w:lvlText w:val="%1.%2.%3"/>
      <w:lvlJc w:val="left"/>
      <w:pPr>
        <w:ind w:left="720" w:hanging="720"/>
      </w:pPr>
      <w:rPr>
        <w:b w:val="0"/>
        <w:bCs/>
        <w:color w:val="2F5496" w:themeColor="accent1" w:themeShade="BF"/>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efaultTabStop w:val="720"/>
  <w:characterSpacingControl w:val="doNotCompress"/>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F42929"/>
    <w:rsid w:val="002C39AE"/>
    <w:rsid w:val="00443EC8"/>
    <w:rsid w:val="007A064B"/>
    <w:rsid w:val="00841FCD"/>
    <w:rsid w:val="00915ACC"/>
    <w:rsid w:val="00AB6CF9"/>
    <w:rsid w:val="00AC05E4"/>
    <w:rsid w:val="00B13C6B"/>
    <w:rsid w:val="00C309F8"/>
    <w:rsid w:val="00E84EF9"/>
    <w:rsid w:val="00F1170C"/>
    <w:rsid w:val="00F4292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2A7C81"/>
  <w15:chartTrackingRefBased/>
  <w15:docId w15:val="{5F4B6BAB-6257-4FF0-A765-1E39530859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2929"/>
    <w:pPr>
      <w:jc w:val="both"/>
    </w:pPr>
    <w:rPr>
      <w:rFonts w:ascii="Calibri" w:eastAsia="Calibri" w:hAnsi="Calibri" w:cs="Calibri"/>
      <w:lang w:eastAsia="en-GB"/>
    </w:rPr>
  </w:style>
  <w:style w:type="paragraph" w:styleId="Heading1">
    <w:name w:val="heading 1"/>
    <w:basedOn w:val="Normal"/>
    <w:next w:val="Normal"/>
    <w:link w:val="Heading1Char"/>
    <w:uiPriority w:val="9"/>
    <w:qFormat/>
    <w:rsid w:val="00F4292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AC05E4"/>
    <w:pPr>
      <w:keepNext/>
      <w:keepLines/>
      <w:numPr>
        <w:ilvl w:val="1"/>
        <w:numId w:val="2"/>
      </w:numPr>
      <w:spacing w:before="40" w:after="0" w:line="360" w:lineRule="auto"/>
      <w:ind w:left="426" w:right="-1" w:hanging="426"/>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AC05E4"/>
    <w:rPr>
      <w:rFonts w:asciiTheme="majorHAnsi" w:eastAsiaTheme="majorEastAsia" w:hAnsiTheme="majorHAnsi" w:cstheme="majorBidi"/>
      <w:color w:val="2F5496" w:themeColor="accent1" w:themeShade="BF"/>
      <w:sz w:val="26"/>
      <w:szCs w:val="26"/>
    </w:rPr>
  </w:style>
  <w:style w:type="character" w:customStyle="1" w:styleId="Heading1Char">
    <w:name w:val="Heading 1 Char"/>
    <w:basedOn w:val="DefaultParagraphFont"/>
    <w:link w:val="Heading1"/>
    <w:uiPriority w:val="9"/>
    <w:rsid w:val="00F42929"/>
    <w:rPr>
      <w:rFonts w:asciiTheme="majorHAnsi" w:eastAsiaTheme="majorEastAsia" w:hAnsiTheme="majorHAnsi" w:cstheme="majorBidi"/>
      <w:color w:val="2F5496" w:themeColor="accent1" w:themeShade="BF"/>
      <w:sz w:val="32"/>
      <w:szCs w:val="32"/>
      <w:lang w:eastAsia="en-GB"/>
    </w:rPr>
  </w:style>
  <w:style w:type="paragraph" w:styleId="Caption">
    <w:name w:val="caption"/>
    <w:basedOn w:val="Normal"/>
    <w:next w:val="Normal"/>
    <w:uiPriority w:val="35"/>
    <w:unhideWhenUsed/>
    <w:qFormat/>
    <w:rsid w:val="00F42929"/>
    <w:pPr>
      <w:spacing w:after="200" w:line="240" w:lineRule="auto"/>
    </w:pPr>
    <w:rPr>
      <w:rFonts w:eastAsia="Times New Roman" w:cs="Times New Roman"/>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chart" Target="charts/chart1.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jf17\Dropbox\JFF\K2\Study_KCL_AVD-Phantom\1st%20Exp%2020200129\Copy%20of%20Results_v6.5_correlations%20mean%20vs%20peak%20dP.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l-GR">
                <a:latin typeface="Calibri" panose="020F0502020204030204" pitchFamily="34" charset="0"/>
                <a:cs typeface="Calibri" panose="020F0502020204030204" pitchFamily="34" charset="0"/>
              </a:rPr>
              <a:t>Δ</a:t>
            </a:r>
            <a:r>
              <a:rPr lang="en-GB">
                <a:latin typeface="Calibri" panose="020F0502020204030204" pitchFamily="34" charset="0"/>
                <a:cs typeface="Calibri" panose="020F0502020204030204" pitchFamily="34" charset="0"/>
              </a:rPr>
              <a:t>P </a:t>
            </a:r>
            <a:r>
              <a:rPr lang="en-GB"/>
              <a:t>over length in different systolic instances</a:t>
            </a:r>
          </a:p>
        </c:rich>
      </c:tx>
      <c:layout>
        <c:manualLayout>
          <c:xMode val="edge"/>
          <c:yMode val="edge"/>
          <c:x val="0.17355555555555555"/>
          <c:y val="2.7777777777777776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15210892388451444"/>
          <c:y val="0.13046296296296298"/>
          <c:w val="0.80799518810148729"/>
          <c:h val="0.70100320793234183"/>
        </c:manualLayout>
      </c:layout>
      <c:scatterChart>
        <c:scatterStyle val="smoothMarker"/>
        <c:varyColors val="0"/>
        <c:ser>
          <c:idx val="1"/>
          <c:order val="0"/>
          <c:tx>
            <c:strRef>
              <c:f>PressurePorts!$AO$36</c:f>
              <c:strCache>
                <c:ptCount val="1"/>
                <c:pt idx="0">
                  <c:v>pre-peak systole</c:v>
                </c:pt>
              </c:strCache>
            </c:strRef>
          </c:tx>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f>PressurePorts!$AP$34:$AY$34</c:f>
              <c:numCache>
                <c:formatCode>General</c:formatCode>
                <c:ptCount val="10"/>
                <c:pt idx="0">
                  <c:v>-30</c:v>
                </c:pt>
                <c:pt idx="1">
                  <c:v>-12</c:v>
                </c:pt>
                <c:pt idx="2">
                  <c:v>-8</c:v>
                </c:pt>
                <c:pt idx="3">
                  <c:v>15</c:v>
                </c:pt>
                <c:pt idx="4">
                  <c:v>30</c:v>
                </c:pt>
                <c:pt idx="5">
                  <c:v>50</c:v>
                </c:pt>
                <c:pt idx="6">
                  <c:v>75</c:v>
                </c:pt>
                <c:pt idx="7">
                  <c:v>100</c:v>
                </c:pt>
                <c:pt idx="8">
                  <c:v>200</c:v>
                </c:pt>
                <c:pt idx="9">
                  <c:v>500</c:v>
                </c:pt>
              </c:numCache>
            </c:numRef>
          </c:xVal>
          <c:yVal>
            <c:numRef>
              <c:f>PressurePorts!$AP$36:$AY$36</c:f>
              <c:numCache>
                <c:formatCode>0.0</c:formatCode>
                <c:ptCount val="10"/>
                <c:pt idx="0">
                  <c:v>0</c:v>
                </c:pt>
                <c:pt idx="1">
                  <c:v>0</c:v>
                </c:pt>
                <c:pt idx="2">
                  <c:v>-0.5</c:v>
                </c:pt>
                <c:pt idx="3">
                  <c:v>-32.284030354001104</c:v>
                </c:pt>
                <c:pt idx="4">
                  <c:v>-33.555398707303603</c:v>
                </c:pt>
                <c:pt idx="5">
                  <c:v>-34.666919133533</c:v>
                </c:pt>
                <c:pt idx="6">
                  <c:v>-36.222641625361703</c:v>
                </c:pt>
                <c:pt idx="7">
                  <c:v>-37.312242562666803</c:v>
                </c:pt>
                <c:pt idx="8">
                  <c:v>-44.783956604123503</c:v>
                </c:pt>
                <c:pt idx="9">
                  <c:v>-53.821900683082497</c:v>
                </c:pt>
              </c:numCache>
            </c:numRef>
          </c:yVal>
          <c:smooth val="1"/>
          <c:extLst>
            <c:ext xmlns:c16="http://schemas.microsoft.com/office/drawing/2014/chart" uri="{C3380CC4-5D6E-409C-BE32-E72D297353CC}">
              <c16:uniqueId val="{00000000-B9B0-457D-B6B7-5F8209D2FAEC}"/>
            </c:ext>
          </c:extLst>
        </c:ser>
        <c:ser>
          <c:idx val="2"/>
          <c:order val="1"/>
          <c:tx>
            <c:strRef>
              <c:f>PressurePorts!$AO$37</c:f>
              <c:strCache>
                <c:ptCount val="1"/>
                <c:pt idx="0">
                  <c:v>peak ΔP</c:v>
                </c:pt>
              </c:strCache>
            </c:strRef>
          </c:tx>
          <c:spPr>
            <a:ln w="19050" cap="rnd">
              <a:solidFill>
                <a:schemeClr val="accent5"/>
              </a:solidFill>
              <a:round/>
            </a:ln>
            <a:effectLst/>
          </c:spPr>
          <c:marker>
            <c:symbol val="circle"/>
            <c:size val="5"/>
            <c:spPr>
              <a:solidFill>
                <a:schemeClr val="accent5"/>
              </a:solidFill>
              <a:ln w="9525">
                <a:solidFill>
                  <a:schemeClr val="accent5"/>
                </a:solidFill>
              </a:ln>
              <a:effectLst/>
            </c:spPr>
          </c:marker>
          <c:xVal>
            <c:numRef>
              <c:f>PressurePorts!$AP$34:$AY$34</c:f>
              <c:numCache>
                <c:formatCode>General</c:formatCode>
                <c:ptCount val="10"/>
                <c:pt idx="0">
                  <c:v>-30</c:v>
                </c:pt>
                <c:pt idx="1">
                  <c:v>-12</c:v>
                </c:pt>
                <c:pt idx="2">
                  <c:v>-8</c:v>
                </c:pt>
                <c:pt idx="3">
                  <c:v>15</c:v>
                </c:pt>
                <c:pt idx="4">
                  <c:v>30</c:v>
                </c:pt>
                <c:pt idx="5">
                  <c:v>50</c:v>
                </c:pt>
                <c:pt idx="6">
                  <c:v>75</c:v>
                </c:pt>
                <c:pt idx="7">
                  <c:v>100</c:v>
                </c:pt>
                <c:pt idx="8">
                  <c:v>200</c:v>
                </c:pt>
                <c:pt idx="9">
                  <c:v>500</c:v>
                </c:pt>
              </c:numCache>
            </c:numRef>
          </c:xVal>
          <c:yVal>
            <c:numRef>
              <c:f>PressurePorts!$AP$37:$AY$37</c:f>
              <c:numCache>
                <c:formatCode>0.0</c:formatCode>
                <c:ptCount val="10"/>
                <c:pt idx="0">
                  <c:v>0</c:v>
                </c:pt>
                <c:pt idx="1">
                  <c:v>0</c:v>
                </c:pt>
                <c:pt idx="2">
                  <c:v>-0.5</c:v>
                </c:pt>
                <c:pt idx="3">
                  <c:v>-35.630455474763501</c:v>
                </c:pt>
                <c:pt idx="4">
                  <c:v>-38.913268695740697</c:v>
                </c:pt>
                <c:pt idx="5">
                  <c:v>-29.045058769016599</c:v>
                </c:pt>
                <c:pt idx="6">
                  <c:v>-26.955195013749002</c:v>
                </c:pt>
                <c:pt idx="7">
                  <c:v>-27.971144143004601</c:v>
                </c:pt>
                <c:pt idx="8">
                  <c:v>-30.6918533619349</c:v>
                </c:pt>
                <c:pt idx="9">
                  <c:v>-42.667495358966498</c:v>
                </c:pt>
              </c:numCache>
            </c:numRef>
          </c:yVal>
          <c:smooth val="1"/>
          <c:extLst>
            <c:ext xmlns:c16="http://schemas.microsoft.com/office/drawing/2014/chart" uri="{C3380CC4-5D6E-409C-BE32-E72D297353CC}">
              <c16:uniqueId val="{00000001-B9B0-457D-B6B7-5F8209D2FAEC}"/>
            </c:ext>
          </c:extLst>
        </c:ser>
        <c:ser>
          <c:idx val="3"/>
          <c:order val="2"/>
          <c:tx>
            <c:strRef>
              <c:f>PressurePorts!$AO$38</c:f>
              <c:strCache>
                <c:ptCount val="1"/>
                <c:pt idx="0">
                  <c:v>post-peak systole</c:v>
                </c:pt>
              </c:strCache>
            </c:strRef>
          </c:tx>
          <c:spPr>
            <a:ln w="19050" cap="rnd">
              <a:solidFill>
                <a:srgbClr val="C00000"/>
              </a:solidFill>
              <a:round/>
            </a:ln>
            <a:effectLst/>
          </c:spPr>
          <c:marker>
            <c:symbol val="circle"/>
            <c:size val="5"/>
            <c:spPr>
              <a:solidFill>
                <a:srgbClr val="C00000"/>
              </a:solidFill>
              <a:ln w="9525">
                <a:solidFill>
                  <a:srgbClr val="C00000"/>
                </a:solidFill>
              </a:ln>
              <a:effectLst/>
            </c:spPr>
          </c:marker>
          <c:xVal>
            <c:numRef>
              <c:f>PressurePorts!$AP$34:$AY$34</c:f>
              <c:numCache>
                <c:formatCode>General</c:formatCode>
                <c:ptCount val="10"/>
                <c:pt idx="0">
                  <c:v>-30</c:v>
                </c:pt>
                <c:pt idx="1">
                  <c:v>-12</c:v>
                </c:pt>
                <c:pt idx="2">
                  <c:v>-8</c:v>
                </c:pt>
                <c:pt idx="3">
                  <c:v>15</c:v>
                </c:pt>
                <c:pt idx="4">
                  <c:v>30</c:v>
                </c:pt>
                <c:pt idx="5">
                  <c:v>50</c:v>
                </c:pt>
                <c:pt idx="6">
                  <c:v>75</c:v>
                </c:pt>
                <c:pt idx="7">
                  <c:v>100</c:v>
                </c:pt>
                <c:pt idx="8">
                  <c:v>200</c:v>
                </c:pt>
                <c:pt idx="9">
                  <c:v>500</c:v>
                </c:pt>
              </c:numCache>
            </c:numRef>
          </c:xVal>
          <c:yVal>
            <c:numRef>
              <c:f>PressurePorts!$AP$38:$AY$38</c:f>
              <c:numCache>
                <c:formatCode>0.0</c:formatCode>
                <c:ptCount val="10"/>
                <c:pt idx="0">
                  <c:v>0</c:v>
                </c:pt>
                <c:pt idx="1">
                  <c:v>0</c:v>
                </c:pt>
                <c:pt idx="2">
                  <c:v>-0.5</c:v>
                </c:pt>
                <c:pt idx="3">
                  <c:v>-31.188590771800801</c:v>
                </c:pt>
                <c:pt idx="4">
                  <c:v>-39.010147911556601</c:v>
                </c:pt>
                <c:pt idx="5">
                  <c:v>-31.6517111219753</c:v>
                </c:pt>
                <c:pt idx="6">
                  <c:v>-29.4066788689825</c:v>
                </c:pt>
                <c:pt idx="7">
                  <c:v>-28.175203142506799</c:v>
                </c:pt>
                <c:pt idx="8">
                  <c:v>-24.3122508215179</c:v>
                </c:pt>
                <c:pt idx="9">
                  <c:v>-16.285748050040699</c:v>
                </c:pt>
              </c:numCache>
            </c:numRef>
          </c:yVal>
          <c:smooth val="1"/>
          <c:extLst>
            <c:ext xmlns:c16="http://schemas.microsoft.com/office/drawing/2014/chart" uri="{C3380CC4-5D6E-409C-BE32-E72D297353CC}">
              <c16:uniqueId val="{00000002-B9B0-457D-B6B7-5F8209D2FAEC}"/>
            </c:ext>
          </c:extLst>
        </c:ser>
        <c:dLbls>
          <c:showLegendKey val="0"/>
          <c:showVal val="0"/>
          <c:showCatName val="0"/>
          <c:showSerName val="0"/>
          <c:showPercent val="0"/>
          <c:showBubbleSize val="0"/>
        </c:dLbls>
        <c:axId val="932353560"/>
        <c:axId val="932353232"/>
      </c:scatterChart>
      <c:valAx>
        <c:axId val="932353560"/>
        <c:scaling>
          <c:orientation val="minMax"/>
          <c:max val="210"/>
          <c:min val="-3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r>
                  <a:rPr lang="en-GB" sz="1200"/>
                  <a:t>lenght (mm)</a:t>
                </a:r>
              </a:p>
            </c:rich>
          </c:tx>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en-US"/>
          </a:p>
        </c:txPr>
        <c:crossAx val="932353232"/>
        <c:crossesAt val="-60"/>
        <c:crossBetween val="midCat"/>
        <c:majorUnit val="30"/>
      </c:valAx>
      <c:valAx>
        <c:axId val="932353232"/>
        <c:scaling>
          <c:orientation val="minMax"/>
          <c:min val="-5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r>
                  <a:rPr lang="el-GR" sz="1200">
                    <a:latin typeface="Calibri" panose="020F0502020204030204" pitchFamily="34" charset="0"/>
                    <a:cs typeface="Calibri" panose="020F0502020204030204" pitchFamily="34" charset="0"/>
                  </a:rPr>
                  <a:t>Δ</a:t>
                </a:r>
                <a:r>
                  <a:rPr lang="en-GB" sz="1200">
                    <a:latin typeface="Calibri" panose="020F0502020204030204" pitchFamily="34" charset="0"/>
                    <a:cs typeface="Calibri" panose="020F0502020204030204" pitchFamily="34" charset="0"/>
                  </a:rPr>
                  <a:t>P</a:t>
                </a:r>
                <a:r>
                  <a:rPr lang="en-GB" sz="1200" baseline="-25000">
                    <a:latin typeface="Calibri" panose="020F0502020204030204" pitchFamily="34" charset="0"/>
                    <a:cs typeface="Calibri" panose="020F0502020204030204" pitchFamily="34" charset="0"/>
                  </a:rPr>
                  <a:t>measured</a:t>
                </a:r>
                <a:r>
                  <a:rPr lang="en-GB" sz="1200">
                    <a:latin typeface="Calibri" panose="020F0502020204030204" pitchFamily="34" charset="0"/>
                    <a:cs typeface="Calibri" panose="020F0502020204030204" pitchFamily="34" charset="0"/>
                  </a:rPr>
                  <a:t> (mmHg)</a:t>
                </a:r>
                <a:endParaRPr lang="en-GB" sz="1200"/>
              </a:p>
            </c:rich>
          </c:tx>
          <c:overlay val="0"/>
          <c:spPr>
            <a:noFill/>
            <a:ln>
              <a:noFill/>
            </a:ln>
            <a:effectLst/>
          </c:spPr>
          <c:txPr>
            <a:bodyPr rot="-54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title>
        <c:numFmt formatCode="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crossAx val="932353560"/>
        <c:crossesAt val="-30"/>
        <c:crossBetween val="midCat"/>
      </c:valAx>
      <c:spPr>
        <a:noFill/>
        <a:ln>
          <a:noFill/>
        </a:ln>
        <a:effectLst/>
      </c:spPr>
    </c:plotArea>
    <c:legend>
      <c:legendPos val="r"/>
      <c:layout>
        <c:manualLayout>
          <c:xMode val="edge"/>
          <c:yMode val="edge"/>
          <c:x val="0.59213801399825017"/>
          <c:y val="0.18183945756780404"/>
          <c:w val="0.31976487314085739"/>
          <c:h val="0.27654103254587953"/>
        </c:manualLayout>
      </c:layout>
      <c:overlay val="0"/>
      <c:spPr>
        <a:solidFill>
          <a:sysClr val="window" lastClr="FFFFFF"/>
        </a:solidFill>
        <a:ln>
          <a:solidFill>
            <a:sysClr val="windowText" lastClr="000000"/>
          </a:solid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3</Pages>
  <Words>856</Words>
  <Characters>4883</Characters>
  <Application>Microsoft Office Word</Application>
  <DocSecurity>0</DocSecurity>
  <Lines>40</Lines>
  <Paragraphs>11</Paragraphs>
  <ScaleCrop>false</ScaleCrop>
  <Company/>
  <LinksUpToDate>false</LinksUpToDate>
  <CharactersWithSpaces>5728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Fernandes, Joao Filipe</dc:creator>
  <cp:keywords/>
  <dc:description/>
  <cp:lastModifiedBy>Jini Mol</cp:lastModifiedBy>
  <cp:revision>5</cp:revision>
  <dcterms:created xsi:type="dcterms:W3CDTF">2022-10-26T20:50:00Z</dcterms:created>
  <dcterms:modified xsi:type="dcterms:W3CDTF">2023-01-07T13:24:00Z</dcterms:modified>
</cp:coreProperties>
</file>