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9A3" w:rsidRDefault="00B729A3"/>
    <w:p w:rsidR="00E72D25" w:rsidRDefault="002D60F6" w:rsidP="00E72D2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Additional file</w:t>
      </w:r>
      <w:bookmarkStart w:id="0" w:name="_GoBack"/>
      <w:bookmarkEnd w:id="0"/>
    </w:p>
    <w:tbl>
      <w:tblPr>
        <w:tblW w:w="94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0"/>
        <w:gridCol w:w="1800"/>
        <w:gridCol w:w="1980"/>
        <w:gridCol w:w="1980"/>
      </w:tblGrid>
      <w:tr w:rsidR="00E72D25" w:rsidTr="00E81CBF">
        <w:trPr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1" w:name="_Hlk132026426"/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Overall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MACE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No MACE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 = 659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 = 115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 = 544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Demographical data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Gender (male)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 (62.8)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(53)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 (64.9)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Age [years] mean ± SD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48.1 ± 16.1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50.3 ± 16.6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47.8 ± 16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 BMI [kg/m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] mean ± SD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27.4 ± 5.9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29.1 ± 7.6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27.1 ± 5.4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Biomarkers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Pr="00B856DB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B856DB">
              <w:rPr>
                <w:rFonts w:ascii="Times New Roman" w:hAnsi="Times New Roman" w:cs="Times New Roman"/>
                <w:color w:val="000000"/>
                <w:lang w:val="de-DE"/>
              </w:rPr>
              <w:t xml:space="preserve">     Troponin T [ng/l] median (IQR)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19 (1-115)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0DED">
              <w:rPr>
                <w:rFonts w:ascii="Times New Roman" w:hAnsi="Times New Roman" w:cs="Times New Roman"/>
                <w:color w:val="000000"/>
              </w:rPr>
              <w:t>22 (</w:t>
            </w: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Pr="00470DED">
              <w:rPr>
                <w:rFonts w:ascii="Times New Roman" w:hAnsi="Times New Roman" w:cs="Times New Roman"/>
                <w:color w:val="000000"/>
              </w:rPr>
              <w:t>to 157)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0DED">
              <w:rPr>
                <w:rFonts w:ascii="Times New Roman" w:hAnsi="Times New Roman" w:cs="Times New Roman"/>
                <w:color w:val="000000"/>
              </w:rPr>
              <w:t>12 (0 to 91)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   above cutoff* n (% of available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$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186 (55)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(48.6)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 (55.9)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 Creatine-Kinase [U/l] median (IQR)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180 (80-505)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513C">
              <w:rPr>
                <w:rFonts w:ascii="Times New Roman" w:hAnsi="Times New Roman" w:cs="Times New Roman"/>
                <w:color w:val="000000"/>
              </w:rPr>
              <w:t>182 (80 to 532)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513C">
              <w:rPr>
                <w:rFonts w:ascii="Times New Roman" w:hAnsi="Times New Roman" w:cs="Times New Roman"/>
                <w:color w:val="000000"/>
              </w:rPr>
              <w:t>167 (73 to 408)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  above cutoff* n (% of available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$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159 (56.4)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 (52.5)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128 (57.4)</w:t>
            </w:r>
          </w:p>
        </w:tc>
      </w:tr>
      <w:tr w:rsidR="00E72D25" w:rsidTr="00E81CBF">
        <w:trPr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ECG n (%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CH"/>
              </w:rPr>
              <w:t xml:space="preserve">of </w:t>
            </w:r>
            <w:r>
              <w:rPr>
                <w:rFonts w:ascii="Times New Roman" w:hAnsi="Times New Roman" w:cs="Times New Roman"/>
                <w:b/>
                <w:color w:val="000000"/>
              </w:rPr>
              <w:t>available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$</w:t>
            </w:r>
            <w:r>
              <w:rPr>
                <w:rFonts w:ascii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Left bundle branch block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55 (9.2)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(11.6)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 (8.7)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Right bundle branch block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37 (5.6)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 (6.8)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 (6.1)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ST-segment elevation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 (8.6)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(7.8)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 (9.9)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Cardiac function </w:t>
            </w:r>
            <w:r>
              <w:rPr>
                <w:rFonts w:ascii="Times New Roman" w:hAnsi="Times New Roman" w:cs="Times New Roman"/>
                <w:color w:val="000000"/>
              </w:rPr>
              <w:t xml:space="preserve">mean ± SD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LV EDV/BSA [ml/m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98.7 ± 33.9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109.2 ± 37.9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96.6 ± 32.7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LV EF [%]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48.4 ± 15.1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40.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81649D">
              <w:rPr>
                <w:rFonts w:ascii="Times New Roman" w:hAnsi="Times New Roman" w:cs="Times New Roman"/>
                <w:color w:val="000000"/>
              </w:rPr>
              <w:t xml:space="preserve"> ± 16.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50.0 ± 14.3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RV EDV/BSA [ml/m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82.3 ± 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84.6 ± 23.5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81.9 ± 20.5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RV EF [%]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47.9 ± 11.8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41.7 ± 14.5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49.1 ± 10.7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Feature tracking </w:t>
            </w:r>
            <w:r>
              <w:rPr>
                <w:rFonts w:ascii="Times New Roman" w:hAnsi="Times New Roman" w:cs="Times New Roman"/>
                <w:color w:val="000000"/>
              </w:rPr>
              <w:t xml:space="preserve">mean ± SD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LV GLS [%]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-12.9 ± 4.5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-10.4 ± 4.6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-13.4 ± 4.2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LV GRS [%]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22.8 ± 10.9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16.8 ± 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24 ± 10.7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LV GCS [%]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-14.3 ± 5.3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-11.2 ± 5.3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-14.9 ± 5.1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RV GLS [%]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81649D">
              <w:rPr>
                <w:rFonts w:ascii="Times New Roman" w:hAnsi="Times New Roman" w:cs="Times New Roman"/>
                <w:color w:val="000000"/>
              </w:rPr>
              <w:t xml:space="preserve">.6 ± </w:t>
            </w:r>
            <w:r>
              <w:rPr>
                <w:rFonts w:ascii="Times New Roman" w:hAnsi="Times New Roman" w:cs="Times New Roman"/>
                <w:color w:val="000000"/>
              </w:rPr>
              <w:t>5.9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-17.6 ± 7.1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hAnsi="Times New Roman" w:cs="Times New Roman"/>
                <w:color w:val="000000"/>
              </w:rPr>
              <w:t>-20 ± 5.6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LGE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LV LGE present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430 (65.3)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 (71.3)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348 (64)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  LGE involves insertion points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130 (19.7)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 (20)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107 (19.7)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LGE septal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225 (34.2)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 (45.2)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173 (31.8)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  LGE extent FWHM [g] mean ± SD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5.3 ± 8.5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6.6 ± 9.4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649D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4 ± 5.8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 xml:space="preserve">    LGE RV </w:t>
            </w:r>
            <w:r>
              <w:rPr>
                <w:rFonts w:ascii="Times New Roman" w:hAnsi="Times New Roman" w:cs="Times New Roman"/>
                <w:color w:val="000000"/>
              </w:rPr>
              <w:t>present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75 (11.4)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 (16.5)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 (10.3)</w:t>
            </w:r>
          </w:p>
        </w:tc>
      </w:tr>
      <w:tr w:rsidR="00E72D25" w:rsidTr="00E81CBF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LV edema</w:t>
            </w:r>
            <w:r>
              <w:rPr>
                <w:rFonts w:ascii="Times New Roman" w:hAnsi="Times New Roman" w:cs="Times New Roman"/>
                <w:color w:val="000000"/>
              </w:rPr>
              <w:t xml:space="preserve"> n (% of available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$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204 (38.5)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 (41.7)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156 (35.4)</w:t>
            </w:r>
          </w:p>
        </w:tc>
      </w:tr>
      <w:tr w:rsidR="00E72D25" w:rsidTr="00E81CBF">
        <w:trPr>
          <w:trHeight w:val="390"/>
        </w:trPr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RV edema</w:t>
            </w:r>
            <w:r>
              <w:rPr>
                <w:rFonts w:ascii="Times New Roman" w:hAnsi="Times New Roman" w:cs="Times New Roman"/>
                <w:color w:val="000000"/>
              </w:rPr>
              <w:t xml:space="preserve"> n (% of available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de-CH"/>
              </w:rPr>
              <w:t>$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131 (26.2)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 (33.0)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</w:tcPr>
          <w:p w:rsidR="00E72D25" w:rsidRDefault="00E72D25" w:rsidP="00E81C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 (24.6)</w:t>
            </w:r>
          </w:p>
        </w:tc>
      </w:tr>
    </w:tbl>
    <w:bookmarkEnd w:id="1"/>
    <w:p w:rsidR="00E72D25" w:rsidRPr="0060478E" w:rsidRDefault="00E72D25" w:rsidP="00E72D25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Pr="0060478E">
        <w:rPr>
          <w:rFonts w:ascii="Times New Roman" w:hAnsi="Times New Roman" w:cs="Times New Roman"/>
          <w:b/>
          <w:bCs/>
        </w:rPr>
        <w:t>Supplemental Table S1</w:t>
      </w:r>
      <w:r>
        <w:rPr>
          <w:rFonts w:ascii="Times New Roman" w:hAnsi="Times New Roman" w:cs="Times New Roman"/>
          <w:b/>
          <w:bCs/>
        </w:rPr>
        <w:t>: Baseline characteristics in patients with and without major adverse cardiovascular events (MACE)</w:t>
      </w:r>
    </w:p>
    <w:p w:rsidR="00E72D25" w:rsidRDefault="00E72D25" w:rsidP="00E72D25">
      <w:pPr>
        <w:spacing w:after="0"/>
        <w:rPr>
          <w:rFonts w:ascii="Times New Roman" w:hAnsi="Times New Roman" w:cs="Times New Roman"/>
        </w:rPr>
      </w:pPr>
    </w:p>
    <w:p w:rsidR="00E72D25" w:rsidRDefault="00E72D25" w:rsidP="00E72D25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BMI, body-mass-index; BSA, body surface area; CMR, cardiovascular magnetic resonance; ECG, electrocardiogram; EDV, end diastolic volume; EF, ejection fraction; FWHM, full width half max; GCS/GLS/GRS, global circumferential/longitudinal/radial strain; IQR, interquartile </w:t>
      </w:r>
      <w:r>
        <w:rPr>
          <w:rFonts w:ascii="Times New Roman" w:hAnsi="Times New Roman" w:cs="Times New Roman"/>
        </w:rPr>
        <w:lastRenderedPageBreak/>
        <w:t xml:space="preserve">range; MACE, major adverse cardiovascular events; NYHA, New York Heart Association; LGE, late gadolinium enhancement; LV, left ventricle; RV, right ventricle; SD, standard deviation. </w:t>
      </w:r>
    </w:p>
    <w:p w:rsidR="00E72D25" w:rsidRDefault="00E72D25" w:rsidP="00E72D25">
      <w:pPr>
        <w:spacing w:after="0"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§</w:t>
      </w:r>
      <w:r w:rsidRPr="00577419">
        <w:rPr>
          <w:rFonts w:ascii="Times New Roman" w:hAnsi="Times New Roman" w:cs="Times New Roman"/>
        </w:rPr>
        <w:t>Arrhythmia comprised ECG-documented sustained and non-sustained ventricular tachycardia</w:t>
      </w:r>
      <w:r>
        <w:rPr>
          <w:rFonts w:ascii="Times New Roman" w:hAnsi="Times New Roman" w:cs="Times New Roman"/>
          <w:vertAlign w:val="superscript"/>
        </w:rPr>
        <w:t xml:space="preserve"> </w:t>
      </w:r>
    </w:p>
    <w:p w:rsidR="00E72D25" w:rsidRDefault="00E72D25" w:rsidP="00E72D25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*</w:t>
      </w:r>
      <w:r>
        <w:rPr>
          <w:rFonts w:ascii="Times New Roman" w:hAnsi="Times New Roman" w:cs="Times New Roman"/>
        </w:rPr>
        <w:t>Cutoff values for elevated Troponin T and Creatine-Kinase were time- and site-specific according to the essay used for analysis, and &gt;190U/l, respectively.</w:t>
      </w:r>
    </w:p>
    <w:p w:rsidR="00E72D25" w:rsidRPr="0060478E" w:rsidRDefault="00E72D25" w:rsidP="00E72D25">
      <w:pPr>
        <w:spacing w:after="0"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$ </w:t>
      </w:r>
      <w:r>
        <w:rPr>
          <w:rFonts w:ascii="Times New Roman" w:hAnsi="Times New Roman" w:cs="Times New Roman"/>
        </w:rPr>
        <w:t>Troponin was available in 338 (51.3%) patients, and Creatine-Kinase in 282 (42.8%) patients. ECG was available in 598 (90.7%) patients.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de-CH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de-CH"/>
        </w:rPr>
        <w:t>Poor image quality or missing</w:t>
      </w:r>
      <w:r>
        <w:rPr>
          <w:rFonts w:ascii="Times New Roman" w:hAnsi="Times New Roman" w:cs="Times New Roman"/>
        </w:rPr>
        <w:t xml:space="preserve"> sequences (T2-weighted images or LV T2 maps) did not allow the assessment of edema in 129 (19.6%) patients in the LV and in 159 patients (24.1%) in the RV. </w:t>
      </w:r>
    </w:p>
    <w:p w:rsidR="00E72D25" w:rsidRPr="0060478E" w:rsidRDefault="00E72D25" w:rsidP="00E72D25">
      <w:pPr>
        <w:rPr>
          <w:rFonts w:ascii="Times New Roman" w:hAnsi="Times New Roman" w:cs="Times New Roman"/>
        </w:rPr>
      </w:pPr>
    </w:p>
    <w:p w:rsidR="00E72D25" w:rsidRDefault="00E72D25"/>
    <w:sectPr w:rsidR="00E72D25" w:rsidSect="00E72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D25"/>
    <w:rsid w:val="00000AFA"/>
    <w:rsid w:val="000F110A"/>
    <w:rsid w:val="001E67D0"/>
    <w:rsid w:val="002C6E10"/>
    <w:rsid w:val="002D60F6"/>
    <w:rsid w:val="002F3BB5"/>
    <w:rsid w:val="00334FFB"/>
    <w:rsid w:val="007C3C4D"/>
    <w:rsid w:val="007C41F9"/>
    <w:rsid w:val="008002C6"/>
    <w:rsid w:val="009101D8"/>
    <w:rsid w:val="00AA27FA"/>
    <w:rsid w:val="00AF722C"/>
    <w:rsid w:val="00B729A3"/>
    <w:rsid w:val="00C07B93"/>
    <w:rsid w:val="00C36B35"/>
    <w:rsid w:val="00D71716"/>
    <w:rsid w:val="00E07052"/>
    <w:rsid w:val="00E34AD6"/>
    <w:rsid w:val="00E7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BF0A0-3BF8-455A-8FC6-FB7025F6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2</cp:revision>
  <dcterms:created xsi:type="dcterms:W3CDTF">2023-08-08T12:33:00Z</dcterms:created>
  <dcterms:modified xsi:type="dcterms:W3CDTF">2023-08-08T12:33:00Z</dcterms:modified>
</cp:coreProperties>
</file>