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B9F9A" w14:textId="2BA54A86" w:rsidR="00E82FE1" w:rsidRPr="004F033E" w:rsidRDefault="00E82FE1" w:rsidP="00E82FE1">
      <w:pPr>
        <w:pStyle w:val="Beschriftung"/>
        <w:keepNext/>
        <w:outlineLvl w:val="0"/>
        <w:rPr>
          <w:b w:val="0"/>
          <w:color w:val="auto"/>
          <w:sz w:val="22"/>
          <w:szCs w:val="22"/>
          <w:lang w:val="en-US"/>
        </w:rPr>
      </w:pPr>
      <w:bookmarkStart w:id="0" w:name="_Ref495922661"/>
      <w:r w:rsidRPr="004F033E">
        <w:rPr>
          <w:b w:val="0"/>
          <w:color w:val="auto"/>
          <w:sz w:val="22"/>
          <w:szCs w:val="22"/>
          <w:lang w:val="en-US"/>
        </w:rPr>
        <w:t xml:space="preserve">Supplementary Table </w:t>
      </w:r>
      <w:r w:rsidRPr="004F033E">
        <w:rPr>
          <w:b w:val="0"/>
          <w:color w:val="auto"/>
          <w:sz w:val="22"/>
          <w:szCs w:val="22"/>
          <w:lang w:val="en-US"/>
        </w:rPr>
        <w:fldChar w:fldCharType="begin"/>
      </w:r>
      <w:r w:rsidRPr="004F033E">
        <w:rPr>
          <w:b w:val="0"/>
          <w:color w:val="auto"/>
          <w:sz w:val="22"/>
          <w:szCs w:val="22"/>
          <w:lang w:val="en-US"/>
        </w:rPr>
        <w:instrText xml:space="preserve"> SEQ Supplementary_Table \* ARABIC </w:instrText>
      </w:r>
      <w:r w:rsidRPr="004F033E">
        <w:rPr>
          <w:b w:val="0"/>
          <w:color w:val="auto"/>
          <w:sz w:val="22"/>
          <w:szCs w:val="22"/>
          <w:lang w:val="en-US"/>
        </w:rPr>
        <w:fldChar w:fldCharType="separate"/>
      </w:r>
      <w:r w:rsidRPr="004F033E">
        <w:rPr>
          <w:b w:val="0"/>
          <w:color w:val="auto"/>
          <w:sz w:val="22"/>
          <w:szCs w:val="22"/>
          <w:lang w:val="en-US"/>
        </w:rPr>
        <w:t>6</w:t>
      </w:r>
      <w:r w:rsidRPr="004F033E">
        <w:rPr>
          <w:b w:val="0"/>
          <w:color w:val="auto"/>
          <w:sz w:val="22"/>
          <w:szCs w:val="22"/>
          <w:lang w:val="en-US"/>
        </w:rPr>
        <w:fldChar w:fldCharType="end"/>
      </w:r>
      <w:bookmarkEnd w:id="0"/>
      <w:r w:rsidRPr="004F033E">
        <w:rPr>
          <w:b w:val="0"/>
          <w:color w:val="auto"/>
          <w:sz w:val="22"/>
          <w:szCs w:val="22"/>
          <w:lang w:val="en-US"/>
        </w:rPr>
        <w:t>: Application of the various classification criteria to patients with SJIA in the German AID registry and the ICON-JIA cohort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3"/>
        <w:gridCol w:w="2310"/>
        <w:gridCol w:w="3238"/>
        <w:gridCol w:w="2498"/>
      </w:tblGrid>
      <w:tr w:rsidR="00E82FE1" w:rsidRPr="00B603B0" w14:paraId="4AD787C7" w14:textId="77777777" w:rsidTr="00E82FE1">
        <w:tc>
          <w:tcPr>
            <w:tcW w:w="1803" w:type="dxa"/>
          </w:tcPr>
          <w:p w14:paraId="0EE9E61C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</w:tcPr>
          <w:p w14:paraId="3E2D7752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German AID registry (n=207)</w:t>
            </w:r>
          </w:p>
        </w:tc>
        <w:tc>
          <w:tcPr>
            <w:tcW w:w="3238" w:type="dxa"/>
          </w:tcPr>
          <w:p w14:paraId="714752A3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ICON-JIA (n=35)</w:t>
            </w:r>
          </w:p>
        </w:tc>
        <w:tc>
          <w:tcPr>
            <w:tcW w:w="2498" w:type="dxa"/>
          </w:tcPr>
          <w:p w14:paraId="583A2CDA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ICON-JIA enrolled within first month (n=10)</w:t>
            </w:r>
          </w:p>
        </w:tc>
      </w:tr>
      <w:tr w:rsidR="00E82FE1" w:rsidRPr="00B603B0" w14:paraId="5AB28BEA" w14:textId="77777777" w:rsidTr="00E82FE1">
        <w:tc>
          <w:tcPr>
            <w:tcW w:w="1803" w:type="dxa"/>
          </w:tcPr>
          <w:p w14:paraId="4980BC4D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2310" w:type="dxa"/>
          </w:tcPr>
          <w:p w14:paraId="6AC4BC19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Number of patients in whom the criteria are met (%)</w:t>
            </w:r>
          </w:p>
        </w:tc>
        <w:tc>
          <w:tcPr>
            <w:tcW w:w="3238" w:type="dxa"/>
          </w:tcPr>
          <w:p w14:paraId="1870FB07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Number of patients in whom the criteria are met (%)</w:t>
            </w:r>
          </w:p>
        </w:tc>
        <w:tc>
          <w:tcPr>
            <w:tcW w:w="2498" w:type="dxa"/>
          </w:tcPr>
          <w:p w14:paraId="415AFD41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Number of patients in whom the criteria are met (%)</w:t>
            </w:r>
          </w:p>
        </w:tc>
      </w:tr>
      <w:tr w:rsidR="00E82FE1" w:rsidRPr="004F033E" w14:paraId="72E80D14" w14:textId="77777777" w:rsidTr="00E82FE1">
        <w:tc>
          <w:tcPr>
            <w:tcW w:w="1803" w:type="dxa"/>
          </w:tcPr>
          <w:p w14:paraId="0EAE8007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ILAR classification criteria</w:t>
            </w:r>
          </w:p>
        </w:tc>
        <w:tc>
          <w:tcPr>
            <w:tcW w:w="2310" w:type="dxa"/>
          </w:tcPr>
          <w:p w14:paraId="57725539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99 (47.8%)</w:t>
            </w:r>
          </w:p>
        </w:tc>
        <w:tc>
          <w:tcPr>
            <w:tcW w:w="3238" w:type="dxa"/>
          </w:tcPr>
          <w:p w14:paraId="583C4CE3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19 (54.3%)</w:t>
            </w:r>
          </w:p>
        </w:tc>
        <w:tc>
          <w:tcPr>
            <w:tcW w:w="2498" w:type="dxa"/>
          </w:tcPr>
          <w:p w14:paraId="1C5E90DC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 (60%)</w:t>
            </w:r>
          </w:p>
        </w:tc>
      </w:tr>
      <w:tr w:rsidR="00E82FE1" w:rsidRPr="004F033E" w14:paraId="1E58485B" w14:textId="77777777" w:rsidTr="00E82FE1">
        <w:tc>
          <w:tcPr>
            <w:tcW w:w="1803" w:type="dxa"/>
          </w:tcPr>
          <w:p w14:paraId="4B4AAB35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Yamaguchi classification criteria</w:t>
            </w:r>
          </w:p>
        </w:tc>
        <w:tc>
          <w:tcPr>
            <w:tcW w:w="2310" w:type="dxa"/>
          </w:tcPr>
          <w:p w14:paraId="0A96DC29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bookmarkStart w:id="1" w:name="_GoBack"/>
            <w:bookmarkEnd w:id="1"/>
            <w:r w:rsidRPr="004F033E">
              <w:rPr>
                <w:sz w:val="18"/>
                <w:szCs w:val="18"/>
                <w:lang w:val="en-US"/>
              </w:rPr>
              <w:t>114 (55.1%)</w:t>
            </w:r>
          </w:p>
        </w:tc>
        <w:tc>
          <w:tcPr>
            <w:tcW w:w="3238" w:type="dxa"/>
          </w:tcPr>
          <w:p w14:paraId="5888C472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27 (77.1%)</w:t>
            </w:r>
          </w:p>
        </w:tc>
        <w:tc>
          <w:tcPr>
            <w:tcW w:w="2498" w:type="dxa"/>
          </w:tcPr>
          <w:p w14:paraId="11E5220F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 (90%)</w:t>
            </w:r>
          </w:p>
        </w:tc>
      </w:tr>
      <w:tr w:rsidR="00E82FE1" w:rsidRPr="004F033E" w14:paraId="03514720" w14:textId="77777777" w:rsidTr="00E82FE1">
        <w:tc>
          <w:tcPr>
            <w:tcW w:w="1803" w:type="dxa"/>
          </w:tcPr>
          <w:p w14:paraId="3BDC99A9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GKJR case definition for probable SJIA‡</w:t>
            </w:r>
          </w:p>
        </w:tc>
        <w:tc>
          <w:tcPr>
            <w:tcW w:w="2310" w:type="dxa"/>
          </w:tcPr>
          <w:p w14:paraId="18FFB0A1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51 (24.6%)</w:t>
            </w:r>
          </w:p>
        </w:tc>
        <w:tc>
          <w:tcPr>
            <w:tcW w:w="3238" w:type="dxa"/>
          </w:tcPr>
          <w:p w14:paraId="2427C7DD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11 (31.4%)</w:t>
            </w:r>
          </w:p>
        </w:tc>
        <w:tc>
          <w:tcPr>
            <w:tcW w:w="2498" w:type="dxa"/>
          </w:tcPr>
          <w:p w14:paraId="252B25AE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 (50%)</w:t>
            </w:r>
          </w:p>
        </w:tc>
      </w:tr>
      <w:tr w:rsidR="00E82FE1" w:rsidRPr="004F033E" w14:paraId="1ECC961B" w14:textId="77777777" w:rsidTr="00E82FE1">
        <w:tc>
          <w:tcPr>
            <w:tcW w:w="1803" w:type="dxa"/>
          </w:tcPr>
          <w:p w14:paraId="602251F7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GKJR case definition for either probable or definitive SJIA</w:t>
            </w:r>
          </w:p>
        </w:tc>
        <w:tc>
          <w:tcPr>
            <w:tcW w:w="2310" w:type="dxa"/>
          </w:tcPr>
          <w:p w14:paraId="1FAF6B8B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129 (62.3%)</w:t>
            </w:r>
          </w:p>
        </w:tc>
        <w:tc>
          <w:tcPr>
            <w:tcW w:w="3238" w:type="dxa"/>
          </w:tcPr>
          <w:p w14:paraId="27BD72D0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23 (65.7%)</w:t>
            </w:r>
          </w:p>
        </w:tc>
        <w:tc>
          <w:tcPr>
            <w:tcW w:w="2498" w:type="dxa"/>
          </w:tcPr>
          <w:p w14:paraId="29EA5BB2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 (90%)</w:t>
            </w:r>
          </w:p>
        </w:tc>
      </w:tr>
      <w:tr w:rsidR="00E82FE1" w:rsidRPr="00B603B0" w14:paraId="406D30AF" w14:textId="77777777" w:rsidTr="00E82FE1">
        <w:tc>
          <w:tcPr>
            <w:tcW w:w="1803" w:type="dxa"/>
          </w:tcPr>
          <w:p w14:paraId="29A74681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10" w:type="dxa"/>
          </w:tcPr>
          <w:p w14:paraId="11487B4A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% of patients meeting criteria via extrapolation*</w:t>
            </w:r>
          </w:p>
        </w:tc>
        <w:tc>
          <w:tcPr>
            <w:tcW w:w="3238" w:type="dxa"/>
          </w:tcPr>
          <w:p w14:paraId="24AE70BE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% of patients meeting criteria via extrapolation*</w:t>
            </w:r>
          </w:p>
        </w:tc>
        <w:tc>
          <w:tcPr>
            <w:tcW w:w="2498" w:type="dxa"/>
          </w:tcPr>
          <w:p w14:paraId="5327FEF7" w14:textId="77777777" w:rsidR="00E82FE1" w:rsidRPr="004F033E" w:rsidRDefault="00E82FE1" w:rsidP="00D31F7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% of patients meeting criteria via extrapolation*</w:t>
            </w:r>
          </w:p>
        </w:tc>
      </w:tr>
      <w:tr w:rsidR="00E82FE1" w:rsidRPr="004F033E" w14:paraId="65A8D7CB" w14:textId="77777777" w:rsidTr="00E82FE1">
        <w:tc>
          <w:tcPr>
            <w:tcW w:w="1803" w:type="dxa"/>
          </w:tcPr>
          <w:p w14:paraId="37F17314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ILAR classification criteria</w:t>
            </w:r>
          </w:p>
        </w:tc>
        <w:tc>
          <w:tcPr>
            <w:tcW w:w="2310" w:type="dxa"/>
          </w:tcPr>
          <w:p w14:paraId="44D8A75F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50.4%</w:t>
            </w:r>
          </w:p>
        </w:tc>
        <w:tc>
          <w:tcPr>
            <w:tcW w:w="3238" w:type="dxa"/>
          </w:tcPr>
          <w:p w14:paraId="4699D0F0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54.7%</w:t>
            </w:r>
          </w:p>
        </w:tc>
        <w:tc>
          <w:tcPr>
            <w:tcW w:w="2498" w:type="dxa"/>
          </w:tcPr>
          <w:p w14:paraId="15F15078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N/A</w:t>
            </w:r>
          </w:p>
        </w:tc>
      </w:tr>
      <w:tr w:rsidR="00E82FE1" w:rsidRPr="004F033E" w14:paraId="2AF44FCC" w14:textId="77777777" w:rsidTr="00E82FE1">
        <w:tc>
          <w:tcPr>
            <w:tcW w:w="1803" w:type="dxa"/>
          </w:tcPr>
          <w:p w14:paraId="196B7C89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Yamaguchi classification criteria</w:t>
            </w:r>
          </w:p>
        </w:tc>
        <w:tc>
          <w:tcPr>
            <w:tcW w:w="2310" w:type="dxa"/>
          </w:tcPr>
          <w:p w14:paraId="4B955BED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69.3%</w:t>
            </w:r>
          </w:p>
        </w:tc>
        <w:tc>
          <w:tcPr>
            <w:tcW w:w="3238" w:type="dxa"/>
          </w:tcPr>
          <w:p w14:paraId="3BF469DD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82.1%</w:t>
            </w:r>
          </w:p>
        </w:tc>
        <w:tc>
          <w:tcPr>
            <w:tcW w:w="2498" w:type="dxa"/>
          </w:tcPr>
          <w:p w14:paraId="2A8E2A2A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N/A</w:t>
            </w:r>
          </w:p>
        </w:tc>
      </w:tr>
      <w:tr w:rsidR="00E82FE1" w:rsidRPr="004F033E" w14:paraId="151B5B1F" w14:textId="77777777" w:rsidTr="00E82FE1">
        <w:tc>
          <w:tcPr>
            <w:tcW w:w="1803" w:type="dxa"/>
          </w:tcPr>
          <w:p w14:paraId="79A603F9" w14:textId="77777777" w:rsidR="00E82FE1" w:rsidRPr="004F033E" w:rsidRDefault="00E82FE1" w:rsidP="00D31F76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GKJR case definition for probable SJIA‡</w:t>
            </w:r>
          </w:p>
        </w:tc>
        <w:tc>
          <w:tcPr>
            <w:tcW w:w="2310" w:type="dxa"/>
          </w:tcPr>
          <w:p w14:paraId="70F35081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71.9%</w:t>
            </w:r>
          </w:p>
        </w:tc>
        <w:tc>
          <w:tcPr>
            <w:tcW w:w="3238" w:type="dxa"/>
          </w:tcPr>
          <w:p w14:paraId="41645807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57.7%</w:t>
            </w:r>
          </w:p>
        </w:tc>
        <w:tc>
          <w:tcPr>
            <w:tcW w:w="2498" w:type="dxa"/>
          </w:tcPr>
          <w:p w14:paraId="4191E56D" w14:textId="77777777" w:rsidR="00E82FE1" w:rsidRPr="004F033E" w:rsidRDefault="00E82FE1" w:rsidP="00D31F76">
            <w:pPr>
              <w:tabs>
                <w:tab w:val="left" w:pos="2280"/>
              </w:tabs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N/A</w:t>
            </w:r>
          </w:p>
        </w:tc>
      </w:tr>
      <w:tr w:rsidR="00E82FE1" w:rsidRPr="004F033E" w14:paraId="6A49EE55" w14:textId="77777777" w:rsidTr="00E82FE1">
        <w:tc>
          <w:tcPr>
            <w:tcW w:w="1803" w:type="dxa"/>
          </w:tcPr>
          <w:p w14:paraId="5583638A" w14:textId="77777777" w:rsidR="00E82FE1" w:rsidRPr="004F033E" w:rsidRDefault="00E82FE1" w:rsidP="00D31F76">
            <w:pPr>
              <w:rPr>
                <w:rFonts w:asciiTheme="majorHAnsi" w:eastAsiaTheme="majorEastAsia" w:hAnsiTheme="majorHAnsi" w:cstheme="majorBidi"/>
                <w:b/>
                <w:i/>
                <w:iCs/>
                <w:color w:val="404040" w:themeColor="text1" w:themeTint="BF"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GKJR case definition for either probable or definitive SJIA</w:t>
            </w:r>
          </w:p>
        </w:tc>
        <w:tc>
          <w:tcPr>
            <w:tcW w:w="2310" w:type="dxa"/>
          </w:tcPr>
          <w:p w14:paraId="2C8E9693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78.3%</w:t>
            </w:r>
          </w:p>
        </w:tc>
        <w:tc>
          <w:tcPr>
            <w:tcW w:w="3238" w:type="dxa"/>
          </w:tcPr>
          <w:p w14:paraId="75335F63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68.0%</w:t>
            </w:r>
          </w:p>
        </w:tc>
        <w:tc>
          <w:tcPr>
            <w:tcW w:w="2498" w:type="dxa"/>
          </w:tcPr>
          <w:p w14:paraId="4EDF5EF0" w14:textId="77777777" w:rsidR="00E82FE1" w:rsidRPr="004F033E" w:rsidRDefault="00E82FE1" w:rsidP="00D31F76">
            <w:pPr>
              <w:jc w:val="center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N/A</w:t>
            </w:r>
          </w:p>
        </w:tc>
      </w:tr>
      <w:tr w:rsidR="00E82FE1" w:rsidRPr="00B603B0" w14:paraId="3499359C" w14:textId="77777777" w:rsidTr="00E82FE1">
        <w:tc>
          <w:tcPr>
            <w:tcW w:w="9849" w:type="dxa"/>
            <w:gridSpan w:val="4"/>
          </w:tcPr>
          <w:p w14:paraId="31492838" w14:textId="77777777" w:rsidR="00E82FE1" w:rsidRPr="004F033E" w:rsidRDefault="00E82FE1" w:rsidP="00D31F76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AID,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autoinflammatory</w:t>
            </w:r>
            <w:proofErr w:type="spellEnd"/>
            <w:r w:rsidRPr="004F033E">
              <w:rPr>
                <w:sz w:val="18"/>
                <w:szCs w:val="18"/>
                <w:lang w:val="en-US"/>
              </w:rPr>
              <w:t xml:space="preserve"> disease; GKJR; Society for Pediatric Rheumatology; ICON-JIA, Inception cohort of newly diagnosed patients with juvenile idiopathic arthritis; ILAR, International League of Associations for Rheumatology; N/A, not applicable; SJIA, systemic juvenile idiopathic arthritis; WBC, white blood cell count</w:t>
            </w:r>
          </w:p>
          <w:p w14:paraId="5E98B10D" w14:textId="77777777" w:rsidR="00E82FE1" w:rsidRPr="004F033E" w:rsidRDefault="00E82FE1" w:rsidP="00D31F76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*based on frequency of individual parameters in the registry, assuming independent variables</w:t>
            </w:r>
          </w:p>
          <w:p w14:paraId="22CD2F38" w14:textId="77777777" w:rsidR="00E82FE1" w:rsidRPr="004F033E" w:rsidRDefault="00E82FE1" w:rsidP="00D31F76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‡Typical fever and marked systemic inflammation, and at least two of the following: typical rash, lymphadenopathy, hepatosplenomegaly,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serositis</w:t>
            </w:r>
            <w:proofErr w:type="spellEnd"/>
            <w:r w:rsidRPr="004F033E">
              <w:rPr>
                <w:sz w:val="18"/>
                <w:szCs w:val="18"/>
                <w:lang w:val="en-US"/>
              </w:rPr>
              <w:t>, extremely elevated serum S100 protein</w:t>
            </w:r>
          </w:p>
        </w:tc>
      </w:tr>
    </w:tbl>
    <w:p w14:paraId="1DD4BEE6" w14:textId="77777777" w:rsidR="00E82FE1" w:rsidRPr="004F033E" w:rsidRDefault="00E82FE1" w:rsidP="00B6214F">
      <w:pPr>
        <w:spacing w:after="0" w:line="240" w:lineRule="auto"/>
        <w:rPr>
          <w:lang w:val="en-US"/>
        </w:rPr>
      </w:pPr>
    </w:p>
    <w:p w14:paraId="7657A039" w14:textId="15C6EAE6" w:rsidR="009B0429" w:rsidRPr="009B0429" w:rsidRDefault="009B0429" w:rsidP="00B603B0">
      <w:pPr>
        <w:spacing w:after="0" w:line="240" w:lineRule="auto"/>
        <w:rPr>
          <w:lang w:val="en-US"/>
        </w:rPr>
      </w:pPr>
    </w:p>
    <w:sectPr w:rsidR="009B0429" w:rsidRPr="009B0429" w:rsidSect="00B603B0">
      <w:pgSz w:w="11906" w:h="16838"/>
      <w:pgMar w:top="1418" w:right="99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A257C" w14:textId="77777777" w:rsidR="007A03C9" w:rsidRDefault="007A03C9">
      <w:pPr>
        <w:spacing w:after="0" w:line="240" w:lineRule="auto"/>
      </w:pPr>
      <w:r>
        <w:separator/>
      </w:r>
    </w:p>
  </w:endnote>
  <w:endnote w:type="continuationSeparator" w:id="0">
    <w:p w14:paraId="10D6B6F1" w14:textId="77777777" w:rsidR="007A03C9" w:rsidRDefault="007A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50481" w14:textId="77777777" w:rsidR="007A03C9" w:rsidRDefault="007A03C9">
      <w:pPr>
        <w:spacing w:after="0" w:line="240" w:lineRule="auto"/>
      </w:pPr>
      <w:r>
        <w:separator/>
      </w:r>
    </w:p>
  </w:footnote>
  <w:footnote w:type="continuationSeparator" w:id="0">
    <w:p w14:paraId="582FFD2C" w14:textId="77777777" w:rsidR="007A03C9" w:rsidRDefault="007A0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42A"/>
    <w:multiLevelType w:val="hybridMultilevel"/>
    <w:tmpl w:val="CC9626BC"/>
    <w:lvl w:ilvl="0" w:tplc="9F10C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FE3"/>
    <w:multiLevelType w:val="hybridMultilevel"/>
    <w:tmpl w:val="48B6DF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BF6"/>
    <w:multiLevelType w:val="hybridMultilevel"/>
    <w:tmpl w:val="FE92EF04"/>
    <w:lvl w:ilvl="0" w:tplc="128A80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00C1"/>
    <w:multiLevelType w:val="hybridMultilevel"/>
    <w:tmpl w:val="4532E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B71E4"/>
    <w:multiLevelType w:val="hybridMultilevel"/>
    <w:tmpl w:val="C6900F80"/>
    <w:lvl w:ilvl="0" w:tplc="A46C4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12FCB"/>
    <w:multiLevelType w:val="hybridMultilevel"/>
    <w:tmpl w:val="6B4CA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48D"/>
    <w:multiLevelType w:val="hybridMultilevel"/>
    <w:tmpl w:val="A3268D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62947"/>
    <w:multiLevelType w:val="hybridMultilevel"/>
    <w:tmpl w:val="795AE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250ADA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389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6761F9"/>
    <w:multiLevelType w:val="hybridMultilevel"/>
    <w:tmpl w:val="C3566608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EB026C"/>
    <w:multiLevelType w:val="hybridMultilevel"/>
    <w:tmpl w:val="0C765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C6182"/>
    <w:multiLevelType w:val="hybridMultilevel"/>
    <w:tmpl w:val="55843528"/>
    <w:lvl w:ilvl="0" w:tplc="9A5070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0D31"/>
    <w:multiLevelType w:val="hybridMultilevel"/>
    <w:tmpl w:val="AB985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8600D"/>
    <w:multiLevelType w:val="hybridMultilevel"/>
    <w:tmpl w:val="2F121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B6D3D"/>
    <w:multiLevelType w:val="hybridMultilevel"/>
    <w:tmpl w:val="034AAC5A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F225F"/>
    <w:multiLevelType w:val="hybridMultilevel"/>
    <w:tmpl w:val="2206A70A"/>
    <w:lvl w:ilvl="0" w:tplc="969418B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DDD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A471D0"/>
    <w:multiLevelType w:val="hybridMultilevel"/>
    <w:tmpl w:val="EC6A6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34F4C"/>
    <w:multiLevelType w:val="hybridMultilevel"/>
    <w:tmpl w:val="F532285E"/>
    <w:lvl w:ilvl="0" w:tplc="BB5404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E5126"/>
    <w:multiLevelType w:val="hybridMultilevel"/>
    <w:tmpl w:val="AAF4D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56227"/>
    <w:multiLevelType w:val="hybridMultilevel"/>
    <w:tmpl w:val="78421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710C3"/>
    <w:multiLevelType w:val="hybridMultilevel"/>
    <w:tmpl w:val="94DC58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82756"/>
    <w:multiLevelType w:val="hybridMultilevel"/>
    <w:tmpl w:val="9572C974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E7DB4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211D30"/>
    <w:multiLevelType w:val="hybridMultilevel"/>
    <w:tmpl w:val="FC226D12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3F5C"/>
    <w:multiLevelType w:val="hybridMultilevel"/>
    <w:tmpl w:val="BF943484"/>
    <w:lvl w:ilvl="0" w:tplc="0DB8BB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21BB0"/>
    <w:multiLevelType w:val="hybridMultilevel"/>
    <w:tmpl w:val="E4261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7174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763EB9"/>
    <w:multiLevelType w:val="hybridMultilevel"/>
    <w:tmpl w:val="68BA20FE"/>
    <w:lvl w:ilvl="0" w:tplc="95BAAA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5D4857"/>
    <w:multiLevelType w:val="hybridMultilevel"/>
    <w:tmpl w:val="0FA20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37203"/>
    <w:multiLevelType w:val="hybridMultilevel"/>
    <w:tmpl w:val="4CFA6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A38A6"/>
    <w:multiLevelType w:val="hybridMultilevel"/>
    <w:tmpl w:val="F8546EE0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37AB5"/>
    <w:multiLevelType w:val="hybridMultilevel"/>
    <w:tmpl w:val="A1E69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9"/>
  </w:num>
  <w:num w:numId="5">
    <w:abstractNumId w:val="16"/>
  </w:num>
  <w:num w:numId="6">
    <w:abstractNumId w:val="27"/>
  </w:num>
  <w:num w:numId="7">
    <w:abstractNumId w:val="21"/>
  </w:num>
  <w:num w:numId="8">
    <w:abstractNumId w:val="18"/>
  </w:num>
  <w:num w:numId="9">
    <w:abstractNumId w:val="14"/>
  </w:num>
  <w:num w:numId="10">
    <w:abstractNumId w:val="31"/>
  </w:num>
  <w:num w:numId="11">
    <w:abstractNumId w:val="33"/>
  </w:num>
  <w:num w:numId="12">
    <w:abstractNumId w:val="3"/>
  </w:num>
  <w:num w:numId="13">
    <w:abstractNumId w:val="30"/>
  </w:num>
  <w:num w:numId="14">
    <w:abstractNumId w:val="5"/>
  </w:num>
  <w:num w:numId="15">
    <w:abstractNumId w:val="20"/>
  </w:num>
  <w:num w:numId="16">
    <w:abstractNumId w:val="13"/>
  </w:num>
  <w:num w:numId="17">
    <w:abstractNumId w:val="6"/>
  </w:num>
  <w:num w:numId="18">
    <w:abstractNumId w:val="22"/>
  </w:num>
  <w:num w:numId="19">
    <w:abstractNumId w:val="7"/>
  </w:num>
  <w:num w:numId="20">
    <w:abstractNumId w:val="23"/>
  </w:num>
  <w:num w:numId="21">
    <w:abstractNumId w:val="10"/>
  </w:num>
  <w:num w:numId="22">
    <w:abstractNumId w:val="8"/>
  </w:num>
  <w:num w:numId="23">
    <w:abstractNumId w:val="2"/>
  </w:num>
  <w:num w:numId="24">
    <w:abstractNumId w:val="29"/>
  </w:num>
  <w:num w:numId="25">
    <w:abstractNumId w:val="12"/>
  </w:num>
  <w:num w:numId="26">
    <w:abstractNumId w:val="32"/>
  </w:num>
  <w:num w:numId="27">
    <w:abstractNumId w:val="25"/>
  </w:num>
  <w:num w:numId="28">
    <w:abstractNumId w:val="15"/>
  </w:num>
  <w:num w:numId="29">
    <w:abstractNumId w:val="26"/>
  </w:num>
  <w:num w:numId="30">
    <w:abstractNumId w:val="0"/>
  </w:num>
  <w:num w:numId="31">
    <w:abstractNumId w:val="24"/>
  </w:num>
  <w:num w:numId="32">
    <w:abstractNumId w:val="28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t0w2tpawd9aeepe0dprwwyrstsxrrz5w20&quot;&gt;SJIA CTP references&lt;record-ids&gt;&lt;item&gt;5&lt;/item&gt;&lt;item&gt;15&lt;/item&gt;&lt;item&gt;17&lt;/item&gt;&lt;item&gt;22&lt;/item&gt;&lt;item&gt;24&lt;/item&gt;&lt;item&gt;27&lt;/item&gt;&lt;item&gt;28&lt;/item&gt;&lt;item&gt;29&lt;/item&gt;&lt;item&gt;31&lt;/item&gt;&lt;item&gt;34&lt;/item&gt;&lt;item&gt;35&lt;/item&gt;&lt;item&gt;43&lt;/item&gt;&lt;item&gt;44&lt;/item&gt;&lt;item&gt;47&lt;/item&gt;&lt;item&gt;49&lt;/item&gt;&lt;item&gt;54&lt;/item&gt;&lt;item&gt;55&lt;/item&gt;&lt;item&gt;60&lt;/item&gt;&lt;item&gt;69&lt;/item&gt;&lt;item&gt;72&lt;/item&gt;&lt;item&gt;85&lt;/item&gt;&lt;item&gt;90&lt;/item&gt;&lt;item&gt;95&lt;/item&gt;&lt;item&gt;99&lt;/item&gt;&lt;item&gt;101&lt;/item&gt;&lt;item&gt;102&lt;/item&gt;&lt;item&gt;106&lt;/item&gt;&lt;item&gt;108&lt;/item&gt;&lt;item&gt;110&lt;/item&gt;&lt;item&gt;111&lt;/item&gt;&lt;item&gt;112&lt;/item&gt;&lt;item&gt;113&lt;/item&gt;&lt;item&gt;115&lt;/item&gt;&lt;item&gt;118&lt;/item&gt;&lt;item&gt;120&lt;/item&gt;&lt;item&gt;122&lt;/item&gt;&lt;item&gt;167&lt;/item&gt;&lt;item&gt;172&lt;/item&gt;&lt;item&gt;173&lt;/item&gt;&lt;item&gt;174&lt;/item&gt;&lt;item&gt;175&lt;/item&gt;&lt;item&gt;176&lt;/item&gt;&lt;item&gt;177&lt;/item&gt;&lt;item&gt;178&lt;/item&gt;&lt;item&gt;179&lt;/item&gt;&lt;item&gt;180&lt;/item&gt;&lt;item&gt;182&lt;/item&gt;&lt;item&gt;183&lt;/item&gt;&lt;item&gt;184&lt;/item&gt;&lt;item&gt;186&lt;/item&gt;&lt;item&gt;188&lt;/item&gt;&lt;/record-ids&gt;&lt;/item&gt;&lt;/Libraries&gt;"/>
  </w:docVars>
  <w:rsids>
    <w:rsidRoot w:val="001D21E8"/>
    <w:rsid w:val="00000E37"/>
    <w:rsid w:val="00010631"/>
    <w:rsid w:val="00025CFE"/>
    <w:rsid w:val="0008479F"/>
    <w:rsid w:val="00094CC6"/>
    <w:rsid w:val="000B42BE"/>
    <w:rsid w:val="000B5038"/>
    <w:rsid w:val="000C146D"/>
    <w:rsid w:val="000E5E72"/>
    <w:rsid w:val="000F6EFC"/>
    <w:rsid w:val="00142675"/>
    <w:rsid w:val="0015517F"/>
    <w:rsid w:val="00156DDA"/>
    <w:rsid w:val="0019314C"/>
    <w:rsid w:val="001A4220"/>
    <w:rsid w:val="001A6A37"/>
    <w:rsid w:val="001B29AE"/>
    <w:rsid w:val="001C0A08"/>
    <w:rsid w:val="001C6D32"/>
    <w:rsid w:val="001D21E8"/>
    <w:rsid w:val="001F136E"/>
    <w:rsid w:val="001F13A4"/>
    <w:rsid w:val="001F4D66"/>
    <w:rsid w:val="001F6536"/>
    <w:rsid w:val="00202B48"/>
    <w:rsid w:val="00215EAB"/>
    <w:rsid w:val="00231032"/>
    <w:rsid w:val="00243BE6"/>
    <w:rsid w:val="0025450F"/>
    <w:rsid w:val="00262771"/>
    <w:rsid w:val="0026346E"/>
    <w:rsid w:val="00265804"/>
    <w:rsid w:val="0026663C"/>
    <w:rsid w:val="00285A2F"/>
    <w:rsid w:val="00294AA7"/>
    <w:rsid w:val="002A6364"/>
    <w:rsid w:val="002C12E5"/>
    <w:rsid w:val="002E049F"/>
    <w:rsid w:val="003449A2"/>
    <w:rsid w:val="00353B8A"/>
    <w:rsid w:val="00374104"/>
    <w:rsid w:val="00390A68"/>
    <w:rsid w:val="0039140C"/>
    <w:rsid w:val="00394958"/>
    <w:rsid w:val="003A3D40"/>
    <w:rsid w:val="003C6BE4"/>
    <w:rsid w:val="003E2B74"/>
    <w:rsid w:val="003E526E"/>
    <w:rsid w:val="003F5C6B"/>
    <w:rsid w:val="004152CB"/>
    <w:rsid w:val="00432F45"/>
    <w:rsid w:val="00432F66"/>
    <w:rsid w:val="00444217"/>
    <w:rsid w:val="00462854"/>
    <w:rsid w:val="00477419"/>
    <w:rsid w:val="004B10CB"/>
    <w:rsid w:val="004C35B8"/>
    <w:rsid w:val="004C5F21"/>
    <w:rsid w:val="004D5DC4"/>
    <w:rsid w:val="004F033E"/>
    <w:rsid w:val="00522779"/>
    <w:rsid w:val="00524E6D"/>
    <w:rsid w:val="00524F9E"/>
    <w:rsid w:val="00527D66"/>
    <w:rsid w:val="00542173"/>
    <w:rsid w:val="005634F4"/>
    <w:rsid w:val="00581EA7"/>
    <w:rsid w:val="005B24FB"/>
    <w:rsid w:val="005D2EDC"/>
    <w:rsid w:val="005F380A"/>
    <w:rsid w:val="00642E1B"/>
    <w:rsid w:val="006A0495"/>
    <w:rsid w:val="006C3D17"/>
    <w:rsid w:val="00702B21"/>
    <w:rsid w:val="007611CF"/>
    <w:rsid w:val="007646CE"/>
    <w:rsid w:val="007654E6"/>
    <w:rsid w:val="00766805"/>
    <w:rsid w:val="0076696F"/>
    <w:rsid w:val="00782450"/>
    <w:rsid w:val="007956DC"/>
    <w:rsid w:val="007A03C9"/>
    <w:rsid w:val="007C03C9"/>
    <w:rsid w:val="007F7076"/>
    <w:rsid w:val="0080012C"/>
    <w:rsid w:val="0082709A"/>
    <w:rsid w:val="00877C4B"/>
    <w:rsid w:val="00881947"/>
    <w:rsid w:val="008841AC"/>
    <w:rsid w:val="008C13FA"/>
    <w:rsid w:val="00924689"/>
    <w:rsid w:val="0097025A"/>
    <w:rsid w:val="00976079"/>
    <w:rsid w:val="00985370"/>
    <w:rsid w:val="009A6755"/>
    <w:rsid w:val="009B0429"/>
    <w:rsid w:val="009B68EC"/>
    <w:rsid w:val="009C3666"/>
    <w:rsid w:val="009F3944"/>
    <w:rsid w:val="009F6CF3"/>
    <w:rsid w:val="009F73B2"/>
    <w:rsid w:val="00A072B3"/>
    <w:rsid w:val="00A31C05"/>
    <w:rsid w:val="00A36AD7"/>
    <w:rsid w:val="00A40467"/>
    <w:rsid w:val="00A45608"/>
    <w:rsid w:val="00A6380F"/>
    <w:rsid w:val="00A80E88"/>
    <w:rsid w:val="00AD218B"/>
    <w:rsid w:val="00AD71F5"/>
    <w:rsid w:val="00AE5B62"/>
    <w:rsid w:val="00AF12E2"/>
    <w:rsid w:val="00B05BBA"/>
    <w:rsid w:val="00B119AF"/>
    <w:rsid w:val="00B12790"/>
    <w:rsid w:val="00B417D2"/>
    <w:rsid w:val="00B603B0"/>
    <w:rsid w:val="00B6214F"/>
    <w:rsid w:val="00B629E4"/>
    <w:rsid w:val="00BA09B6"/>
    <w:rsid w:val="00BA7A6F"/>
    <w:rsid w:val="00C022AA"/>
    <w:rsid w:val="00CA48A3"/>
    <w:rsid w:val="00CC45BD"/>
    <w:rsid w:val="00CE4733"/>
    <w:rsid w:val="00CE4B45"/>
    <w:rsid w:val="00CE7F0F"/>
    <w:rsid w:val="00D069C0"/>
    <w:rsid w:val="00D31F76"/>
    <w:rsid w:val="00D467DD"/>
    <w:rsid w:val="00D5109C"/>
    <w:rsid w:val="00D70DF3"/>
    <w:rsid w:val="00D93CC7"/>
    <w:rsid w:val="00DA01B9"/>
    <w:rsid w:val="00DA1B9C"/>
    <w:rsid w:val="00DD6F78"/>
    <w:rsid w:val="00DE5141"/>
    <w:rsid w:val="00E219A2"/>
    <w:rsid w:val="00E24943"/>
    <w:rsid w:val="00E26191"/>
    <w:rsid w:val="00E416F7"/>
    <w:rsid w:val="00E60E48"/>
    <w:rsid w:val="00E634D3"/>
    <w:rsid w:val="00E82FE1"/>
    <w:rsid w:val="00E844E6"/>
    <w:rsid w:val="00E86607"/>
    <w:rsid w:val="00EA25A4"/>
    <w:rsid w:val="00EB4C27"/>
    <w:rsid w:val="00EC0AEC"/>
    <w:rsid w:val="00ED597B"/>
    <w:rsid w:val="00EE301B"/>
    <w:rsid w:val="00F51427"/>
    <w:rsid w:val="00F618FB"/>
    <w:rsid w:val="00F77EFD"/>
    <w:rsid w:val="00F8391E"/>
    <w:rsid w:val="00FA18CD"/>
    <w:rsid w:val="00FA7DBD"/>
    <w:rsid w:val="00FB526A"/>
    <w:rsid w:val="00FB55C0"/>
    <w:rsid w:val="00FD4C26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CB6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D21E8"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1D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1E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1D21E8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1D21E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1D21E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1D21E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21E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21E8"/>
    <w:pPr>
      <w:spacing w:line="240" w:lineRule="auto"/>
    </w:pPr>
    <w:rPr>
      <w:sz w:val="24"/>
      <w:szCs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21E8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21E8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1E8"/>
    <w:rPr>
      <w:rFonts w:ascii="Lucida Grande" w:hAnsi="Lucida Grand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1E8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1D21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D21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paragraph">
    <w:name w:val="paragraph"/>
    <w:basedOn w:val="Standard"/>
    <w:rsid w:val="001D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1D21E8"/>
  </w:style>
  <w:style w:type="character" w:customStyle="1" w:styleId="eop">
    <w:name w:val="eop"/>
    <w:basedOn w:val="Absatz-Standardschriftart"/>
    <w:rsid w:val="001D21E8"/>
  </w:style>
  <w:style w:type="paragraph" w:styleId="Kopfzeile">
    <w:name w:val="header"/>
    <w:basedOn w:val="Standard"/>
    <w:link w:val="Kopf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21E8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21E8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E1B"/>
    <w:rPr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7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E61B6B-46A6-C743-9A27-A0A6CEEC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Claas Hinze</dc:creator>
  <cp:lastModifiedBy>Claas Hinze</cp:lastModifiedBy>
  <cp:revision>3</cp:revision>
  <dcterms:created xsi:type="dcterms:W3CDTF">2017-10-25T14:39:00Z</dcterms:created>
  <dcterms:modified xsi:type="dcterms:W3CDTF">2017-10-25T14:40:00Z</dcterms:modified>
</cp:coreProperties>
</file>