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5ADF1" w14:textId="6262B8D4" w:rsidR="003307AD" w:rsidRDefault="00124F94">
      <w:pPr>
        <w:rPr>
          <w:lang w:val="hu-HU"/>
        </w:rPr>
      </w:pPr>
      <w:r>
        <w:rPr>
          <w:lang w:val="hu-HU"/>
        </w:rPr>
        <w:t>JADAD-scale</w:t>
      </w:r>
      <w:r w:rsidR="00630DC1">
        <w:rPr>
          <w:lang w:val="hu-HU"/>
        </w:rPr>
        <w:t xml:space="preserve"> (</w:t>
      </w:r>
      <w:r w:rsidR="00630DC1" w:rsidRPr="00630DC1">
        <w:rPr>
          <w:lang w:val="hu-HU"/>
        </w:rPr>
        <w:t>17</w:t>
      </w:r>
      <w:r w:rsidR="00630DC1">
        <w:rPr>
          <w:lang w:val="hu-HU"/>
        </w:rPr>
        <w:t>)</w:t>
      </w:r>
    </w:p>
    <w:p w14:paraId="703ECB84" w14:textId="77777777" w:rsidR="00124F94" w:rsidRDefault="00124F94">
      <w:pPr>
        <w:rPr>
          <w:lang w:val="hu-HU"/>
        </w:rPr>
      </w:pPr>
    </w:p>
    <w:p w14:paraId="1BE40E08" w14:textId="77777777" w:rsidR="00124F94" w:rsidRDefault="00124F94">
      <w:pPr>
        <w:rPr>
          <w:lang w:val="hu-HU"/>
        </w:rPr>
      </w:pPr>
    </w:p>
    <w:tbl>
      <w:tblPr>
        <w:tblStyle w:val="TableGrid"/>
        <w:tblW w:w="9488" w:type="dxa"/>
        <w:tblLook w:val="04A0" w:firstRow="1" w:lastRow="0" w:firstColumn="1" w:lastColumn="0" w:noHBand="0" w:noVBand="1"/>
      </w:tblPr>
      <w:tblGrid>
        <w:gridCol w:w="1134"/>
        <w:gridCol w:w="1685"/>
        <w:gridCol w:w="1639"/>
        <w:gridCol w:w="1293"/>
        <w:gridCol w:w="1399"/>
        <w:gridCol w:w="1516"/>
        <w:gridCol w:w="822"/>
      </w:tblGrid>
      <w:tr w:rsidR="006D1EC7" w14:paraId="478CE23E" w14:textId="074AA864" w:rsidTr="006D1EC7">
        <w:trPr>
          <w:trHeight w:val="1034"/>
        </w:trPr>
        <w:tc>
          <w:tcPr>
            <w:tcW w:w="1134" w:type="dxa"/>
          </w:tcPr>
          <w:p w14:paraId="6B28C044" w14:textId="34127446" w:rsidR="006D1EC7" w:rsidRDefault="006D1EC7">
            <w:pPr>
              <w:rPr>
                <w:lang w:val="hu-HU"/>
              </w:rPr>
            </w:pPr>
            <w:r>
              <w:rPr>
                <w:lang w:val="hu-HU"/>
              </w:rPr>
              <w:t>Study</w:t>
            </w:r>
          </w:p>
        </w:tc>
        <w:tc>
          <w:tcPr>
            <w:tcW w:w="1685" w:type="dxa"/>
          </w:tcPr>
          <w:p w14:paraId="1564E19F" w14:textId="793F9C66" w:rsidR="006D1EC7" w:rsidRDefault="006D1EC7">
            <w:pPr>
              <w:rPr>
                <w:lang w:val="hu-HU"/>
              </w:rPr>
            </w:pPr>
            <w:r>
              <w:rPr>
                <w:lang w:val="hu-HU"/>
              </w:rPr>
              <w:t>Randomization is mentioned</w:t>
            </w:r>
          </w:p>
        </w:tc>
        <w:tc>
          <w:tcPr>
            <w:tcW w:w="1639" w:type="dxa"/>
          </w:tcPr>
          <w:p w14:paraId="5A306069" w14:textId="185FFE8D" w:rsidR="006D1EC7" w:rsidRDefault="006D1EC7">
            <w:pPr>
              <w:rPr>
                <w:lang w:val="hu-HU"/>
              </w:rPr>
            </w:pPr>
            <w:r>
              <w:rPr>
                <w:lang w:val="hu-HU"/>
              </w:rPr>
              <w:t>Appropriate randomization</w:t>
            </w:r>
          </w:p>
        </w:tc>
        <w:tc>
          <w:tcPr>
            <w:tcW w:w="1293" w:type="dxa"/>
          </w:tcPr>
          <w:p w14:paraId="0CEF7935" w14:textId="35B526B0" w:rsidR="006D1EC7" w:rsidRDefault="006D1EC7">
            <w:pPr>
              <w:rPr>
                <w:lang w:val="hu-HU"/>
              </w:rPr>
            </w:pPr>
            <w:r>
              <w:rPr>
                <w:lang w:val="hu-HU"/>
              </w:rPr>
              <w:t>Blinding is mentioned</w:t>
            </w:r>
          </w:p>
        </w:tc>
        <w:tc>
          <w:tcPr>
            <w:tcW w:w="1399" w:type="dxa"/>
          </w:tcPr>
          <w:p w14:paraId="5A09B0A8" w14:textId="019A0203" w:rsidR="006D1EC7" w:rsidRDefault="006D1EC7">
            <w:pPr>
              <w:rPr>
                <w:lang w:val="hu-HU"/>
              </w:rPr>
            </w:pPr>
            <w:r>
              <w:rPr>
                <w:lang w:val="hu-HU"/>
              </w:rPr>
              <w:t>Appropriate blinding procedure</w:t>
            </w:r>
          </w:p>
        </w:tc>
        <w:tc>
          <w:tcPr>
            <w:tcW w:w="1516" w:type="dxa"/>
          </w:tcPr>
          <w:p w14:paraId="40CB0508" w14:textId="54CDB98A" w:rsidR="006D1EC7" w:rsidRDefault="006D1EC7">
            <w:pPr>
              <w:rPr>
                <w:lang w:val="hu-HU"/>
              </w:rPr>
            </w:pPr>
            <w:r>
              <w:rPr>
                <w:lang w:val="hu-HU"/>
              </w:rPr>
              <w:t>Follow-up on all patients is known</w:t>
            </w:r>
          </w:p>
        </w:tc>
        <w:tc>
          <w:tcPr>
            <w:tcW w:w="822" w:type="dxa"/>
          </w:tcPr>
          <w:p w14:paraId="562AC19E" w14:textId="05B21A6B" w:rsidR="006D1EC7" w:rsidRDefault="006D1EC7">
            <w:pPr>
              <w:rPr>
                <w:lang w:val="hu-HU"/>
              </w:rPr>
            </w:pPr>
            <w:r>
              <w:rPr>
                <w:lang w:val="hu-HU"/>
              </w:rPr>
              <w:t>Result</w:t>
            </w:r>
          </w:p>
        </w:tc>
      </w:tr>
      <w:tr w:rsidR="006D1EC7" w14:paraId="39D912FA" w14:textId="4152BA91" w:rsidTr="006D1EC7">
        <w:tc>
          <w:tcPr>
            <w:tcW w:w="1134" w:type="dxa"/>
          </w:tcPr>
          <w:p w14:paraId="02D0324E" w14:textId="7F0F8413" w:rsidR="006D1EC7" w:rsidRDefault="006D1EC7">
            <w:pPr>
              <w:rPr>
                <w:lang w:val="hu-HU"/>
              </w:rPr>
            </w:pPr>
            <w:r w:rsidRPr="00EC618C">
              <w:rPr>
                <w:rFonts w:ascii="Times New Roman" w:eastAsia="Times New Roman" w:hAnsi="Times New Roman" w:cs="Times New Roman"/>
                <w:color w:val="000000"/>
              </w:rPr>
              <w:t>Burgos-Vargas et al. 2015</w:t>
            </w:r>
          </w:p>
        </w:tc>
        <w:tc>
          <w:tcPr>
            <w:tcW w:w="1685" w:type="dxa"/>
          </w:tcPr>
          <w:p w14:paraId="08267C48" w14:textId="1CFE7B84" w:rsidR="006D1EC7" w:rsidRDefault="00877886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639" w:type="dxa"/>
          </w:tcPr>
          <w:p w14:paraId="477A9480" w14:textId="58E3F165" w:rsidR="006D1EC7" w:rsidRDefault="00877886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293" w:type="dxa"/>
          </w:tcPr>
          <w:p w14:paraId="449FC1C4" w14:textId="3BB0A10F" w:rsidR="006D1EC7" w:rsidRDefault="00877886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399" w:type="dxa"/>
          </w:tcPr>
          <w:p w14:paraId="3FD94D80" w14:textId="795BA375" w:rsidR="006D1EC7" w:rsidRDefault="00C43912">
            <w:pPr>
              <w:rPr>
                <w:lang w:val="hu-HU"/>
              </w:rPr>
            </w:pPr>
            <w:r>
              <w:rPr>
                <w:lang w:val="hu-HU"/>
              </w:rPr>
              <w:t>0</w:t>
            </w:r>
          </w:p>
        </w:tc>
        <w:tc>
          <w:tcPr>
            <w:tcW w:w="1516" w:type="dxa"/>
          </w:tcPr>
          <w:p w14:paraId="0E7F046A" w14:textId="181BB0D5" w:rsidR="006D1EC7" w:rsidRDefault="00C43912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822" w:type="dxa"/>
          </w:tcPr>
          <w:p w14:paraId="1DCC234C" w14:textId="4B9AB5AA" w:rsidR="006D1EC7" w:rsidRDefault="00C43912">
            <w:pPr>
              <w:rPr>
                <w:lang w:val="hu-HU"/>
              </w:rPr>
            </w:pPr>
            <w:r>
              <w:rPr>
                <w:lang w:val="hu-HU"/>
              </w:rPr>
              <w:t>4</w:t>
            </w:r>
          </w:p>
        </w:tc>
      </w:tr>
      <w:tr w:rsidR="006D1EC7" w14:paraId="1C2BD1DA" w14:textId="3B72CD30" w:rsidTr="006D1EC7">
        <w:tc>
          <w:tcPr>
            <w:tcW w:w="1134" w:type="dxa"/>
          </w:tcPr>
          <w:p w14:paraId="57B9CAB3" w14:textId="1C7E2652" w:rsidR="006D1EC7" w:rsidRDefault="006D1EC7">
            <w:pPr>
              <w:rPr>
                <w:lang w:val="hu-HU"/>
              </w:rPr>
            </w:pPr>
            <w:r w:rsidRPr="00EC618C">
              <w:rPr>
                <w:rFonts w:ascii="Times New Roman" w:eastAsia="Times New Roman" w:hAnsi="Times New Roman" w:cs="Times New Roman"/>
                <w:color w:val="211E1E"/>
              </w:rPr>
              <w:t>Horneff et al. 2015</w:t>
            </w:r>
          </w:p>
        </w:tc>
        <w:tc>
          <w:tcPr>
            <w:tcW w:w="1685" w:type="dxa"/>
          </w:tcPr>
          <w:p w14:paraId="0DA2129E" w14:textId="572DDE95" w:rsidR="006D1EC7" w:rsidRDefault="00877A44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639" w:type="dxa"/>
          </w:tcPr>
          <w:p w14:paraId="1DB0E5DB" w14:textId="15C0DB2A" w:rsidR="006D1EC7" w:rsidRDefault="00877A44">
            <w:pPr>
              <w:rPr>
                <w:lang w:val="hu-HU"/>
              </w:rPr>
            </w:pPr>
            <w:r>
              <w:rPr>
                <w:lang w:val="hu-HU"/>
              </w:rPr>
              <w:t>0</w:t>
            </w:r>
          </w:p>
        </w:tc>
        <w:tc>
          <w:tcPr>
            <w:tcW w:w="1293" w:type="dxa"/>
          </w:tcPr>
          <w:p w14:paraId="266ECDB7" w14:textId="22A4965A" w:rsidR="006D1EC7" w:rsidRDefault="00877A44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399" w:type="dxa"/>
          </w:tcPr>
          <w:p w14:paraId="03D6A014" w14:textId="1F28C819" w:rsidR="006D1EC7" w:rsidRDefault="00877A44">
            <w:pPr>
              <w:rPr>
                <w:lang w:val="hu-HU"/>
              </w:rPr>
            </w:pPr>
            <w:r>
              <w:rPr>
                <w:lang w:val="hu-HU"/>
              </w:rPr>
              <w:t>0</w:t>
            </w:r>
          </w:p>
        </w:tc>
        <w:tc>
          <w:tcPr>
            <w:tcW w:w="1516" w:type="dxa"/>
          </w:tcPr>
          <w:p w14:paraId="5BC7D463" w14:textId="7A9132E8" w:rsidR="006D1EC7" w:rsidRDefault="00877A44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822" w:type="dxa"/>
          </w:tcPr>
          <w:p w14:paraId="3E367537" w14:textId="2F5AE797" w:rsidR="006D1EC7" w:rsidRDefault="00877A44">
            <w:pPr>
              <w:rPr>
                <w:lang w:val="hu-HU"/>
              </w:rPr>
            </w:pPr>
            <w:r>
              <w:rPr>
                <w:lang w:val="hu-HU"/>
              </w:rPr>
              <w:t>3</w:t>
            </w:r>
          </w:p>
        </w:tc>
      </w:tr>
      <w:tr w:rsidR="006D1EC7" w14:paraId="1E905D9F" w14:textId="4A3BA376" w:rsidTr="006D1EC7">
        <w:trPr>
          <w:trHeight w:val="334"/>
        </w:trPr>
        <w:tc>
          <w:tcPr>
            <w:tcW w:w="1134" w:type="dxa"/>
          </w:tcPr>
          <w:p w14:paraId="581E63A6" w14:textId="66003712" w:rsidR="006D1EC7" w:rsidRDefault="006D1EC7">
            <w:pPr>
              <w:rPr>
                <w:lang w:val="hu-HU"/>
              </w:rPr>
            </w:pPr>
            <w:r w:rsidRPr="00EC618C">
              <w:rPr>
                <w:rFonts w:ascii="Times New Roman" w:eastAsia="Times New Roman" w:hAnsi="Times New Roman" w:cs="Times New Roman"/>
                <w:color w:val="211E1E"/>
              </w:rPr>
              <w:t>Brunner et al. 2018</w:t>
            </w:r>
          </w:p>
        </w:tc>
        <w:tc>
          <w:tcPr>
            <w:tcW w:w="1685" w:type="dxa"/>
          </w:tcPr>
          <w:p w14:paraId="20E1ADC6" w14:textId="1065C330" w:rsidR="006D1EC7" w:rsidRDefault="005014CE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639" w:type="dxa"/>
          </w:tcPr>
          <w:p w14:paraId="0CD44FF0" w14:textId="2AFDC641" w:rsidR="006D1EC7" w:rsidRDefault="005014CE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293" w:type="dxa"/>
          </w:tcPr>
          <w:p w14:paraId="480B56D8" w14:textId="64AB7FD5" w:rsidR="006D1EC7" w:rsidRDefault="005014CE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399" w:type="dxa"/>
          </w:tcPr>
          <w:p w14:paraId="760F8032" w14:textId="2253EE84" w:rsidR="006D1EC7" w:rsidRDefault="005014CE">
            <w:pPr>
              <w:rPr>
                <w:lang w:val="hu-HU"/>
              </w:rPr>
            </w:pPr>
            <w:r>
              <w:rPr>
                <w:lang w:val="hu-HU"/>
              </w:rPr>
              <w:t>0</w:t>
            </w:r>
          </w:p>
        </w:tc>
        <w:tc>
          <w:tcPr>
            <w:tcW w:w="1516" w:type="dxa"/>
          </w:tcPr>
          <w:p w14:paraId="4BB5F54D" w14:textId="08F1F328" w:rsidR="006D1EC7" w:rsidRDefault="005014CE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822" w:type="dxa"/>
          </w:tcPr>
          <w:p w14:paraId="6CFAAF98" w14:textId="4509F7A9" w:rsidR="006D1EC7" w:rsidRDefault="005014CE">
            <w:pPr>
              <w:rPr>
                <w:lang w:val="hu-HU"/>
              </w:rPr>
            </w:pPr>
            <w:r>
              <w:rPr>
                <w:lang w:val="hu-HU"/>
              </w:rPr>
              <w:t>4</w:t>
            </w:r>
          </w:p>
        </w:tc>
      </w:tr>
      <w:tr w:rsidR="006D1EC7" w14:paraId="7D03C9D9" w14:textId="682F503B" w:rsidTr="006D1EC7">
        <w:tc>
          <w:tcPr>
            <w:tcW w:w="1134" w:type="dxa"/>
          </w:tcPr>
          <w:p w14:paraId="23645DA7" w14:textId="7DB0CC91" w:rsidR="006D1EC7" w:rsidRDefault="00CA0B41">
            <w:pPr>
              <w:rPr>
                <w:lang w:val="hu-HU"/>
              </w:rPr>
            </w:pPr>
            <w:r w:rsidRPr="00EC618C">
              <w:rPr>
                <w:rFonts w:ascii="Times New Roman" w:eastAsia="Times New Roman" w:hAnsi="Times New Roman" w:cs="Times New Roman"/>
              </w:rPr>
              <w:t>Wallace et al. 2012</w:t>
            </w:r>
          </w:p>
        </w:tc>
        <w:tc>
          <w:tcPr>
            <w:tcW w:w="1685" w:type="dxa"/>
          </w:tcPr>
          <w:p w14:paraId="5C698EAE" w14:textId="053715DA" w:rsidR="006D1EC7" w:rsidRDefault="00101901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639" w:type="dxa"/>
          </w:tcPr>
          <w:p w14:paraId="5893A032" w14:textId="2D4DF7E1" w:rsidR="006D1EC7" w:rsidRDefault="00101901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293" w:type="dxa"/>
          </w:tcPr>
          <w:p w14:paraId="32758916" w14:textId="232B489C" w:rsidR="006D1EC7" w:rsidRDefault="00101901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399" w:type="dxa"/>
          </w:tcPr>
          <w:p w14:paraId="6218F28C" w14:textId="4E8D424B" w:rsidR="006D1EC7" w:rsidRDefault="00101901">
            <w:pPr>
              <w:rPr>
                <w:lang w:val="hu-HU"/>
              </w:rPr>
            </w:pPr>
            <w:r>
              <w:rPr>
                <w:lang w:val="hu-HU"/>
              </w:rPr>
              <w:t>0</w:t>
            </w:r>
          </w:p>
        </w:tc>
        <w:tc>
          <w:tcPr>
            <w:tcW w:w="1516" w:type="dxa"/>
          </w:tcPr>
          <w:p w14:paraId="721DD1BA" w14:textId="1C3504E0" w:rsidR="006D1EC7" w:rsidRDefault="00101901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822" w:type="dxa"/>
          </w:tcPr>
          <w:p w14:paraId="7A25C491" w14:textId="3908BFBF" w:rsidR="006D1EC7" w:rsidRDefault="00101901">
            <w:pPr>
              <w:rPr>
                <w:lang w:val="hu-HU"/>
              </w:rPr>
            </w:pPr>
            <w:r>
              <w:rPr>
                <w:lang w:val="hu-HU"/>
              </w:rPr>
              <w:t>4</w:t>
            </w:r>
          </w:p>
        </w:tc>
      </w:tr>
      <w:tr w:rsidR="006D1EC7" w14:paraId="3973FE8E" w14:textId="15F2E66A" w:rsidTr="006D1EC7">
        <w:trPr>
          <w:trHeight w:val="348"/>
        </w:trPr>
        <w:tc>
          <w:tcPr>
            <w:tcW w:w="1134" w:type="dxa"/>
          </w:tcPr>
          <w:p w14:paraId="15637EA6" w14:textId="08C3AA06" w:rsidR="006D1EC7" w:rsidRDefault="00CA0B41">
            <w:pPr>
              <w:rPr>
                <w:lang w:val="hu-HU"/>
              </w:rPr>
            </w:pPr>
            <w:r w:rsidRPr="00EC618C">
              <w:rPr>
                <w:rFonts w:ascii="Times New Roman" w:eastAsia="Times New Roman" w:hAnsi="Times New Roman" w:cs="Times New Roman"/>
                <w:color w:val="000000"/>
              </w:rPr>
              <w:t>Smith et al. 2005</w:t>
            </w:r>
          </w:p>
        </w:tc>
        <w:tc>
          <w:tcPr>
            <w:tcW w:w="1685" w:type="dxa"/>
          </w:tcPr>
          <w:p w14:paraId="24FE60AD" w14:textId="5D7EA728" w:rsidR="006D1EC7" w:rsidRDefault="00DE141A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639" w:type="dxa"/>
          </w:tcPr>
          <w:p w14:paraId="4DCF936E" w14:textId="5EDF82C5" w:rsidR="006D1EC7" w:rsidRDefault="00DE141A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293" w:type="dxa"/>
          </w:tcPr>
          <w:p w14:paraId="2F57C0D9" w14:textId="3FA8A638" w:rsidR="006D1EC7" w:rsidRDefault="00DE141A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399" w:type="dxa"/>
          </w:tcPr>
          <w:p w14:paraId="548E0F29" w14:textId="6ECF7510" w:rsidR="006D1EC7" w:rsidRDefault="00027D21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516" w:type="dxa"/>
          </w:tcPr>
          <w:p w14:paraId="68E878ED" w14:textId="181947DB" w:rsidR="006D1EC7" w:rsidRDefault="00027D21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822" w:type="dxa"/>
          </w:tcPr>
          <w:p w14:paraId="227E2E2D" w14:textId="2AD17B73" w:rsidR="006D1EC7" w:rsidRDefault="00027D21">
            <w:pPr>
              <w:rPr>
                <w:lang w:val="hu-HU"/>
              </w:rPr>
            </w:pPr>
            <w:r>
              <w:rPr>
                <w:lang w:val="hu-HU"/>
              </w:rPr>
              <w:t>5</w:t>
            </w:r>
          </w:p>
        </w:tc>
      </w:tr>
      <w:tr w:rsidR="006D1EC7" w14:paraId="55EFEC08" w14:textId="5DBE3AA1" w:rsidTr="006D1EC7">
        <w:tc>
          <w:tcPr>
            <w:tcW w:w="1134" w:type="dxa"/>
          </w:tcPr>
          <w:p w14:paraId="31F95AFD" w14:textId="6884BCFE" w:rsidR="006D1EC7" w:rsidRDefault="006D1EC7">
            <w:pPr>
              <w:rPr>
                <w:lang w:val="hu-HU"/>
              </w:rPr>
            </w:pPr>
            <w:r w:rsidRPr="00EC618C">
              <w:rPr>
                <w:rFonts w:ascii="Times New Roman" w:eastAsia="Times New Roman" w:hAnsi="Times New Roman" w:cs="Times New Roman"/>
                <w:color w:val="000000"/>
              </w:rPr>
              <w:t>Ramanan et al. 2017</w:t>
            </w:r>
          </w:p>
        </w:tc>
        <w:tc>
          <w:tcPr>
            <w:tcW w:w="1685" w:type="dxa"/>
          </w:tcPr>
          <w:p w14:paraId="462467BD" w14:textId="47533BF5" w:rsidR="006D1EC7" w:rsidRDefault="006D1EC7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639" w:type="dxa"/>
          </w:tcPr>
          <w:p w14:paraId="7DAC909A" w14:textId="5F2FFE1E" w:rsidR="006D1EC7" w:rsidRDefault="006D1EC7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293" w:type="dxa"/>
          </w:tcPr>
          <w:p w14:paraId="60346711" w14:textId="343B61FC" w:rsidR="006D1EC7" w:rsidRDefault="006D1EC7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399" w:type="dxa"/>
          </w:tcPr>
          <w:p w14:paraId="5562F295" w14:textId="652AC627" w:rsidR="006D1EC7" w:rsidRDefault="006D1EC7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516" w:type="dxa"/>
          </w:tcPr>
          <w:p w14:paraId="50011E30" w14:textId="3500BC8E" w:rsidR="006D1EC7" w:rsidRDefault="006D1EC7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822" w:type="dxa"/>
          </w:tcPr>
          <w:p w14:paraId="65DC1ADD" w14:textId="1CAC2762" w:rsidR="006D1EC7" w:rsidRDefault="006D1EC7">
            <w:pPr>
              <w:rPr>
                <w:lang w:val="hu-HU"/>
              </w:rPr>
            </w:pPr>
            <w:r>
              <w:rPr>
                <w:lang w:val="hu-HU"/>
              </w:rPr>
              <w:t>5</w:t>
            </w:r>
          </w:p>
        </w:tc>
      </w:tr>
      <w:tr w:rsidR="006D1EC7" w14:paraId="2A46CD52" w14:textId="47FF6B19" w:rsidTr="006D1EC7">
        <w:tc>
          <w:tcPr>
            <w:tcW w:w="1134" w:type="dxa"/>
          </w:tcPr>
          <w:p w14:paraId="5C684EA8" w14:textId="2052F7FD" w:rsidR="006D1EC7" w:rsidRDefault="00CA0B41">
            <w:pPr>
              <w:rPr>
                <w:lang w:val="hu-HU"/>
              </w:rPr>
            </w:pPr>
            <w:r w:rsidRPr="00EC618C">
              <w:rPr>
                <w:rFonts w:ascii="Times New Roman" w:eastAsia="Times New Roman" w:hAnsi="Times New Roman" w:cs="Times New Roman"/>
                <w:color w:val="211E1E"/>
              </w:rPr>
              <w:t>Muller et al. 2017</w:t>
            </w:r>
          </w:p>
        </w:tc>
        <w:tc>
          <w:tcPr>
            <w:tcW w:w="1685" w:type="dxa"/>
          </w:tcPr>
          <w:p w14:paraId="289E65CA" w14:textId="2AA9A57C" w:rsidR="006D1EC7" w:rsidRDefault="009827E0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639" w:type="dxa"/>
          </w:tcPr>
          <w:p w14:paraId="5FB3B94B" w14:textId="493E45F6" w:rsidR="006D1EC7" w:rsidRDefault="009827E0">
            <w:pPr>
              <w:rPr>
                <w:lang w:val="hu-HU"/>
              </w:rPr>
            </w:pPr>
            <w:r>
              <w:rPr>
                <w:lang w:val="hu-HU"/>
              </w:rPr>
              <w:t>0</w:t>
            </w:r>
          </w:p>
        </w:tc>
        <w:tc>
          <w:tcPr>
            <w:tcW w:w="1293" w:type="dxa"/>
          </w:tcPr>
          <w:p w14:paraId="0CD853F5" w14:textId="750EC5E1" w:rsidR="006D1EC7" w:rsidRDefault="009827E0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1399" w:type="dxa"/>
          </w:tcPr>
          <w:p w14:paraId="62198C15" w14:textId="52CA4EEF" w:rsidR="006D1EC7" w:rsidRDefault="009827E0">
            <w:pPr>
              <w:rPr>
                <w:lang w:val="hu-HU"/>
              </w:rPr>
            </w:pPr>
            <w:r>
              <w:rPr>
                <w:lang w:val="hu-HU"/>
              </w:rPr>
              <w:t>0</w:t>
            </w:r>
          </w:p>
        </w:tc>
        <w:tc>
          <w:tcPr>
            <w:tcW w:w="1516" w:type="dxa"/>
          </w:tcPr>
          <w:p w14:paraId="091FF6AC" w14:textId="36430CF4" w:rsidR="006D1EC7" w:rsidRDefault="009827E0">
            <w:pPr>
              <w:rPr>
                <w:lang w:val="hu-HU"/>
              </w:rPr>
            </w:pPr>
            <w:r>
              <w:rPr>
                <w:lang w:val="hu-HU"/>
              </w:rPr>
              <w:t>1</w:t>
            </w:r>
          </w:p>
        </w:tc>
        <w:tc>
          <w:tcPr>
            <w:tcW w:w="822" w:type="dxa"/>
          </w:tcPr>
          <w:p w14:paraId="2CBC7D9E" w14:textId="4554B638" w:rsidR="006D1EC7" w:rsidRDefault="009827E0">
            <w:pPr>
              <w:rPr>
                <w:lang w:val="hu-HU"/>
              </w:rPr>
            </w:pPr>
            <w:r>
              <w:rPr>
                <w:lang w:val="hu-HU"/>
              </w:rPr>
              <w:t>3</w:t>
            </w:r>
          </w:p>
        </w:tc>
      </w:tr>
    </w:tbl>
    <w:p w14:paraId="16FB0A65" w14:textId="77777777" w:rsidR="00124F94" w:rsidRDefault="00124F94">
      <w:pPr>
        <w:rPr>
          <w:lang w:val="hu-HU"/>
        </w:rPr>
      </w:pPr>
    </w:p>
    <w:p w14:paraId="3B82681B" w14:textId="77777777" w:rsidR="00EC221C" w:rsidRDefault="00EC221C">
      <w:pPr>
        <w:rPr>
          <w:lang w:val="hu-HU"/>
        </w:rPr>
      </w:pPr>
    </w:p>
    <w:p w14:paraId="77DE7D4A" w14:textId="77777777" w:rsidR="00EC221C" w:rsidRDefault="00EC221C">
      <w:pPr>
        <w:rPr>
          <w:lang w:val="hu-HU"/>
        </w:rPr>
      </w:pPr>
    </w:p>
    <w:p w14:paraId="2D797D64" w14:textId="77777777" w:rsidR="00EC221C" w:rsidRDefault="00EC221C">
      <w:pPr>
        <w:rPr>
          <w:lang w:val="hu-HU"/>
        </w:rPr>
      </w:pPr>
    </w:p>
    <w:p w14:paraId="28CC2265" w14:textId="77777777" w:rsidR="00EC221C" w:rsidRDefault="00EC221C">
      <w:pPr>
        <w:rPr>
          <w:lang w:val="hu-HU"/>
        </w:rPr>
      </w:pPr>
    </w:p>
    <w:p w14:paraId="3A5057F4" w14:textId="77777777" w:rsidR="00EC221C" w:rsidRDefault="00EC221C">
      <w:pPr>
        <w:rPr>
          <w:lang w:val="hu-HU"/>
        </w:rPr>
      </w:pPr>
    </w:p>
    <w:p w14:paraId="374B0E9F" w14:textId="77777777" w:rsidR="00EC221C" w:rsidRDefault="00EC221C">
      <w:pPr>
        <w:rPr>
          <w:lang w:val="hu-HU"/>
        </w:rPr>
      </w:pPr>
    </w:p>
    <w:p w14:paraId="557CC194" w14:textId="77777777" w:rsidR="00EC221C" w:rsidRDefault="00EC221C">
      <w:pPr>
        <w:rPr>
          <w:lang w:val="hu-HU"/>
        </w:rPr>
      </w:pPr>
    </w:p>
    <w:p w14:paraId="2E1B201C" w14:textId="77777777" w:rsidR="00EC221C" w:rsidRDefault="00EC221C">
      <w:pPr>
        <w:rPr>
          <w:lang w:val="hu-HU"/>
        </w:rPr>
      </w:pPr>
    </w:p>
    <w:p w14:paraId="61ABA7BD" w14:textId="77777777" w:rsidR="00EC221C" w:rsidRDefault="00EC221C">
      <w:pPr>
        <w:rPr>
          <w:lang w:val="hu-HU"/>
        </w:rPr>
      </w:pPr>
    </w:p>
    <w:p w14:paraId="114EE823" w14:textId="77777777" w:rsidR="00EC221C" w:rsidRDefault="00EC221C">
      <w:pPr>
        <w:rPr>
          <w:lang w:val="hu-HU"/>
        </w:rPr>
      </w:pPr>
    </w:p>
    <w:p w14:paraId="1B2C3E77" w14:textId="77777777" w:rsidR="00EC221C" w:rsidRDefault="00EC221C">
      <w:pPr>
        <w:rPr>
          <w:lang w:val="hu-HU"/>
        </w:rPr>
      </w:pPr>
    </w:p>
    <w:p w14:paraId="0B65141B" w14:textId="77777777" w:rsidR="00EC221C" w:rsidRDefault="00EC221C">
      <w:pPr>
        <w:rPr>
          <w:lang w:val="hu-HU"/>
        </w:rPr>
      </w:pPr>
    </w:p>
    <w:p w14:paraId="3FC0FE1D" w14:textId="77777777" w:rsidR="00EC221C" w:rsidRDefault="00EC221C">
      <w:pPr>
        <w:rPr>
          <w:lang w:val="hu-HU"/>
        </w:rPr>
      </w:pPr>
    </w:p>
    <w:p w14:paraId="69E1821D" w14:textId="77777777" w:rsidR="00EC221C" w:rsidRDefault="00EC221C">
      <w:pPr>
        <w:rPr>
          <w:lang w:val="hu-HU"/>
        </w:rPr>
      </w:pPr>
    </w:p>
    <w:p w14:paraId="0B497BBD" w14:textId="77777777" w:rsidR="00EC221C" w:rsidRDefault="00EC221C">
      <w:pPr>
        <w:rPr>
          <w:lang w:val="hu-HU"/>
        </w:rPr>
      </w:pPr>
    </w:p>
    <w:p w14:paraId="1D1CB60A" w14:textId="77777777" w:rsidR="00EC221C" w:rsidRDefault="00EC221C">
      <w:pPr>
        <w:rPr>
          <w:lang w:val="hu-HU"/>
        </w:rPr>
      </w:pPr>
    </w:p>
    <w:p w14:paraId="71804FD5" w14:textId="77777777" w:rsidR="00EC221C" w:rsidRDefault="00EC221C">
      <w:pPr>
        <w:rPr>
          <w:lang w:val="hu-HU"/>
        </w:rPr>
      </w:pPr>
    </w:p>
    <w:p w14:paraId="6283930A" w14:textId="77777777" w:rsidR="00EC221C" w:rsidRDefault="00EC221C">
      <w:pPr>
        <w:rPr>
          <w:lang w:val="hu-HU"/>
        </w:rPr>
      </w:pPr>
    </w:p>
    <w:p w14:paraId="6CACDFCA" w14:textId="77777777" w:rsidR="00EC221C" w:rsidRDefault="00EC221C">
      <w:pPr>
        <w:rPr>
          <w:lang w:val="hu-HU"/>
        </w:rPr>
      </w:pPr>
    </w:p>
    <w:p w14:paraId="3F123D92" w14:textId="77777777" w:rsidR="00EC221C" w:rsidRDefault="00EC221C">
      <w:pPr>
        <w:rPr>
          <w:lang w:val="hu-HU"/>
        </w:rPr>
      </w:pPr>
    </w:p>
    <w:p w14:paraId="08507A8E" w14:textId="00597BBB" w:rsidR="00EC221C" w:rsidRPr="00B60417" w:rsidRDefault="00EC221C" w:rsidP="00EC221C">
      <w:pPr>
        <w:jc w:val="both"/>
        <w:rPr>
          <w:rFonts w:ascii="Times New Roman" w:hAnsi="Times New Roman" w:cs="Times New Roman"/>
          <w:b/>
          <w:lang w:val="en-GB"/>
        </w:rPr>
      </w:pPr>
      <w:r w:rsidRPr="00B60417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A8C7C" wp14:editId="777C553A">
                <wp:simplePos x="0" y="0"/>
                <wp:positionH relativeFrom="margin">
                  <wp:align>left</wp:align>
                </wp:positionH>
                <wp:positionV relativeFrom="paragraph">
                  <wp:posOffset>207010</wp:posOffset>
                </wp:positionV>
                <wp:extent cx="5756910" cy="0"/>
                <wp:effectExtent l="0" t="0" r="34290" b="25400"/>
                <wp:wrapSquare wrapText="bothSides"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691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D10DC" id="Straight Connector 2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6.3pt" to="453.3pt,16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" strokecolor="black [3200]" strokeweight="1.5pt">
                <v:stroke joinstyle="miter"/>
                <w10:wrap type="square" anchorx="margin"/>
              </v:line>
            </w:pict>
          </mc:Fallback>
        </mc:AlternateContent>
      </w:r>
      <w:r>
        <w:rPr>
          <w:rFonts w:ascii="Times New Roman" w:hAnsi="Times New Roman" w:cs="Times New Roman"/>
          <w:b/>
          <w:lang w:val="en-GB"/>
        </w:rPr>
        <w:t>Figure 6</w:t>
      </w:r>
      <w:r w:rsidRPr="00B60417">
        <w:rPr>
          <w:rFonts w:ascii="Times New Roman" w:hAnsi="Times New Roman" w:cs="Times New Roman"/>
          <w:b/>
          <w:lang w:val="en-GB"/>
        </w:rPr>
        <w:t xml:space="preserve">. </w:t>
      </w:r>
      <w:r w:rsidRPr="00B60417">
        <w:rPr>
          <w:rFonts w:ascii="Times New Roman" w:hAnsi="Times New Roman" w:cs="Times New Roman"/>
          <w:lang w:val="en-GB"/>
        </w:rPr>
        <w:t>Quality assessment of prospective cohort studies based on the Newcastle-Ottawa scale</w:t>
      </w:r>
      <w:r w:rsidR="00630DC1">
        <w:rPr>
          <w:rFonts w:ascii="Times New Roman" w:hAnsi="Times New Roman" w:cs="Times New Roman"/>
          <w:lang w:val="en-GB"/>
        </w:rPr>
        <w:t xml:space="preserve"> (18)</w:t>
      </w:r>
    </w:p>
    <w:p w14:paraId="127A5349" w14:textId="77777777" w:rsidR="00EC221C" w:rsidRPr="00B60417" w:rsidRDefault="00EC221C" w:rsidP="00EC221C">
      <w:pPr>
        <w:jc w:val="both"/>
        <w:rPr>
          <w:rFonts w:ascii="Times New Roman" w:hAnsi="Times New Roman" w:cs="Times New Roman"/>
          <w:lang w:val="en-GB"/>
        </w:rPr>
      </w:pPr>
    </w:p>
    <w:tbl>
      <w:tblPr>
        <w:tblStyle w:val="PlainTable5"/>
        <w:tblW w:w="10062" w:type="dxa"/>
        <w:tblLook w:val="04A0" w:firstRow="1" w:lastRow="0" w:firstColumn="1" w:lastColumn="0" w:noHBand="0" w:noVBand="1"/>
      </w:tblPr>
      <w:tblGrid>
        <w:gridCol w:w="1778"/>
        <w:gridCol w:w="1764"/>
        <w:gridCol w:w="1805"/>
        <w:gridCol w:w="2419"/>
        <w:gridCol w:w="2296"/>
      </w:tblGrid>
      <w:tr w:rsidR="00EC221C" w:rsidRPr="00B60417" w14:paraId="1D8AC0F3" w14:textId="77777777" w:rsidTr="00DB5C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78" w:type="dxa"/>
          </w:tcPr>
          <w:p w14:paraId="79D9C5BF" w14:textId="77777777" w:rsidR="00EC221C" w:rsidRPr="00B60417" w:rsidRDefault="00EC221C" w:rsidP="00DB5CF4">
            <w:p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60417">
              <w:rPr>
                <w:rFonts w:ascii="Times New Roman" w:hAnsi="Times New Roman" w:cs="Times New Roman"/>
                <w:i w:val="0"/>
                <w:iCs w:val="0"/>
                <w:sz w:val="24"/>
                <w:lang w:val="en-GB"/>
              </w:rPr>
              <w:t>References</w:t>
            </w:r>
          </w:p>
        </w:tc>
        <w:tc>
          <w:tcPr>
            <w:tcW w:w="1764" w:type="dxa"/>
          </w:tcPr>
          <w:p w14:paraId="3284335D" w14:textId="77777777" w:rsidR="00EC221C" w:rsidRPr="00B60417" w:rsidRDefault="00EC221C" w:rsidP="00DB5CF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GB"/>
              </w:rPr>
            </w:pPr>
            <w:r w:rsidRPr="00B60417">
              <w:rPr>
                <w:rFonts w:ascii="Times New Roman" w:hAnsi="Times New Roman" w:cs="Times New Roman"/>
                <w:sz w:val="24"/>
                <w:lang w:val="en-GB"/>
              </w:rPr>
              <w:t>Selection</w:t>
            </w:r>
          </w:p>
          <w:p w14:paraId="14B33DBF" w14:textId="77777777" w:rsidR="00EC221C" w:rsidRPr="00B60417" w:rsidRDefault="00EC221C" w:rsidP="00DB5C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GB"/>
              </w:rPr>
            </w:pPr>
            <w:r w:rsidRPr="00B60417">
              <w:rPr>
                <w:rFonts w:ascii="Times New Roman" w:hAnsi="Times New Roman" w:cs="Times New Roman"/>
                <w:sz w:val="24"/>
                <w:lang w:val="en-GB"/>
              </w:rPr>
              <w:t>1  2  3  4</w:t>
            </w:r>
          </w:p>
        </w:tc>
        <w:tc>
          <w:tcPr>
            <w:tcW w:w="1805" w:type="dxa"/>
          </w:tcPr>
          <w:p w14:paraId="3B547C63" w14:textId="77777777" w:rsidR="00EC221C" w:rsidRPr="00B60417" w:rsidRDefault="00EC221C" w:rsidP="00DB5CF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GB"/>
              </w:rPr>
            </w:pPr>
            <w:r w:rsidRPr="00B60417">
              <w:rPr>
                <w:rFonts w:ascii="Times New Roman" w:hAnsi="Times New Roman" w:cs="Times New Roman"/>
                <w:sz w:val="24"/>
                <w:lang w:val="en-GB"/>
              </w:rPr>
              <w:t>Comparability</w:t>
            </w:r>
          </w:p>
          <w:p w14:paraId="3334BE0E" w14:textId="77777777" w:rsidR="00EC221C" w:rsidRPr="00B60417" w:rsidRDefault="00EC221C" w:rsidP="00DB5C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GB"/>
              </w:rPr>
            </w:pPr>
            <w:r w:rsidRPr="00B60417">
              <w:rPr>
                <w:rFonts w:ascii="Times New Roman" w:hAnsi="Times New Roman" w:cs="Times New Roman"/>
                <w:sz w:val="24"/>
                <w:lang w:val="en-GB"/>
              </w:rPr>
              <w:t>1</w:t>
            </w:r>
          </w:p>
        </w:tc>
        <w:tc>
          <w:tcPr>
            <w:tcW w:w="2419" w:type="dxa"/>
          </w:tcPr>
          <w:p w14:paraId="096BDBA2" w14:textId="77777777" w:rsidR="00EC221C" w:rsidRPr="00B60417" w:rsidRDefault="00EC221C" w:rsidP="00DB5CF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GB"/>
              </w:rPr>
            </w:pPr>
            <w:r w:rsidRPr="00B60417">
              <w:rPr>
                <w:rFonts w:ascii="Times New Roman" w:hAnsi="Times New Roman" w:cs="Times New Roman"/>
                <w:sz w:val="24"/>
                <w:lang w:val="en-GB"/>
              </w:rPr>
              <w:t>Outcome assessment</w:t>
            </w:r>
          </w:p>
          <w:p w14:paraId="09D58057" w14:textId="77777777" w:rsidR="00EC221C" w:rsidRPr="00B60417" w:rsidRDefault="00EC221C" w:rsidP="00DB5C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GB"/>
              </w:rPr>
            </w:pPr>
            <w:r w:rsidRPr="00B60417">
              <w:rPr>
                <w:rFonts w:ascii="Times New Roman" w:hAnsi="Times New Roman" w:cs="Times New Roman"/>
                <w:sz w:val="24"/>
                <w:lang w:val="en-GB"/>
              </w:rPr>
              <w:t>1  2  3</w:t>
            </w:r>
          </w:p>
        </w:tc>
        <w:tc>
          <w:tcPr>
            <w:tcW w:w="2296" w:type="dxa"/>
          </w:tcPr>
          <w:p w14:paraId="5EA93CB4" w14:textId="77777777" w:rsidR="00EC221C" w:rsidRPr="00B60417" w:rsidRDefault="00EC221C" w:rsidP="00DB5CF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lang w:val="en-GB"/>
              </w:rPr>
            </w:pPr>
            <w:r w:rsidRPr="00B60417">
              <w:rPr>
                <w:rFonts w:ascii="Times New Roman" w:hAnsi="Times New Roman" w:cs="Times New Roman"/>
                <w:sz w:val="24"/>
                <w:lang w:val="en-GB"/>
              </w:rPr>
              <w:t>Quality judgement</w:t>
            </w:r>
          </w:p>
        </w:tc>
      </w:tr>
      <w:tr w:rsidR="00EC221C" w:rsidRPr="00B60417" w14:paraId="278BA224" w14:textId="77777777" w:rsidTr="00DB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dxa"/>
          </w:tcPr>
          <w:p w14:paraId="16214104" w14:textId="77777777" w:rsidR="00EC221C" w:rsidRPr="00B60417" w:rsidRDefault="00EC221C" w:rsidP="00DB5CF4">
            <w:p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60417">
              <w:rPr>
                <w:rFonts w:ascii="Times New Roman" w:hAnsi="Times New Roman" w:cs="Times New Roman"/>
                <w:sz w:val="24"/>
                <w:lang w:val="en-GB"/>
              </w:rPr>
              <w:t>Giannini et al</w:t>
            </w:r>
          </w:p>
        </w:tc>
        <w:tc>
          <w:tcPr>
            <w:tcW w:w="1764" w:type="dxa"/>
          </w:tcPr>
          <w:p w14:paraId="14C7E476" w14:textId="77777777" w:rsidR="00EC221C" w:rsidRPr="00B60417" w:rsidRDefault="00EC221C" w:rsidP="00DB5C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60417">
              <w:rPr>
                <w:rFonts w:ascii="Times New Roman" w:hAnsi="Times New Roman" w:cs="Times New Roman"/>
                <w:lang w:val="en-GB"/>
              </w:rPr>
              <w:t>*  *  *  *</w:t>
            </w:r>
          </w:p>
        </w:tc>
        <w:tc>
          <w:tcPr>
            <w:tcW w:w="1805" w:type="dxa"/>
          </w:tcPr>
          <w:p w14:paraId="53944A93" w14:textId="77777777" w:rsidR="00EC221C" w:rsidRPr="00B60417" w:rsidRDefault="00EC221C" w:rsidP="00DB5C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60417">
              <w:rPr>
                <w:rFonts w:ascii="Times New Roman" w:hAnsi="Times New Roman" w:cs="Times New Roman"/>
                <w:lang w:val="en-GB"/>
              </w:rPr>
              <w:t xml:space="preserve">           *  *</w:t>
            </w:r>
          </w:p>
        </w:tc>
        <w:tc>
          <w:tcPr>
            <w:tcW w:w="2419" w:type="dxa"/>
          </w:tcPr>
          <w:p w14:paraId="7AFDBCB8" w14:textId="4514A089" w:rsidR="00EC221C" w:rsidRPr="00B60417" w:rsidRDefault="000963E6" w:rsidP="00DB5C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           </w:t>
            </w:r>
            <w:r w:rsidR="004401D1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C221C" w:rsidRPr="00B60417">
              <w:rPr>
                <w:rFonts w:ascii="Times New Roman" w:hAnsi="Times New Roman" w:cs="Times New Roman"/>
                <w:lang w:val="en-GB"/>
              </w:rPr>
              <w:t>*  *</w:t>
            </w:r>
          </w:p>
        </w:tc>
        <w:tc>
          <w:tcPr>
            <w:tcW w:w="2296" w:type="dxa"/>
          </w:tcPr>
          <w:p w14:paraId="733DDE72" w14:textId="094661B3" w:rsidR="00EC221C" w:rsidRPr="00B60417" w:rsidRDefault="00EC221C" w:rsidP="00DB5C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60417">
              <w:rPr>
                <w:rFonts w:ascii="Times New Roman" w:hAnsi="Times New Roman" w:cs="Times New Roman"/>
                <w:lang w:val="en-GB"/>
              </w:rPr>
              <w:t>* * * * * * * *</w:t>
            </w:r>
          </w:p>
        </w:tc>
      </w:tr>
      <w:tr w:rsidR="00EC221C" w:rsidRPr="00B60417" w14:paraId="42D5C911" w14:textId="77777777" w:rsidTr="00DB5C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dxa"/>
          </w:tcPr>
          <w:p w14:paraId="32D81A1E" w14:textId="77777777" w:rsidR="00EC221C" w:rsidRPr="00B60417" w:rsidRDefault="00EC221C" w:rsidP="00DB5CF4">
            <w:p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60417">
              <w:rPr>
                <w:rFonts w:ascii="Times New Roman" w:hAnsi="Times New Roman" w:cs="Times New Roman"/>
                <w:sz w:val="24"/>
                <w:lang w:val="en-GB"/>
              </w:rPr>
              <w:t>Tynjala et al</w:t>
            </w:r>
          </w:p>
        </w:tc>
        <w:tc>
          <w:tcPr>
            <w:tcW w:w="1764" w:type="dxa"/>
          </w:tcPr>
          <w:p w14:paraId="276EBEFA" w14:textId="77777777" w:rsidR="00EC221C" w:rsidRPr="00B60417" w:rsidRDefault="00EC221C" w:rsidP="00DB5C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60417">
              <w:rPr>
                <w:rFonts w:ascii="Times New Roman" w:hAnsi="Times New Roman" w:cs="Times New Roman"/>
                <w:lang w:val="en-GB"/>
              </w:rPr>
              <w:t>*  *  *  *</w:t>
            </w:r>
          </w:p>
        </w:tc>
        <w:tc>
          <w:tcPr>
            <w:tcW w:w="1805" w:type="dxa"/>
          </w:tcPr>
          <w:p w14:paraId="5EA13AA2" w14:textId="77777777" w:rsidR="00EC221C" w:rsidRPr="00B60417" w:rsidRDefault="00EC221C" w:rsidP="00DB5C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60417">
              <w:rPr>
                <w:rFonts w:ascii="Times New Roman" w:hAnsi="Times New Roman" w:cs="Times New Roman"/>
                <w:lang w:val="en-GB"/>
              </w:rPr>
              <w:t xml:space="preserve">            *</w:t>
            </w:r>
          </w:p>
        </w:tc>
        <w:tc>
          <w:tcPr>
            <w:tcW w:w="2419" w:type="dxa"/>
          </w:tcPr>
          <w:p w14:paraId="6A53536F" w14:textId="67158B06" w:rsidR="00EC221C" w:rsidRPr="00B60417" w:rsidRDefault="00331827" w:rsidP="00DB5C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             *  *</w:t>
            </w:r>
          </w:p>
        </w:tc>
        <w:tc>
          <w:tcPr>
            <w:tcW w:w="2296" w:type="dxa"/>
          </w:tcPr>
          <w:p w14:paraId="19B4A976" w14:textId="6B4D230C" w:rsidR="00EC221C" w:rsidRPr="00B60417" w:rsidRDefault="00331827" w:rsidP="00DB5C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* * * * * * *</w:t>
            </w:r>
          </w:p>
        </w:tc>
      </w:tr>
      <w:tr w:rsidR="00EC221C" w:rsidRPr="00B60417" w14:paraId="1286AD49" w14:textId="77777777" w:rsidTr="00DB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8" w:type="dxa"/>
          </w:tcPr>
          <w:p w14:paraId="1E8F69AB" w14:textId="77777777" w:rsidR="00EC221C" w:rsidRPr="00B60417" w:rsidRDefault="00EC221C" w:rsidP="00DB5CF4">
            <w:pPr>
              <w:jc w:val="both"/>
              <w:rPr>
                <w:rFonts w:ascii="Times New Roman" w:hAnsi="Times New Roman" w:cs="Times New Roman"/>
                <w:sz w:val="24"/>
                <w:lang w:val="en-GB"/>
              </w:rPr>
            </w:pPr>
            <w:r w:rsidRPr="00B60417">
              <w:rPr>
                <w:rFonts w:ascii="Times New Roman" w:hAnsi="Times New Roman" w:cs="Times New Roman"/>
                <w:sz w:val="24"/>
                <w:lang w:val="en-GB"/>
              </w:rPr>
              <w:t>Davies et al</w:t>
            </w:r>
          </w:p>
        </w:tc>
        <w:tc>
          <w:tcPr>
            <w:tcW w:w="1764" w:type="dxa"/>
          </w:tcPr>
          <w:p w14:paraId="7ED58C73" w14:textId="77777777" w:rsidR="00EC221C" w:rsidRPr="00B60417" w:rsidRDefault="00EC221C" w:rsidP="00DB5C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60417">
              <w:rPr>
                <w:rFonts w:ascii="Times New Roman" w:hAnsi="Times New Roman" w:cs="Times New Roman"/>
                <w:lang w:val="en-GB"/>
              </w:rPr>
              <w:t>*  *  *  *</w:t>
            </w:r>
          </w:p>
        </w:tc>
        <w:tc>
          <w:tcPr>
            <w:tcW w:w="1805" w:type="dxa"/>
          </w:tcPr>
          <w:p w14:paraId="617A14FB" w14:textId="77777777" w:rsidR="00EC221C" w:rsidRPr="00B60417" w:rsidRDefault="00EC221C" w:rsidP="00DB5C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60417">
              <w:rPr>
                <w:rFonts w:ascii="Times New Roman" w:hAnsi="Times New Roman" w:cs="Times New Roman"/>
                <w:lang w:val="en-GB"/>
              </w:rPr>
              <w:t xml:space="preserve">            *</w:t>
            </w:r>
          </w:p>
        </w:tc>
        <w:tc>
          <w:tcPr>
            <w:tcW w:w="2419" w:type="dxa"/>
          </w:tcPr>
          <w:p w14:paraId="2383CF1B" w14:textId="77777777" w:rsidR="00EC221C" w:rsidRPr="00B60417" w:rsidRDefault="00EC221C" w:rsidP="00DB5C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60417">
              <w:rPr>
                <w:rFonts w:ascii="Times New Roman" w:hAnsi="Times New Roman" w:cs="Times New Roman"/>
                <w:lang w:val="en-GB"/>
              </w:rPr>
              <w:t xml:space="preserve">             *  *  *</w:t>
            </w:r>
          </w:p>
        </w:tc>
        <w:tc>
          <w:tcPr>
            <w:tcW w:w="2296" w:type="dxa"/>
          </w:tcPr>
          <w:p w14:paraId="12AD0432" w14:textId="77777777" w:rsidR="00EC221C" w:rsidRPr="00B60417" w:rsidRDefault="00EC221C" w:rsidP="00DB5C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B60417">
              <w:rPr>
                <w:rFonts w:ascii="Times New Roman" w:hAnsi="Times New Roman" w:cs="Times New Roman"/>
                <w:lang w:val="en-GB"/>
              </w:rPr>
              <w:t>* * * * * * * *</w:t>
            </w:r>
          </w:p>
        </w:tc>
      </w:tr>
    </w:tbl>
    <w:p w14:paraId="53B2890F" w14:textId="77777777" w:rsidR="00EC221C" w:rsidRPr="00B60417" w:rsidRDefault="00EC221C" w:rsidP="00EC221C">
      <w:pPr>
        <w:rPr>
          <w:rFonts w:ascii="Times New Roman" w:hAnsi="Times New Roman" w:cs="Times New Roman"/>
          <w:lang w:val="en-GB"/>
        </w:rPr>
      </w:pPr>
    </w:p>
    <w:p w14:paraId="0340DF7E" w14:textId="77777777" w:rsidR="00EC221C" w:rsidRDefault="00EC221C" w:rsidP="00EC221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i/>
          <w:lang w:val="en-GB"/>
        </w:rPr>
      </w:pPr>
      <w:r w:rsidRPr="00D224A2">
        <w:rPr>
          <w:rFonts w:ascii="Times New Roman" w:hAnsi="Times New Roman" w:cs="Times New Roman"/>
          <w:i/>
          <w:lang w:val="en-GB"/>
        </w:rPr>
        <w:t>Note: A study can be awarded a maximum of one star for each numbered item within the Selection and Outcome categories. A maximum of two stars can be given for Comparability. Selection: 1) Representativeness of the exposed cohort (truly representative of the average or somewhat representative of the average in the community. 2) Selection of the non-exposed cohort (drawn from the same community as the exposed cohort). 3) Ascertainment of exposure</w:t>
      </w:r>
      <w:r w:rsidRPr="00D224A2">
        <w:rPr>
          <w:rFonts w:ascii="Times New Roman" w:eastAsia="MS Mincho" w:hAnsi="Times New Roman" w:cs="Times New Roman"/>
          <w:i/>
          <w:lang w:val="en-GB"/>
        </w:rPr>
        <w:t xml:space="preserve"> (</w:t>
      </w:r>
      <w:r w:rsidRPr="00D224A2">
        <w:rPr>
          <w:rFonts w:ascii="Times New Roman" w:hAnsi="Times New Roman" w:cs="Times New Roman"/>
          <w:i/>
          <w:lang w:val="en-GB"/>
        </w:rPr>
        <w:t>secure record (e.g. surgical records) or structured interview). 4) Demonstration that outcome of interest was not present at start of study (yes). Comparability: Comparability of cohorts on the basis of the design or analysis, a second star could be added if study controls for any additional factor. Outcome: 1) Assessment of outcome</w:t>
      </w:r>
      <w:r w:rsidRPr="00D224A2">
        <w:rPr>
          <w:rFonts w:ascii="Times New Roman" w:eastAsia="MS Mincho" w:hAnsi="Times New Roman" w:cs="Times New Roman"/>
          <w:i/>
          <w:lang w:val="en-GB"/>
        </w:rPr>
        <w:t xml:space="preserve"> (</w:t>
      </w:r>
      <w:r w:rsidRPr="00D224A2">
        <w:rPr>
          <w:rFonts w:ascii="Times New Roman" w:hAnsi="Times New Roman" w:cs="Times New Roman"/>
          <w:i/>
          <w:lang w:val="en-GB"/>
        </w:rPr>
        <w:t>independent blind assessment or record linkage). 2) Was follow-up long enough for outcomes to occur</w:t>
      </w:r>
      <w:r w:rsidRPr="00D224A2">
        <w:rPr>
          <w:rFonts w:ascii="MS Mincho" w:eastAsia="MS Mincho" w:hAnsi="MS Mincho" w:cs="MS Mincho"/>
          <w:i/>
          <w:lang w:val="en-GB"/>
        </w:rPr>
        <w:t> </w:t>
      </w:r>
      <w:r w:rsidRPr="00D224A2">
        <w:rPr>
          <w:rFonts w:ascii="Times New Roman" w:hAnsi="Times New Roman" w:cs="Times New Roman"/>
          <w:i/>
          <w:lang w:val="en-GB"/>
        </w:rPr>
        <w:t>(yes). 3) Adequacy of follow up of cohorts</w:t>
      </w:r>
      <w:r w:rsidRPr="00D224A2">
        <w:rPr>
          <w:rFonts w:ascii="MS Mincho" w:eastAsia="MS Mincho" w:hAnsi="MS Mincho" w:cs="MS Mincho"/>
          <w:i/>
          <w:lang w:val="en-GB"/>
        </w:rPr>
        <w:t> </w:t>
      </w:r>
      <w:r w:rsidRPr="00D224A2">
        <w:rPr>
          <w:rFonts w:ascii="Times New Roman" w:hAnsi="Times New Roman" w:cs="Times New Roman"/>
          <w:i/>
          <w:lang w:val="en-GB"/>
        </w:rPr>
        <w:t>(complete follow up - all subjects accounted for or subjects lost to follow up unlikely to introduce bias - small number lost).</w:t>
      </w:r>
    </w:p>
    <w:p w14:paraId="28C8145F" w14:textId="77777777" w:rsidR="007119E2" w:rsidRPr="00B60417" w:rsidRDefault="007119E2" w:rsidP="00EC221C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i/>
          <w:lang w:val="en-GB"/>
        </w:rPr>
      </w:pPr>
      <w:bookmarkStart w:id="0" w:name="_GoBack"/>
      <w:bookmarkEnd w:id="0"/>
    </w:p>
    <w:p w14:paraId="14E09F6B" w14:textId="5ECBD7D1" w:rsidR="00EC221C" w:rsidRDefault="00C35069">
      <w:pPr>
        <w:rPr>
          <w:lang w:val="hu-HU"/>
        </w:rPr>
      </w:pPr>
      <w:r w:rsidRPr="00C35069">
        <w:rPr>
          <w:lang w:val="en-GB"/>
        </w:rPr>
        <w:t>References</w:t>
      </w:r>
      <w:r>
        <w:rPr>
          <w:lang w:val="hu-HU"/>
        </w:rPr>
        <w:t>:</w:t>
      </w:r>
    </w:p>
    <w:p w14:paraId="601D4ACF" w14:textId="77777777" w:rsidR="00C35069" w:rsidRDefault="00C35069">
      <w:pPr>
        <w:rPr>
          <w:lang w:val="hu-HU"/>
        </w:rPr>
      </w:pPr>
    </w:p>
    <w:p w14:paraId="5D673E7C" w14:textId="77777777" w:rsidR="00C35069" w:rsidRDefault="00C35069" w:rsidP="00C35069">
      <w:pPr>
        <w:pStyle w:val="EndNoteBibliography"/>
        <w:rPr>
          <w:noProof/>
        </w:rPr>
      </w:pPr>
      <w:r w:rsidRPr="00094894">
        <w:rPr>
          <w:noProof/>
        </w:rPr>
        <w:t>17.</w:t>
      </w:r>
      <w:r w:rsidRPr="00094894">
        <w:rPr>
          <w:noProof/>
        </w:rPr>
        <w:tab/>
        <w:t>Jadad AR, Moore RA, Carroll D, Jenkinson C, Reynolds DJ, Gavaghan DJ, et al. Assessing the quality of reports of randomized clinical trials: is blinding necessary? Control Clin Trials. 1996;17(1):1-12.</w:t>
      </w:r>
    </w:p>
    <w:p w14:paraId="12926560" w14:textId="77777777" w:rsidR="00C35069" w:rsidRPr="00094894" w:rsidRDefault="00C35069" w:rsidP="00C35069">
      <w:pPr>
        <w:pStyle w:val="EndNoteBibliography"/>
        <w:rPr>
          <w:noProof/>
        </w:rPr>
      </w:pPr>
    </w:p>
    <w:p w14:paraId="5CD50E6F" w14:textId="77777777" w:rsidR="00C35069" w:rsidRPr="00094894" w:rsidRDefault="00C35069" w:rsidP="00C35069">
      <w:pPr>
        <w:pStyle w:val="EndNoteBibliography"/>
        <w:rPr>
          <w:noProof/>
        </w:rPr>
      </w:pPr>
      <w:r w:rsidRPr="00094894">
        <w:rPr>
          <w:noProof/>
        </w:rPr>
        <w:t>18.</w:t>
      </w:r>
      <w:r w:rsidRPr="00094894">
        <w:rPr>
          <w:noProof/>
        </w:rPr>
        <w:tab/>
        <w:t>Hartling L, Hamm M, Milne A ea. Validity and Inter-Rater Reliability Testing of Quality Assessment Instruments [Internet]. Appendix E, Decision Rules for Application of the Newcastle-Ottawa Scale.: Rockville (MD): Agency for Healthcare Research and Quality (US). 2012 Mar.</w:t>
      </w:r>
    </w:p>
    <w:p w14:paraId="4D2346FD" w14:textId="77777777" w:rsidR="00C35069" w:rsidRPr="00124F94" w:rsidRDefault="00C35069">
      <w:pPr>
        <w:rPr>
          <w:lang w:val="hu-HU"/>
        </w:rPr>
      </w:pPr>
    </w:p>
    <w:sectPr w:rsidR="00C35069" w:rsidRPr="00124F94" w:rsidSect="00FB672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6E"/>
    <w:rsid w:val="00027D21"/>
    <w:rsid w:val="000963E6"/>
    <w:rsid w:val="00101901"/>
    <w:rsid w:val="00124F94"/>
    <w:rsid w:val="001702A5"/>
    <w:rsid w:val="001A429C"/>
    <w:rsid w:val="001C5114"/>
    <w:rsid w:val="00227AC6"/>
    <w:rsid w:val="003307AD"/>
    <w:rsid w:val="00331827"/>
    <w:rsid w:val="0033681C"/>
    <w:rsid w:val="003B6FF7"/>
    <w:rsid w:val="0040072D"/>
    <w:rsid w:val="00423028"/>
    <w:rsid w:val="004401D1"/>
    <w:rsid w:val="00447C93"/>
    <w:rsid w:val="00461794"/>
    <w:rsid w:val="004C44CE"/>
    <w:rsid w:val="004F7975"/>
    <w:rsid w:val="005014CE"/>
    <w:rsid w:val="005930EA"/>
    <w:rsid w:val="005E5412"/>
    <w:rsid w:val="00630DC1"/>
    <w:rsid w:val="0064190A"/>
    <w:rsid w:val="00655DDD"/>
    <w:rsid w:val="00673DAC"/>
    <w:rsid w:val="006D1EC7"/>
    <w:rsid w:val="007119E2"/>
    <w:rsid w:val="00715D24"/>
    <w:rsid w:val="00756DC1"/>
    <w:rsid w:val="007A697C"/>
    <w:rsid w:val="007C49E8"/>
    <w:rsid w:val="007C544C"/>
    <w:rsid w:val="0087036E"/>
    <w:rsid w:val="00877886"/>
    <w:rsid w:val="00877A44"/>
    <w:rsid w:val="00975B5B"/>
    <w:rsid w:val="009827E0"/>
    <w:rsid w:val="009E76E9"/>
    <w:rsid w:val="00A14249"/>
    <w:rsid w:val="00A94C25"/>
    <w:rsid w:val="00B03274"/>
    <w:rsid w:val="00B104DE"/>
    <w:rsid w:val="00B82949"/>
    <w:rsid w:val="00BE1BB6"/>
    <w:rsid w:val="00BF2089"/>
    <w:rsid w:val="00C02C26"/>
    <w:rsid w:val="00C14307"/>
    <w:rsid w:val="00C275F3"/>
    <w:rsid w:val="00C35069"/>
    <w:rsid w:val="00C43912"/>
    <w:rsid w:val="00C51406"/>
    <w:rsid w:val="00C54894"/>
    <w:rsid w:val="00C73413"/>
    <w:rsid w:val="00CA0B41"/>
    <w:rsid w:val="00CD1A11"/>
    <w:rsid w:val="00CE4B05"/>
    <w:rsid w:val="00D20DAD"/>
    <w:rsid w:val="00D44C20"/>
    <w:rsid w:val="00DD0CE0"/>
    <w:rsid w:val="00DE141A"/>
    <w:rsid w:val="00E20DEF"/>
    <w:rsid w:val="00E30A0A"/>
    <w:rsid w:val="00E82198"/>
    <w:rsid w:val="00E96672"/>
    <w:rsid w:val="00EC221C"/>
    <w:rsid w:val="00ED3CD3"/>
    <w:rsid w:val="00EE0A62"/>
    <w:rsid w:val="00F9739C"/>
    <w:rsid w:val="00FB0E45"/>
    <w:rsid w:val="00FB30B4"/>
    <w:rsid w:val="00FB672A"/>
    <w:rsid w:val="00FD3AAE"/>
    <w:rsid w:val="00FE1685"/>
    <w:rsid w:val="00FF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868A8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4F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5">
    <w:name w:val="Plain Table 5"/>
    <w:basedOn w:val="TableNormal"/>
    <w:uiPriority w:val="45"/>
    <w:rsid w:val="00EC221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EndNoteBibliography">
    <w:name w:val="EndNote Bibliography"/>
    <w:basedOn w:val="Normal"/>
    <w:rsid w:val="00C35069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359</Words>
  <Characters>2048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Arnold</dc:creator>
  <cp:keywords/>
  <dc:description/>
  <cp:lastModifiedBy>Nagy Arnold</cp:lastModifiedBy>
  <cp:revision>5</cp:revision>
  <dcterms:created xsi:type="dcterms:W3CDTF">2018-10-18T18:45:00Z</dcterms:created>
  <dcterms:modified xsi:type="dcterms:W3CDTF">2018-10-27T11:39:00Z</dcterms:modified>
</cp:coreProperties>
</file>