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4F556C" w14:textId="15228556" w:rsidR="006D76EE" w:rsidRDefault="009A6B1E" w:rsidP="00A1324D">
      <w:pPr>
        <w:pStyle w:val="NoSpacing"/>
        <w:rPr>
          <w:b/>
          <w:sz w:val="24"/>
          <w:szCs w:val="24"/>
        </w:rPr>
      </w:pPr>
      <w:r w:rsidRPr="00A1324D">
        <w:rPr>
          <w:b/>
          <w:sz w:val="24"/>
          <w:szCs w:val="24"/>
        </w:rPr>
        <w:t>SUPPLEMENTARY</w:t>
      </w:r>
      <w:r w:rsidR="006D76EE" w:rsidRPr="00A1324D">
        <w:rPr>
          <w:b/>
          <w:sz w:val="24"/>
          <w:szCs w:val="24"/>
        </w:rPr>
        <w:t xml:space="preserve"> METHODS </w:t>
      </w:r>
    </w:p>
    <w:p w14:paraId="6861F5E1" w14:textId="77777777" w:rsidR="001D7BD5" w:rsidRPr="00A1324D" w:rsidRDefault="001D7BD5" w:rsidP="00A1324D">
      <w:pPr>
        <w:pStyle w:val="NoSpacing"/>
        <w:rPr>
          <w:b/>
          <w:sz w:val="24"/>
          <w:szCs w:val="24"/>
        </w:rPr>
      </w:pPr>
    </w:p>
    <w:p w14:paraId="57C8535F" w14:textId="3B33419F" w:rsidR="006D76EE" w:rsidRPr="006D76EE" w:rsidRDefault="006D76EE" w:rsidP="006D76EE">
      <w:pPr>
        <w:spacing w:before="0" w:beforeAutospacing="0" w:line="480" w:lineRule="auto"/>
        <w:jc w:val="both"/>
        <w:rPr>
          <w:rFonts w:asciiTheme="minorHAnsi" w:hAnsiTheme="minorHAnsi"/>
          <w:i/>
          <w:sz w:val="24"/>
          <w:szCs w:val="24"/>
        </w:rPr>
      </w:pPr>
      <w:r w:rsidRPr="006D76EE">
        <w:rPr>
          <w:rFonts w:asciiTheme="minorHAnsi" w:hAnsiTheme="minorHAnsi"/>
          <w:i/>
          <w:sz w:val="24"/>
          <w:szCs w:val="24"/>
        </w:rPr>
        <w:t>Image Processing</w:t>
      </w:r>
    </w:p>
    <w:p w14:paraId="0AE0E8D6" w14:textId="3FD63771" w:rsidR="006D76EE" w:rsidRPr="006D76EE" w:rsidRDefault="006D76EE" w:rsidP="006D76EE">
      <w:pPr>
        <w:spacing w:before="0" w:beforeAutospacing="0" w:line="360" w:lineRule="auto"/>
        <w:jc w:val="both"/>
        <w:rPr>
          <w:rFonts w:asciiTheme="minorHAnsi" w:hAnsiTheme="minorHAnsi"/>
          <w:sz w:val="24"/>
          <w:szCs w:val="24"/>
        </w:rPr>
      </w:pPr>
      <w:r w:rsidRPr="006D76EE">
        <w:rPr>
          <w:rFonts w:asciiTheme="minorHAnsi" w:hAnsiTheme="minorHAnsi"/>
          <w:sz w:val="24"/>
          <w:szCs w:val="24"/>
        </w:rPr>
        <w:t xml:space="preserve">The processed images were analysed by two observers working independently (KGH, an MR physicist with 12 years’ experience in MSK imaging, and JLB, a specialist trainee in paediatrics). The magic wand tool of ImageJ was used to easily select those areas of thresholded signal </w:t>
      </w:r>
      <w:r w:rsidR="007A647E">
        <w:rPr>
          <w:rFonts w:asciiTheme="minorHAnsi" w:hAnsiTheme="minorHAnsi"/>
          <w:sz w:val="24"/>
          <w:szCs w:val="24"/>
        </w:rPr>
        <w:t xml:space="preserve">(Figure 1d) </w:t>
      </w:r>
      <w:r w:rsidRPr="006D76EE">
        <w:rPr>
          <w:rFonts w:asciiTheme="minorHAnsi" w:hAnsiTheme="minorHAnsi"/>
          <w:sz w:val="24"/>
          <w:szCs w:val="24"/>
        </w:rPr>
        <w:t>from the imaging volume that corresponded to synovium with single clicks, and to exclude blood vessels. The areas were multiplied by the slice thickness and summed to produce a total synovial volume in cm</w:t>
      </w:r>
      <w:r w:rsidRPr="006D76EE">
        <w:rPr>
          <w:rFonts w:asciiTheme="minorHAnsi" w:hAnsiTheme="minorHAnsi"/>
          <w:sz w:val="24"/>
          <w:szCs w:val="24"/>
          <w:vertAlign w:val="superscript"/>
        </w:rPr>
        <w:t>3</w:t>
      </w:r>
      <w:r w:rsidRPr="006D76EE">
        <w:rPr>
          <w:rFonts w:asciiTheme="minorHAnsi" w:hAnsiTheme="minorHAnsi"/>
          <w:sz w:val="24"/>
          <w:szCs w:val="24"/>
        </w:rPr>
        <w:t>. The dynamic-contrast enhanced series was a</w:t>
      </w:r>
      <w:r w:rsidR="009A6B1E">
        <w:rPr>
          <w:rFonts w:asciiTheme="minorHAnsi" w:hAnsiTheme="minorHAnsi"/>
          <w:sz w:val="24"/>
          <w:szCs w:val="24"/>
        </w:rPr>
        <w:t>nalysed as follows (Supplementary</w:t>
      </w:r>
      <w:r w:rsidRPr="006D76EE">
        <w:rPr>
          <w:rFonts w:asciiTheme="minorHAnsi" w:hAnsiTheme="minorHAnsi"/>
          <w:sz w:val="24"/>
          <w:szCs w:val="24"/>
        </w:rPr>
        <w:t xml:space="preserve"> Figure 2): the first four dynamics were averaged to produce a baseline intensity for each voxel for each slice. The signal in each voxel in each dynamic was expressed as a percentage change in intensity with respec</w:t>
      </w:r>
      <w:r w:rsidR="009A6B1E">
        <w:rPr>
          <w:rFonts w:asciiTheme="minorHAnsi" w:hAnsiTheme="minorHAnsi"/>
          <w:sz w:val="24"/>
          <w:szCs w:val="24"/>
        </w:rPr>
        <w:t>t to that baseline (Supplementary</w:t>
      </w:r>
      <w:r w:rsidRPr="006D76EE">
        <w:rPr>
          <w:rFonts w:asciiTheme="minorHAnsi" w:hAnsiTheme="minorHAnsi"/>
          <w:sz w:val="24"/>
          <w:szCs w:val="24"/>
        </w:rPr>
        <w:t xml:space="preserve"> Figure 2e-h). A custom macro in ImageJ applied the synovium previously segmented and calculated the volume weighted signal intensity at every time point for every slice to produce uptake curve</w:t>
      </w:r>
      <w:r w:rsidR="009A6B1E">
        <w:rPr>
          <w:rFonts w:asciiTheme="minorHAnsi" w:hAnsiTheme="minorHAnsi"/>
          <w:sz w:val="24"/>
          <w:szCs w:val="24"/>
        </w:rPr>
        <w:t>s for the synovium (</w:t>
      </w:r>
      <w:r w:rsidR="001B020E">
        <w:rPr>
          <w:rFonts w:asciiTheme="minorHAnsi" w:hAnsiTheme="minorHAnsi"/>
          <w:sz w:val="24"/>
          <w:szCs w:val="24"/>
        </w:rPr>
        <w:t>main Figure 2</w:t>
      </w:r>
      <w:r w:rsidRPr="006D76EE">
        <w:rPr>
          <w:rFonts w:asciiTheme="minorHAnsi" w:hAnsiTheme="minorHAnsi"/>
          <w:sz w:val="24"/>
          <w:szCs w:val="24"/>
        </w:rPr>
        <w:t xml:space="preserve">). Two measurements were taken from these contrast uptake curves. The initial rate of uptake was estimated (in %/s) from the gradient of the first two measurements after the arrival of contrast in the synovium and the signal enhancement (in %) was calculated as the mean percentage increase of the final four dynamics of the series.  </w:t>
      </w:r>
    </w:p>
    <w:p w14:paraId="0B4799EB" w14:textId="77777777" w:rsidR="006D76EE" w:rsidRPr="006D76EE" w:rsidRDefault="006D76EE" w:rsidP="006D76EE">
      <w:pPr>
        <w:spacing w:before="0" w:beforeAutospacing="0" w:line="360" w:lineRule="auto"/>
        <w:jc w:val="both"/>
        <w:rPr>
          <w:rFonts w:asciiTheme="minorHAnsi" w:hAnsiTheme="minorHAnsi"/>
          <w:i/>
          <w:sz w:val="24"/>
          <w:szCs w:val="24"/>
        </w:rPr>
      </w:pPr>
    </w:p>
    <w:p w14:paraId="4BC2E28B" w14:textId="38694FFF" w:rsidR="006D76EE" w:rsidRPr="006D76EE" w:rsidRDefault="006D76EE" w:rsidP="006D76EE">
      <w:pPr>
        <w:spacing w:before="0" w:beforeAutospacing="0" w:line="480" w:lineRule="auto"/>
        <w:jc w:val="both"/>
        <w:rPr>
          <w:rFonts w:asciiTheme="minorHAnsi" w:hAnsiTheme="minorHAnsi"/>
          <w:i/>
          <w:sz w:val="24"/>
          <w:szCs w:val="24"/>
        </w:rPr>
      </w:pPr>
      <w:r w:rsidRPr="006D76EE">
        <w:rPr>
          <w:rFonts w:asciiTheme="minorHAnsi" w:hAnsiTheme="minorHAnsi"/>
          <w:i/>
          <w:sz w:val="24"/>
          <w:szCs w:val="24"/>
        </w:rPr>
        <w:t>Thresholding the T1w FS TSE difference images for synovial volume</w:t>
      </w:r>
    </w:p>
    <w:p w14:paraId="723DCEF2" w14:textId="54E88F35" w:rsidR="006D76EE" w:rsidRPr="006D76EE" w:rsidRDefault="006D76EE" w:rsidP="006D76EE">
      <w:pPr>
        <w:spacing w:before="0" w:beforeAutospacing="0" w:line="360" w:lineRule="auto"/>
        <w:jc w:val="both"/>
        <w:rPr>
          <w:rFonts w:asciiTheme="minorHAnsi" w:hAnsiTheme="minorHAnsi"/>
          <w:sz w:val="24"/>
          <w:szCs w:val="24"/>
        </w:rPr>
      </w:pPr>
      <w:r w:rsidRPr="006D76EE">
        <w:rPr>
          <w:rFonts w:asciiTheme="minorHAnsi" w:hAnsiTheme="minorHAnsi"/>
          <w:sz w:val="24"/>
          <w:szCs w:val="24"/>
        </w:rPr>
        <w:t>To avoid time-consuming and subjective manual delineation of the enhancing synovial tissue in each image slice, and to reduce inter-observer variability, we created a high-resolution difference image between the registered pre- and post- contrast image stacks. From our data, we determined a threshold that would separate the enhancing synovium from adjacent structures as cleanly as possible.</w:t>
      </w:r>
    </w:p>
    <w:p w14:paraId="78CABEFD" w14:textId="77777777" w:rsidR="006D76EE" w:rsidRPr="006D76EE" w:rsidRDefault="006D76EE" w:rsidP="006D76EE">
      <w:pPr>
        <w:spacing w:before="0" w:beforeAutospacing="0" w:line="360" w:lineRule="auto"/>
        <w:jc w:val="both"/>
        <w:rPr>
          <w:rFonts w:asciiTheme="minorHAnsi" w:hAnsiTheme="minorHAnsi"/>
          <w:sz w:val="24"/>
          <w:szCs w:val="24"/>
        </w:rPr>
      </w:pPr>
    </w:p>
    <w:p w14:paraId="48390297" w14:textId="0B29B69C" w:rsidR="006D76EE" w:rsidRPr="006D76EE" w:rsidRDefault="006D76EE" w:rsidP="006D76EE">
      <w:pPr>
        <w:spacing w:before="0" w:beforeAutospacing="0" w:line="360" w:lineRule="auto"/>
        <w:jc w:val="both"/>
        <w:rPr>
          <w:rFonts w:asciiTheme="minorHAnsi" w:hAnsiTheme="minorHAnsi"/>
          <w:sz w:val="24"/>
          <w:szCs w:val="24"/>
        </w:rPr>
      </w:pPr>
      <w:r w:rsidRPr="006D76EE">
        <w:rPr>
          <w:rFonts w:asciiTheme="minorHAnsi" w:hAnsiTheme="minorHAnsi"/>
          <w:sz w:val="24"/>
          <w:szCs w:val="24"/>
        </w:rPr>
        <w:t>Synovial fluid and cartilage have negligible early contrast enhancement. Post-hoc analysis showed that the pre-contrast synovium and skeletal muscle had similar signal intensities on T1w TSE. By relating the signal intensity equation of the T1</w:t>
      </w:r>
      <w:r w:rsidR="00CB3D63">
        <w:rPr>
          <w:rFonts w:asciiTheme="minorHAnsi" w:hAnsiTheme="minorHAnsi"/>
          <w:sz w:val="24"/>
          <w:szCs w:val="24"/>
        </w:rPr>
        <w:t>w</w:t>
      </w:r>
      <w:r w:rsidRPr="006D76EE">
        <w:rPr>
          <w:rFonts w:asciiTheme="minorHAnsi" w:hAnsiTheme="minorHAnsi"/>
          <w:sz w:val="24"/>
          <w:szCs w:val="24"/>
        </w:rPr>
        <w:t xml:space="preserve"> TSE used (S1) and the known relaxivity of Dotarem (3.6 L mmol</w:t>
      </w:r>
      <w:r w:rsidRPr="006D76EE">
        <w:rPr>
          <w:rFonts w:asciiTheme="minorHAnsi" w:hAnsiTheme="minorHAnsi"/>
          <w:sz w:val="24"/>
          <w:szCs w:val="24"/>
          <w:vertAlign w:val="superscript"/>
        </w:rPr>
        <w:t xml:space="preserve"> </w:t>
      </w:r>
      <w:r w:rsidRPr="006D76EE">
        <w:rPr>
          <w:rFonts w:asciiTheme="minorHAnsi" w:hAnsiTheme="minorHAnsi"/>
          <w:sz w:val="24"/>
          <w:szCs w:val="24"/>
        </w:rPr>
        <w:t>s</w:t>
      </w:r>
      <w:r w:rsidRPr="006D76EE">
        <w:rPr>
          <w:rFonts w:asciiTheme="minorHAnsi" w:hAnsiTheme="minorHAnsi"/>
          <w:sz w:val="24"/>
          <w:szCs w:val="24"/>
          <w:vertAlign w:val="superscript"/>
        </w:rPr>
        <w:t>-1</w:t>
      </w:r>
      <w:r w:rsidRPr="006D76EE">
        <w:rPr>
          <w:rFonts w:asciiTheme="minorHAnsi" w:hAnsiTheme="minorHAnsi"/>
          <w:sz w:val="24"/>
          <w:szCs w:val="24"/>
        </w:rPr>
        <w:t xml:space="preserve">) (S2) to acquisitions from phantom objects with known </w:t>
      </w:r>
      <w:r w:rsidRPr="006D76EE">
        <w:rPr>
          <w:rFonts w:asciiTheme="minorHAnsi" w:hAnsiTheme="minorHAnsi"/>
          <w:sz w:val="24"/>
          <w:szCs w:val="24"/>
        </w:rPr>
        <w:lastRenderedPageBreak/>
        <w:t>T</w:t>
      </w:r>
      <w:r w:rsidRPr="006D76EE">
        <w:rPr>
          <w:rFonts w:asciiTheme="minorHAnsi" w:hAnsiTheme="minorHAnsi"/>
          <w:sz w:val="24"/>
          <w:szCs w:val="24"/>
          <w:vertAlign w:val="subscript"/>
        </w:rPr>
        <w:t>1</w:t>
      </w:r>
      <w:r w:rsidRPr="006D76EE">
        <w:rPr>
          <w:rFonts w:asciiTheme="minorHAnsi" w:hAnsiTheme="minorHAnsi"/>
          <w:sz w:val="24"/>
          <w:szCs w:val="24"/>
        </w:rPr>
        <w:t>, this indicates a T</w:t>
      </w:r>
      <w:r w:rsidRPr="006D76EE">
        <w:rPr>
          <w:rFonts w:asciiTheme="minorHAnsi" w:hAnsiTheme="minorHAnsi"/>
          <w:sz w:val="24"/>
          <w:szCs w:val="24"/>
          <w:vertAlign w:val="subscript"/>
        </w:rPr>
        <w:t>1</w:t>
      </w:r>
      <w:r w:rsidRPr="006D76EE">
        <w:rPr>
          <w:rFonts w:asciiTheme="minorHAnsi" w:hAnsiTheme="minorHAnsi"/>
          <w:sz w:val="24"/>
          <w:szCs w:val="24"/>
        </w:rPr>
        <w:t xml:space="preserve"> relaxation time of approx. 1100ms, which is consistent with measurements of skeletal muscle at 1.5T and of synovium at 3.0T (S3,S4). </w:t>
      </w:r>
      <w:r w:rsidR="00CA0760">
        <w:rPr>
          <w:rFonts w:asciiTheme="minorHAnsi" w:hAnsiTheme="minorHAnsi"/>
          <w:sz w:val="24"/>
          <w:szCs w:val="24"/>
        </w:rPr>
        <w:t>T</w:t>
      </w:r>
      <w:r w:rsidRPr="006D76EE">
        <w:rPr>
          <w:rFonts w:asciiTheme="minorHAnsi" w:hAnsiTheme="minorHAnsi"/>
          <w:sz w:val="24"/>
          <w:szCs w:val="24"/>
        </w:rPr>
        <w:t>he skeletal muscle increased in signal intensity by 20%</w:t>
      </w:r>
      <w:r w:rsidR="00CA0760">
        <w:rPr>
          <w:rFonts w:asciiTheme="minorHAnsi" w:hAnsiTheme="minorHAnsi"/>
          <w:sz w:val="24"/>
          <w:szCs w:val="24"/>
        </w:rPr>
        <w:t xml:space="preserve"> post-contrast</w:t>
      </w:r>
      <w:r w:rsidRPr="006D76EE">
        <w:rPr>
          <w:rFonts w:asciiTheme="minorHAnsi" w:hAnsiTheme="minorHAnsi"/>
          <w:sz w:val="24"/>
          <w:szCs w:val="24"/>
        </w:rPr>
        <w:t>, while all of</w:t>
      </w:r>
      <w:r w:rsidR="00CB3D63">
        <w:rPr>
          <w:rFonts w:asciiTheme="minorHAnsi" w:hAnsiTheme="minorHAnsi"/>
          <w:sz w:val="24"/>
          <w:szCs w:val="24"/>
        </w:rPr>
        <w:t xml:space="preserve"> the</w:t>
      </w:r>
      <w:r w:rsidRPr="006D76EE">
        <w:rPr>
          <w:rFonts w:asciiTheme="minorHAnsi" w:hAnsiTheme="minorHAnsi"/>
          <w:sz w:val="24"/>
          <w:szCs w:val="24"/>
        </w:rPr>
        <w:t xml:space="preserve"> enhancing synovium more than doubled in signal intensity from baseline. Therefore we binary gated the difference images by the signal difference that would represent a doubling of signal intensity from skeletal muscle. This corresponds to a contrast agent concentration of approximately 0.4mM in the synovium. </w:t>
      </w:r>
    </w:p>
    <w:p w14:paraId="4E252B41" w14:textId="77777777" w:rsidR="006D76EE" w:rsidRPr="006D76EE" w:rsidRDefault="006D76EE" w:rsidP="006D76EE">
      <w:pPr>
        <w:spacing w:before="0" w:beforeAutospacing="0" w:line="360" w:lineRule="auto"/>
        <w:jc w:val="both"/>
        <w:rPr>
          <w:rFonts w:asciiTheme="minorHAnsi" w:hAnsiTheme="minorHAnsi"/>
          <w:sz w:val="24"/>
          <w:szCs w:val="24"/>
        </w:rPr>
      </w:pPr>
    </w:p>
    <w:p w14:paraId="02F932A3" w14:textId="77777777" w:rsidR="006D76EE" w:rsidRPr="006D76EE" w:rsidRDefault="006D76EE" w:rsidP="006D76EE">
      <w:pPr>
        <w:spacing w:before="0" w:beforeAutospacing="0" w:line="360" w:lineRule="auto"/>
        <w:jc w:val="both"/>
        <w:rPr>
          <w:rFonts w:asciiTheme="minorHAnsi" w:hAnsiTheme="minorHAnsi"/>
          <w:sz w:val="24"/>
          <w:szCs w:val="24"/>
        </w:rPr>
      </w:pPr>
      <w:r w:rsidRPr="006D76EE">
        <w:rPr>
          <w:rFonts w:asciiTheme="minorHAnsi" w:hAnsiTheme="minorHAnsi"/>
          <w:sz w:val="24"/>
          <w:szCs w:val="24"/>
        </w:rPr>
        <w:t>This binary gating suppresses signal from synovial fluid, cartilage and fat structures surrounding the synovium, enabling easier selection. Most signal from within bone is suppressed, though in some children significant uptake from vascular structures associated with the physis exceeded this threshold and was carried into the binary mask, though this signal is not contiguous with the synovium and can be avoided in selection. Signals from arteries, veins and smaller blood vessels also exceed the threshold but only a few are contiguous to the synovium and can be eliminated. Once the synovial selections were made, they were checked by overlaying them on the post-contrast image and were in excellent visual agreement.</w:t>
      </w:r>
    </w:p>
    <w:p w14:paraId="2D183869" w14:textId="77777777" w:rsidR="006D76EE" w:rsidRPr="006D76EE" w:rsidRDefault="006D76EE" w:rsidP="006D76EE">
      <w:pPr>
        <w:spacing w:before="0" w:beforeAutospacing="0" w:line="360" w:lineRule="auto"/>
        <w:rPr>
          <w:rFonts w:asciiTheme="minorHAnsi" w:hAnsiTheme="minorHAnsi"/>
          <w:sz w:val="24"/>
          <w:szCs w:val="24"/>
        </w:rPr>
      </w:pPr>
    </w:p>
    <w:p w14:paraId="40FE0887" w14:textId="261A72ED" w:rsidR="006D76EE" w:rsidRPr="006D76EE" w:rsidRDefault="006D76EE" w:rsidP="006D76EE">
      <w:pPr>
        <w:spacing w:before="0" w:beforeAutospacing="0"/>
        <w:rPr>
          <w:rFonts w:asciiTheme="minorHAnsi" w:hAnsiTheme="minorHAnsi"/>
          <w:i/>
          <w:sz w:val="24"/>
          <w:szCs w:val="24"/>
        </w:rPr>
      </w:pPr>
      <w:r w:rsidRPr="006D76EE">
        <w:rPr>
          <w:rFonts w:asciiTheme="minorHAnsi" w:eastAsia="Calibri" w:hAnsiTheme="minorHAnsi"/>
          <w:bCs/>
          <w:i/>
          <w:sz w:val="24"/>
          <w:szCs w:val="24"/>
          <w:lang w:val="en-US" w:eastAsia="en-US" w:bidi="en-US"/>
        </w:rPr>
        <w:t>Interview guide for Parent Interviews following the first MRI visit</w:t>
      </w:r>
    </w:p>
    <w:p w14:paraId="6C99FFE0" w14:textId="77777777" w:rsidR="006D76EE" w:rsidRPr="006D76EE" w:rsidRDefault="006D76EE" w:rsidP="006D76EE">
      <w:pPr>
        <w:spacing w:before="0" w:beforeAutospacing="0" w:line="360" w:lineRule="auto"/>
        <w:rPr>
          <w:rFonts w:asciiTheme="minorHAnsi" w:eastAsia="Calibri" w:hAnsiTheme="minorHAnsi" w:cs="Arial"/>
          <w:b/>
          <w:bCs/>
          <w:lang w:val="en-US" w:eastAsia="en-US" w:bidi="en-US"/>
        </w:rPr>
      </w:pPr>
    </w:p>
    <w:p w14:paraId="6AFA3699" w14:textId="77777777" w:rsidR="006D76EE" w:rsidRPr="006D76EE" w:rsidRDefault="006D76EE" w:rsidP="006D76EE">
      <w:pPr>
        <w:spacing w:before="0" w:beforeAutospacing="0" w:line="360" w:lineRule="auto"/>
        <w:jc w:val="both"/>
        <w:rPr>
          <w:rFonts w:asciiTheme="minorHAnsi" w:eastAsia="Calibri" w:hAnsiTheme="minorHAnsi"/>
          <w:sz w:val="24"/>
          <w:szCs w:val="24"/>
          <w:lang w:eastAsia="en-US" w:bidi="en-US"/>
        </w:rPr>
      </w:pPr>
      <w:r w:rsidRPr="006D76EE">
        <w:rPr>
          <w:rFonts w:asciiTheme="minorHAnsi" w:eastAsia="Calibri" w:hAnsiTheme="minorHAnsi"/>
          <w:sz w:val="24"/>
          <w:szCs w:val="24"/>
          <w:lang w:eastAsia="en-US" w:bidi="en-US"/>
        </w:rPr>
        <w:t xml:space="preserve">Following the first MRI visit and questionnaire, telephone interviews were conducted with the parent/carer to further explore the experience of the imaging. Willingness to take part and a suitable time for calling was established during the first MRI visit. It was intended that the telephone call should be concluded within 15-30 minutes, and this was guided by the amount of feedback offered from the parent/carer. The results of the questionnaire were used to inform the interview framework and these interviews enabled further exploration of the themes derived from the questionnaire. </w:t>
      </w:r>
    </w:p>
    <w:p w14:paraId="1C0D8019" w14:textId="77777777" w:rsidR="006D76EE" w:rsidRPr="006D76EE" w:rsidRDefault="006D76EE" w:rsidP="006D76EE">
      <w:pPr>
        <w:spacing w:before="0" w:beforeAutospacing="0" w:line="360" w:lineRule="auto"/>
        <w:rPr>
          <w:rFonts w:asciiTheme="minorHAnsi" w:eastAsia="Calibri" w:hAnsiTheme="minorHAnsi" w:cs="Arial"/>
          <w:b/>
          <w:bCs/>
          <w:lang w:val="en-US" w:eastAsia="en-US" w:bidi="en-US"/>
        </w:rPr>
      </w:pPr>
    </w:p>
    <w:tbl>
      <w:tblPr>
        <w:tblStyle w:val="TableGrid1"/>
        <w:tblW w:w="0" w:type="auto"/>
        <w:tblLook w:val="04A0" w:firstRow="1" w:lastRow="0" w:firstColumn="1" w:lastColumn="0" w:noHBand="0" w:noVBand="1"/>
      </w:tblPr>
      <w:tblGrid>
        <w:gridCol w:w="9236"/>
      </w:tblGrid>
      <w:tr w:rsidR="006D76EE" w:rsidRPr="006D76EE" w14:paraId="28370C0C" w14:textId="77777777" w:rsidTr="00572F91">
        <w:tc>
          <w:tcPr>
            <w:tcW w:w="9236" w:type="dxa"/>
            <w:tcBorders>
              <w:top w:val="single" w:sz="4" w:space="0" w:color="auto"/>
              <w:left w:val="single" w:sz="4" w:space="0" w:color="auto"/>
              <w:bottom w:val="single" w:sz="4" w:space="0" w:color="auto"/>
              <w:right w:val="single" w:sz="4" w:space="0" w:color="auto"/>
            </w:tcBorders>
          </w:tcPr>
          <w:p w14:paraId="4CF803F1" w14:textId="77777777" w:rsidR="006D76EE" w:rsidRPr="006D76EE" w:rsidRDefault="006D76EE" w:rsidP="00572F91">
            <w:pPr>
              <w:spacing w:before="0" w:beforeAutospacing="0" w:after="200" w:line="360" w:lineRule="auto"/>
              <w:rPr>
                <w:rFonts w:asciiTheme="minorHAnsi" w:eastAsia="Cambria" w:hAnsiTheme="minorHAnsi"/>
                <w:b/>
                <w:sz w:val="24"/>
                <w:szCs w:val="24"/>
                <w:lang w:eastAsia="en-US" w:bidi="en-US"/>
              </w:rPr>
            </w:pPr>
            <w:r w:rsidRPr="006D76EE">
              <w:rPr>
                <w:rFonts w:asciiTheme="minorHAnsi" w:eastAsia="Cambria" w:hAnsiTheme="minorHAnsi"/>
                <w:b/>
                <w:sz w:val="24"/>
                <w:szCs w:val="24"/>
                <w:lang w:eastAsia="en-US" w:bidi="en-US"/>
              </w:rPr>
              <w:t>Introduction</w:t>
            </w:r>
          </w:p>
          <w:p w14:paraId="61BC0B9E" w14:textId="77777777" w:rsidR="006D76EE" w:rsidRPr="006D76EE" w:rsidRDefault="006D76EE" w:rsidP="006D76EE">
            <w:pPr>
              <w:numPr>
                <w:ilvl w:val="0"/>
                <w:numId w:val="5"/>
              </w:numPr>
              <w:spacing w:before="0" w:beforeAutospacing="0" w:after="200" w:line="360" w:lineRule="auto"/>
              <w:contextualSpacing/>
              <w:rPr>
                <w:rFonts w:asciiTheme="minorHAnsi" w:hAnsiTheme="minorHAnsi"/>
                <w:sz w:val="24"/>
                <w:szCs w:val="24"/>
                <w:lang w:eastAsia="en-US"/>
              </w:rPr>
            </w:pPr>
            <w:r w:rsidRPr="006D76EE">
              <w:rPr>
                <w:rFonts w:asciiTheme="minorHAnsi" w:hAnsiTheme="minorHAnsi"/>
                <w:sz w:val="24"/>
                <w:szCs w:val="24"/>
                <w:lang w:eastAsia="en-US"/>
              </w:rPr>
              <w:t xml:space="preserve">Greetings, confirm identity of caller and personal introduction. Confirm follow-up call as indicated in study information sheet. Check that this is a good time to call. </w:t>
            </w:r>
          </w:p>
          <w:p w14:paraId="061688CA" w14:textId="77777777" w:rsidR="006D76EE" w:rsidRPr="006D76EE" w:rsidRDefault="006D76EE" w:rsidP="006D76EE">
            <w:pPr>
              <w:numPr>
                <w:ilvl w:val="0"/>
                <w:numId w:val="5"/>
              </w:numPr>
              <w:spacing w:before="0" w:beforeAutospacing="0" w:after="200" w:line="360" w:lineRule="auto"/>
              <w:contextualSpacing/>
              <w:rPr>
                <w:rFonts w:asciiTheme="minorHAnsi" w:hAnsiTheme="minorHAnsi"/>
                <w:sz w:val="24"/>
                <w:szCs w:val="24"/>
                <w:lang w:eastAsia="en-US"/>
              </w:rPr>
            </w:pPr>
            <w:r w:rsidRPr="006D76EE">
              <w:rPr>
                <w:rFonts w:asciiTheme="minorHAnsi" w:hAnsiTheme="minorHAnsi"/>
                <w:sz w:val="24"/>
                <w:szCs w:val="24"/>
                <w:lang w:eastAsia="en-US"/>
              </w:rPr>
              <w:lastRenderedPageBreak/>
              <w:t xml:space="preserve">Interview info: confirm the purpose of the interview and that it is a follow up from attendance at MRI centre. State the expected duration of the call. The interviewer will remind the parent/carer that the call is being recorded for later transcription but that we will preserve confidentiality of individuals in the transcript and subsequent analysis. </w:t>
            </w:r>
          </w:p>
          <w:p w14:paraId="298A5F70" w14:textId="2D412D08" w:rsidR="006D76EE" w:rsidRPr="006D76EE" w:rsidRDefault="006D76EE" w:rsidP="006D76EE">
            <w:pPr>
              <w:numPr>
                <w:ilvl w:val="0"/>
                <w:numId w:val="5"/>
              </w:numPr>
              <w:spacing w:before="0" w:beforeAutospacing="0" w:after="200" w:line="360" w:lineRule="auto"/>
              <w:contextualSpacing/>
              <w:rPr>
                <w:rFonts w:asciiTheme="minorHAnsi" w:hAnsiTheme="minorHAnsi"/>
                <w:sz w:val="24"/>
                <w:szCs w:val="24"/>
                <w:u w:val="single"/>
                <w:lang w:eastAsia="en-US"/>
              </w:rPr>
            </w:pPr>
            <w:r w:rsidRPr="006D76EE">
              <w:rPr>
                <w:rFonts w:asciiTheme="minorHAnsi" w:hAnsiTheme="minorHAnsi"/>
                <w:sz w:val="24"/>
                <w:szCs w:val="24"/>
                <w:lang w:eastAsia="en-US"/>
              </w:rPr>
              <w:t xml:space="preserve">Confirm no implications for </w:t>
            </w:r>
            <w:r w:rsidR="00CA0760">
              <w:rPr>
                <w:rFonts w:asciiTheme="minorHAnsi" w:hAnsiTheme="minorHAnsi"/>
                <w:sz w:val="24"/>
                <w:szCs w:val="24"/>
                <w:lang w:eastAsia="en-US"/>
              </w:rPr>
              <w:t xml:space="preserve">the </w:t>
            </w:r>
            <w:r w:rsidRPr="006D76EE">
              <w:rPr>
                <w:rFonts w:asciiTheme="minorHAnsi" w:hAnsiTheme="minorHAnsi"/>
                <w:sz w:val="24"/>
                <w:szCs w:val="24"/>
                <w:lang w:eastAsia="en-US"/>
              </w:rPr>
              <w:t>NHS care received by themselves or their family if they don’t want to take part.</w:t>
            </w:r>
          </w:p>
          <w:p w14:paraId="3C7C0C0D" w14:textId="79111DD2" w:rsidR="006D76EE" w:rsidRPr="006D76EE" w:rsidRDefault="006D76EE" w:rsidP="006D76EE">
            <w:pPr>
              <w:numPr>
                <w:ilvl w:val="0"/>
                <w:numId w:val="5"/>
              </w:numPr>
              <w:spacing w:before="0" w:beforeAutospacing="0" w:after="200" w:line="360" w:lineRule="auto"/>
              <w:contextualSpacing/>
              <w:rPr>
                <w:rFonts w:asciiTheme="minorHAnsi" w:hAnsiTheme="minorHAnsi"/>
                <w:sz w:val="24"/>
                <w:szCs w:val="24"/>
                <w:lang w:eastAsia="en-US"/>
              </w:rPr>
            </w:pPr>
            <w:r w:rsidRPr="006D76EE">
              <w:rPr>
                <w:rFonts w:asciiTheme="minorHAnsi" w:hAnsiTheme="minorHAnsi"/>
                <w:sz w:val="24"/>
                <w:szCs w:val="24"/>
                <w:lang w:eastAsia="en-US"/>
              </w:rPr>
              <w:t xml:space="preserve">Enquire if any questions or concerns and respond </w:t>
            </w:r>
            <w:r w:rsidR="00CA0760">
              <w:rPr>
                <w:rFonts w:asciiTheme="minorHAnsi" w:hAnsiTheme="minorHAnsi"/>
                <w:sz w:val="24"/>
                <w:szCs w:val="24"/>
                <w:lang w:eastAsia="en-US"/>
              </w:rPr>
              <w:t xml:space="preserve">to these </w:t>
            </w:r>
            <w:r w:rsidRPr="006D76EE">
              <w:rPr>
                <w:rFonts w:asciiTheme="minorHAnsi" w:hAnsiTheme="minorHAnsi"/>
                <w:sz w:val="24"/>
                <w:szCs w:val="24"/>
                <w:lang w:eastAsia="en-US"/>
              </w:rPr>
              <w:t xml:space="preserve">appropriately. </w:t>
            </w:r>
          </w:p>
          <w:p w14:paraId="7DE729AF" w14:textId="77777777" w:rsidR="006D76EE" w:rsidRPr="006D76EE" w:rsidRDefault="006D76EE" w:rsidP="006D76EE">
            <w:pPr>
              <w:numPr>
                <w:ilvl w:val="0"/>
                <w:numId w:val="5"/>
              </w:numPr>
              <w:spacing w:before="0" w:beforeAutospacing="0" w:after="200" w:line="360" w:lineRule="auto"/>
              <w:contextualSpacing/>
              <w:rPr>
                <w:rFonts w:asciiTheme="minorHAnsi" w:hAnsiTheme="minorHAnsi" w:cs="Arial"/>
                <w:lang w:eastAsia="en-US"/>
              </w:rPr>
            </w:pPr>
            <w:r w:rsidRPr="006D76EE">
              <w:rPr>
                <w:rFonts w:asciiTheme="minorHAnsi" w:hAnsiTheme="minorHAnsi"/>
                <w:sz w:val="24"/>
                <w:szCs w:val="24"/>
                <w:lang w:eastAsia="en-US"/>
              </w:rPr>
              <w:t>Check if still willing to go ahead (written consent will have previously been obtained).</w:t>
            </w:r>
            <w:r w:rsidRPr="006D76EE">
              <w:rPr>
                <w:rFonts w:asciiTheme="minorHAnsi" w:hAnsiTheme="minorHAnsi" w:cs="Arial"/>
                <w:u w:val="single"/>
                <w:lang w:eastAsia="en-US"/>
              </w:rPr>
              <w:t xml:space="preserve"> </w:t>
            </w:r>
          </w:p>
        </w:tc>
      </w:tr>
    </w:tbl>
    <w:p w14:paraId="62D5EA5F" w14:textId="77777777" w:rsidR="006D76EE" w:rsidRPr="006D76EE" w:rsidRDefault="006D76EE" w:rsidP="006D76EE">
      <w:pPr>
        <w:spacing w:before="0" w:beforeAutospacing="0" w:line="360" w:lineRule="auto"/>
        <w:rPr>
          <w:rFonts w:asciiTheme="minorHAnsi" w:eastAsia="Calibri" w:hAnsiTheme="minorHAnsi" w:cs="Arial"/>
          <w:lang w:eastAsia="en-US" w:bidi="en-US"/>
        </w:rPr>
      </w:pPr>
    </w:p>
    <w:p w14:paraId="438D1953" w14:textId="77777777" w:rsidR="006D76EE" w:rsidRPr="006D76EE" w:rsidRDefault="006D76EE" w:rsidP="006D76EE">
      <w:pPr>
        <w:spacing w:before="0" w:beforeAutospacing="0" w:line="360" w:lineRule="auto"/>
        <w:rPr>
          <w:rFonts w:asciiTheme="minorHAnsi" w:eastAsia="Calibri" w:hAnsiTheme="minorHAnsi" w:cs="Arial"/>
          <w:lang w:eastAsia="en-US" w:bidi="en-US"/>
        </w:rPr>
      </w:pPr>
    </w:p>
    <w:tbl>
      <w:tblPr>
        <w:tblStyle w:val="TableGrid1"/>
        <w:tblW w:w="0" w:type="auto"/>
        <w:tblLook w:val="04A0" w:firstRow="1" w:lastRow="0" w:firstColumn="1" w:lastColumn="0" w:noHBand="0" w:noVBand="1"/>
      </w:tblPr>
      <w:tblGrid>
        <w:gridCol w:w="9236"/>
      </w:tblGrid>
      <w:tr w:rsidR="006D76EE" w:rsidRPr="006D76EE" w14:paraId="632533B2" w14:textId="77777777" w:rsidTr="00572F91">
        <w:tc>
          <w:tcPr>
            <w:tcW w:w="9236" w:type="dxa"/>
            <w:tcBorders>
              <w:top w:val="single" w:sz="4" w:space="0" w:color="auto"/>
              <w:left w:val="single" w:sz="4" w:space="0" w:color="auto"/>
              <w:bottom w:val="single" w:sz="4" w:space="0" w:color="auto"/>
              <w:right w:val="single" w:sz="4" w:space="0" w:color="auto"/>
            </w:tcBorders>
          </w:tcPr>
          <w:p w14:paraId="171164B0" w14:textId="77777777" w:rsidR="006D76EE" w:rsidRPr="006D76EE" w:rsidRDefault="006D76EE" w:rsidP="00572F91">
            <w:pPr>
              <w:spacing w:before="0" w:beforeAutospacing="0" w:line="360" w:lineRule="auto"/>
              <w:rPr>
                <w:rFonts w:asciiTheme="minorHAnsi" w:eastAsia="Cambria" w:hAnsiTheme="minorHAnsi"/>
                <w:b/>
                <w:sz w:val="24"/>
                <w:szCs w:val="24"/>
                <w:lang w:eastAsia="en-US" w:bidi="en-US"/>
              </w:rPr>
            </w:pPr>
            <w:r w:rsidRPr="006D76EE">
              <w:rPr>
                <w:rFonts w:asciiTheme="minorHAnsi" w:eastAsia="Cambria" w:hAnsiTheme="minorHAnsi"/>
                <w:b/>
                <w:sz w:val="24"/>
                <w:szCs w:val="24"/>
                <w:lang w:eastAsia="en-US" w:bidi="en-US"/>
              </w:rPr>
              <w:t>Feedback on the experience of the family at the MRI research unit</w:t>
            </w:r>
          </w:p>
          <w:p w14:paraId="11507E1F" w14:textId="5FF96E32" w:rsidR="006D76EE" w:rsidRPr="006D76EE" w:rsidRDefault="006D76EE" w:rsidP="006D76EE">
            <w:pPr>
              <w:pStyle w:val="ListParagraph"/>
              <w:numPr>
                <w:ilvl w:val="0"/>
                <w:numId w:val="6"/>
              </w:numPr>
              <w:spacing w:line="360" w:lineRule="auto"/>
              <w:rPr>
                <w:rFonts w:cs="Times New Roman"/>
              </w:rPr>
            </w:pPr>
            <w:r w:rsidRPr="006D76EE">
              <w:rPr>
                <w:rFonts w:cs="Times New Roman"/>
              </w:rPr>
              <w:t>So to start can you please describe your experience at the MRI centre. (Prompt: What happened on the day?)</w:t>
            </w:r>
          </w:p>
          <w:p w14:paraId="580317FE"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How was it? (Prompt: What went well? What didn’t go so well?)</w:t>
            </w:r>
          </w:p>
          <w:p w14:paraId="09BC55FA"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Was the environment suitable? Would you say it was child friendly? (Prompt: Why)</w:t>
            </w:r>
          </w:p>
          <w:p w14:paraId="193AFE1D" w14:textId="2D8B333A"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Were you able to get </w:t>
            </w:r>
            <w:r w:rsidR="00C015BD">
              <w:rPr>
                <w:rFonts w:cs="Times New Roman"/>
              </w:rPr>
              <w:t>there</w:t>
            </w:r>
            <w:r w:rsidRPr="006D76EE">
              <w:rPr>
                <w:rFonts w:cs="Times New Roman"/>
              </w:rPr>
              <w:t xml:space="preserve"> </w:t>
            </w:r>
            <w:r w:rsidR="00C015BD">
              <w:rPr>
                <w:rFonts w:cs="Times New Roman"/>
              </w:rPr>
              <w:t>OK</w:t>
            </w:r>
            <w:r w:rsidRPr="006D76EE">
              <w:rPr>
                <w:rFonts w:cs="Times New Roman"/>
              </w:rPr>
              <w:t xml:space="preserve">? And parked? </w:t>
            </w:r>
          </w:p>
          <w:p w14:paraId="07334B0C"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Did you have enough information to know where you were going and what you needed to do? </w:t>
            </w:r>
          </w:p>
          <w:p w14:paraId="55D2BACA" w14:textId="5038F284"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Were you shown the scanner beforehand? Was this beneficial? (Prompt: How </w:t>
            </w:r>
            <w:r w:rsidR="00777B69">
              <w:rPr>
                <w:rFonts w:cs="Times New Roman"/>
              </w:rPr>
              <w:t>was</w:t>
            </w:r>
            <w:r w:rsidRPr="006D76EE">
              <w:rPr>
                <w:rFonts w:cs="Times New Roman"/>
              </w:rPr>
              <w:t xml:space="preserve"> it </w:t>
            </w:r>
            <w:r w:rsidR="00777B69">
              <w:rPr>
                <w:rFonts w:cs="Times New Roman"/>
              </w:rPr>
              <w:t xml:space="preserve">of </w:t>
            </w:r>
            <w:r w:rsidRPr="006D76EE">
              <w:rPr>
                <w:rFonts w:cs="Times New Roman"/>
              </w:rPr>
              <w:t>benefit</w:t>
            </w:r>
            <w:r w:rsidR="00777B69">
              <w:rPr>
                <w:rFonts w:cs="Times New Roman"/>
              </w:rPr>
              <w:t>?</w:t>
            </w:r>
            <w:r w:rsidRPr="006D76EE">
              <w:rPr>
                <w:rFonts w:cs="Times New Roman"/>
              </w:rPr>
              <w:t>)</w:t>
            </w:r>
          </w:p>
          <w:p w14:paraId="1054B067"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Were you provided with any information beforehand? Was this useful? </w:t>
            </w:r>
          </w:p>
          <w:p w14:paraId="1C000ACE" w14:textId="72AAB50D" w:rsidR="006D76EE" w:rsidRPr="006D76EE" w:rsidRDefault="006D76EE" w:rsidP="006D76EE">
            <w:pPr>
              <w:pStyle w:val="ListParagraph"/>
              <w:numPr>
                <w:ilvl w:val="0"/>
                <w:numId w:val="6"/>
              </w:numPr>
              <w:spacing w:line="360" w:lineRule="auto"/>
              <w:rPr>
                <w:rFonts w:cs="Times New Roman"/>
              </w:rPr>
            </w:pPr>
            <w:r w:rsidRPr="006D76EE">
              <w:rPr>
                <w:rFonts w:cs="Times New Roman"/>
              </w:rPr>
              <w:t>What do you think</w:t>
            </w:r>
            <w:r w:rsidR="00777B69">
              <w:rPr>
                <w:rFonts w:cs="Times New Roman"/>
              </w:rPr>
              <w:t xml:space="preserve"> are</w:t>
            </w:r>
            <w:r w:rsidRPr="006D76EE">
              <w:rPr>
                <w:rFonts w:cs="Times New Roman"/>
              </w:rPr>
              <w:t xml:space="preserve"> the key things families need to know before attending the MRI appointment? </w:t>
            </w:r>
          </w:p>
          <w:p w14:paraId="48AB3AD5"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Was there any further information you wish you had been told before or during your appointment? </w:t>
            </w:r>
          </w:p>
          <w:p w14:paraId="6BFCC77B"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Were you able to look at the images after? How did you find this? Was it useful? (Prompt: Why)</w:t>
            </w:r>
          </w:p>
          <w:p w14:paraId="5B7DAC2C" w14:textId="2E824262"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In terms of the clinical team </w:t>
            </w:r>
            <w:r w:rsidR="00C015BD">
              <w:rPr>
                <w:rFonts w:cs="Times New Roman"/>
              </w:rPr>
              <w:t>were</w:t>
            </w:r>
            <w:r w:rsidRPr="006D76EE">
              <w:rPr>
                <w:rFonts w:cs="Times New Roman"/>
              </w:rPr>
              <w:t xml:space="preserve"> the</w:t>
            </w:r>
            <w:r w:rsidR="005B6730">
              <w:rPr>
                <w:rFonts w:cs="Times New Roman"/>
              </w:rPr>
              <w:t>re people you’d met before</w:t>
            </w:r>
            <w:r w:rsidRPr="006D76EE">
              <w:rPr>
                <w:rFonts w:cs="Times New Roman"/>
              </w:rPr>
              <w:t xml:space="preserve">? Did that help? </w:t>
            </w:r>
          </w:p>
          <w:p w14:paraId="7F4302CD" w14:textId="617451A0" w:rsidR="006D76EE" w:rsidRPr="008E5820" w:rsidRDefault="006D76EE" w:rsidP="006D76EE">
            <w:pPr>
              <w:pStyle w:val="ListParagraph"/>
              <w:numPr>
                <w:ilvl w:val="0"/>
                <w:numId w:val="6"/>
              </w:numPr>
              <w:spacing w:line="360" w:lineRule="auto"/>
              <w:rPr>
                <w:rFonts w:cs="Times New Roman"/>
              </w:rPr>
            </w:pPr>
            <w:r w:rsidRPr="005B6730">
              <w:rPr>
                <w:rFonts w:eastAsia="Times New Roman" w:cs="Times New Roman"/>
              </w:rPr>
              <w:t xml:space="preserve">Do you think seeing the clinical team during the MRI scan improved the experience </w:t>
            </w:r>
            <w:r w:rsidRPr="005B6730">
              <w:rPr>
                <w:rFonts w:eastAsia="Times New Roman" w:cs="Times New Roman"/>
              </w:rPr>
              <w:lastRenderedPageBreak/>
              <w:t xml:space="preserve">for [child] (Prompt: Why? / How? What did they do that was beneficial for you?). </w:t>
            </w:r>
          </w:p>
          <w:p w14:paraId="48CF651D" w14:textId="77777777" w:rsidR="006D76EE" w:rsidRPr="008E5820" w:rsidRDefault="006D76EE" w:rsidP="006D76EE">
            <w:pPr>
              <w:pStyle w:val="ListParagraph"/>
              <w:numPr>
                <w:ilvl w:val="0"/>
                <w:numId w:val="6"/>
              </w:numPr>
              <w:spacing w:line="360" w:lineRule="auto"/>
              <w:rPr>
                <w:rFonts w:cs="Times New Roman"/>
              </w:rPr>
            </w:pPr>
            <w:r w:rsidRPr="0081137D">
              <w:rPr>
                <w:rFonts w:eastAsia="Times New Roman" w:cs="Times New Roman"/>
              </w:rPr>
              <w:t>Do you think having someone focused on [child] during the MRI made a difference to how well they tolerated the scan (Prompt: Why?).</w:t>
            </w:r>
          </w:p>
          <w:p w14:paraId="5766E014" w14:textId="77777777" w:rsidR="006D76EE" w:rsidRPr="005B6730" w:rsidRDefault="006D76EE" w:rsidP="006D76EE">
            <w:pPr>
              <w:pStyle w:val="ListParagraph"/>
              <w:numPr>
                <w:ilvl w:val="0"/>
                <w:numId w:val="6"/>
              </w:numPr>
              <w:spacing w:line="360" w:lineRule="auto"/>
              <w:rPr>
                <w:rFonts w:cs="Times New Roman"/>
              </w:rPr>
            </w:pPr>
            <w:r w:rsidRPr="008E5820">
              <w:rPr>
                <w:rFonts w:cs="Times New Roman"/>
              </w:rPr>
              <w:t>Did you have any concerns before attending the scan? (Prom</w:t>
            </w:r>
            <w:r w:rsidRPr="005B6730">
              <w:rPr>
                <w:rFonts w:cs="Times New Roman"/>
              </w:rPr>
              <w:t>pt: Explore these).</w:t>
            </w:r>
          </w:p>
          <w:p w14:paraId="20AF313D" w14:textId="07693F77" w:rsidR="006D76EE" w:rsidRPr="005B6730" w:rsidRDefault="006D76EE" w:rsidP="006D76EE">
            <w:pPr>
              <w:pStyle w:val="ListParagraph"/>
              <w:numPr>
                <w:ilvl w:val="0"/>
                <w:numId w:val="6"/>
              </w:numPr>
              <w:spacing w:line="360" w:lineRule="auto"/>
              <w:rPr>
                <w:rFonts w:cs="Times New Roman"/>
              </w:rPr>
            </w:pPr>
            <w:r w:rsidRPr="005B6730">
              <w:rPr>
                <w:rFonts w:cs="Times New Roman"/>
              </w:rPr>
              <w:t>What about [child]</w:t>
            </w:r>
            <w:r w:rsidR="00C015BD" w:rsidRPr="005B6730">
              <w:rPr>
                <w:rFonts w:cs="Times New Roman"/>
              </w:rPr>
              <w:t>:</w:t>
            </w:r>
            <w:r w:rsidRPr="005B6730">
              <w:rPr>
                <w:rFonts w:cs="Times New Roman"/>
              </w:rPr>
              <w:t xml:space="preserve"> did they express any concerns or worries to you? </w:t>
            </w:r>
          </w:p>
          <w:p w14:paraId="7C00C00E" w14:textId="77777777" w:rsidR="006D76EE" w:rsidRPr="006D76EE" w:rsidRDefault="006D76EE" w:rsidP="006D76EE">
            <w:pPr>
              <w:pStyle w:val="ListParagraph"/>
              <w:numPr>
                <w:ilvl w:val="0"/>
                <w:numId w:val="6"/>
              </w:numPr>
              <w:spacing w:line="360" w:lineRule="auto"/>
              <w:rPr>
                <w:rFonts w:cs="Times New Roman"/>
              </w:rPr>
            </w:pPr>
            <w:r w:rsidRPr="005B6730">
              <w:rPr>
                <w:rFonts w:cs="Times New Roman"/>
              </w:rPr>
              <w:t>Did you have en</w:t>
            </w:r>
            <w:r w:rsidRPr="006D76EE">
              <w:rPr>
                <w:rFonts w:cs="Times New Roman"/>
              </w:rPr>
              <w:t xml:space="preserve">ough information or support to help with these worries or could we have done anything more?  (Prompt: Explore further information needed). </w:t>
            </w:r>
          </w:p>
          <w:p w14:paraId="43D4E38E" w14:textId="6BB46BDB" w:rsidR="006D76EE" w:rsidRPr="006D76EE" w:rsidRDefault="006D76EE" w:rsidP="006D76EE">
            <w:pPr>
              <w:pStyle w:val="ListParagraph"/>
              <w:numPr>
                <w:ilvl w:val="0"/>
                <w:numId w:val="6"/>
              </w:numPr>
              <w:spacing w:line="360" w:lineRule="auto"/>
              <w:rPr>
                <w:rFonts w:cs="Times New Roman"/>
              </w:rPr>
            </w:pPr>
            <w:r w:rsidRPr="006D76EE">
              <w:rPr>
                <w:rFonts w:cs="Times New Roman"/>
              </w:rPr>
              <w:t>If we can just focus on [child] now</w:t>
            </w:r>
            <w:r w:rsidR="00C015BD">
              <w:rPr>
                <w:rFonts w:cs="Times New Roman"/>
              </w:rPr>
              <w:t>:</w:t>
            </w:r>
            <w:r w:rsidRPr="006D76EE">
              <w:rPr>
                <w:rFonts w:cs="Times New Roman"/>
              </w:rPr>
              <w:t xml:space="preserve"> how did they cope with the experience? (Prompt: Were they looked after well?). </w:t>
            </w:r>
          </w:p>
          <w:p w14:paraId="592A8BD6"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What did they like best, and least? Did having music played whilst in the scanner help? Was it important that it was their own music?</w:t>
            </w:r>
          </w:p>
          <w:p w14:paraId="504374FF"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Is there anything that could be done to improve their experience? </w:t>
            </w:r>
          </w:p>
          <w:p w14:paraId="46EC35D3" w14:textId="466C5831"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When the cannula was inserted for the contrast </w:t>
            </w:r>
            <w:r w:rsidR="00777B69">
              <w:rPr>
                <w:rFonts w:cs="Times New Roman"/>
              </w:rPr>
              <w:t>before the</w:t>
            </w:r>
            <w:r w:rsidRPr="006D76EE">
              <w:rPr>
                <w:rFonts w:cs="Times New Roman"/>
              </w:rPr>
              <w:t xml:space="preserve"> MRI scan, routine blood tests can be taken at the same time so [child] does not have to come back for another needle. What do you think about this</w:t>
            </w:r>
            <w:r w:rsidR="00777B69">
              <w:rPr>
                <w:rFonts w:cs="Times New Roman"/>
              </w:rPr>
              <w:t>?</w:t>
            </w:r>
            <w:r w:rsidRPr="006D76EE">
              <w:rPr>
                <w:rFonts w:cs="Times New Roman"/>
              </w:rPr>
              <w:t xml:space="preserve"> (Prompt: Is this useful?)</w:t>
            </w:r>
          </w:p>
          <w:p w14:paraId="6ED9BBA9" w14:textId="77777777"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 xml:space="preserve">Has anyone in your family had a NHS scan previously – how did this scan compare? (Prompt: What was better/worse?). </w:t>
            </w:r>
          </w:p>
          <w:p w14:paraId="320144B2" w14:textId="77777777"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 xml:space="preserve">Would you tell your friends and family that the MRI centre looked after you and your child well? (Prompt Why?).  </w:t>
            </w:r>
          </w:p>
          <w:p w14:paraId="75B535B4" w14:textId="77777777"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Has your child offered any feedback on the scan? (Prompt: What was positive and what was negative?)</w:t>
            </w:r>
          </w:p>
          <w:p w14:paraId="43DA40D0" w14:textId="45802D50"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 xml:space="preserve">If we were to use your experience to help tell us how we need to do things in the future – what do you think </w:t>
            </w:r>
            <w:r w:rsidR="00777B69">
              <w:rPr>
                <w:rFonts w:cs="Times New Roman"/>
              </w:rPr>
              <w:t xml:space="preserve">are </w:t>
            </w:r>
            <w:r w:rsidRPr="006D76EE">
              <w:rPr>
                <w:rFonts w:cs="Times New Roman"/>
              </w:rPr>
              <w:t>the key things we need to think about?</w:t>
            </w:r>
          </w:p>
          <w:p w14:paraId="26F5404F" w14:textId="77777777"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 xml:space="preserve">What is it important for us to ensure we do? </w:t>
            </w:r>
          </w:p>
          <w:p w14:paraId="29B0DAE3" w14:textId="77777777" w:rsidR="006D76EE" w:rsidRPr="006D76EE" w:rsidRDefault="006D76EE" w:rsidP="006D76EE">
            <w:pPr>
              <w:pStyle w:val="ListParagraph"/>
              <w:widowControl w:val="0"/>
              <w:numPr>
                <w:ilvl w:val="0"/>
                <w:numId w:val="6"/>
              </w:numPr>
              <w:autoSpaceDE w:val="0"/>
              <w:autoSpaceDN w:val="0"/>
              <w:adjustRightInd w:val="0"/>
              <w:spacing w:line="360" w:lineRule="auto"/>
              <w:rPr>
                <w:rFonts w:cs="Times New Roman"/>
              </w:rPr>
            </w:pPr>
            <w:r w:rsidRPr="006D76EE">
              <w:rPr>
                <w:rFonts w:cs="Times New Roman"/>
              </w:rPr>
              <w:t xml:space="preserve">What is it important we tell people and when would you like this information? </w:t>
            </w:r>
          </w:p>
          <w:p w14:paraId="00C9F52F" w14:textId="77777777" w:rsidR="006D76EE" w:rsidRPr="006D76EE" w:rsidRDefault="006D76EE" w:rsidP="006D76EE">
            <w:pPr>
              <w:pStyle w:val="ListParagraph"/>
              <w:numPr>
                <w:ilvl w:val="0"/>
                <w:numId w:val="6"/>
              </w:numPr>
              <w:spacing w:line="360" w:lineRule="auto"/>
              <w:rPr>
                <w:rFonts w:cs="Times New Roman"/>
              </w:rPr>
            </w:pPr>
            <w:r w:rsidRPr="006D76EE">
              <w:rPr>
                <w:rFonts w:cs="Times New Roman"/>
              </w:rPr>
              <w:t xml:space="preserve">Is there anything else you can think of that would have made your experience better or easier? </w:t>
            </w:r>
          </w:p>
          <w:p w14:paraId="5ECFC0D2" w14:textId="77777777" w:rsidR="006D76EE" w:rsidRPr="006D76EE" w:rsidRDefault="006D76EE" w:rsidP="006D76EE">
            <w:pPr>
              <w:numPr>
                <w:ilvl w:val="0"/>
                <w:numId w:val="6"/>
              </w:numPr>
              <w:spacing w:before="0" w:beforeAutospacing="0" w:after="200" w:line="360" w:lineRule="auto"/>
              <w:contextualSpacing/>
              <w:rPr>
                <w:rFonts w:asciiTheme="minorHAnsi" w:hAnsiTheme="minorHAnsi" w:cs="Arial"/>
                <w:lang w:eastAsia="en-US"/>
              </w:rPr>
            </w:pPr>
            <w:r w:rsidRPr="006D76EE">
              <w:rPr>
                <w:rFonts w:asciiTheme="minorHAnsi" w:hAnsiTheme="minorHAnsi"/>
                <w:sz w:val="24"/>
                <w:szCs w:val="24"/>
              </w:rPr>
              <w:t>Any other comments?</w:t>
            </w:r>
          </w:p>
        </w:tc>
      </w:tr>
    </w:tbl>
    <w:p w14:paraId="253D1F30" w14:textId="77777777" w:rsidR="006D76EE" w:rsidRPr="006D76EE" w:rsidRDefault="006D76EE" w:rsidP="006D76EE">
      <w:pPr>
        <w:spacing w:before="0" w:beforeAutospacing="0" w:line="360" w:lineRule="auto"/>
        <w:rPr>
          <w:rFonts w:asciiTheme="minorHAnsi" w:hAnsiTheme="minorHAnsi"/>
          <w:sz w:val="24"/>
          <w:szCs w:val="24"/>
        </w:rPr>
      </w:pPr>
    </w:p>
    <w:p w14:paraId="07FFD617" w14:textId="77777777" w:rsidR="00777B69" w:rsidRDefault="00777B69">
      <w:pPr>
        <w:spacing w:before="0" w:beforeAutospacing="0" w:after="160" w:line="259" w:lineRule="auto"/>
        <w:rPr>
          <w:rFonts w:asciiTheme="minorHAnsi" w:hAnsiTheme="minorHAnsi"/>
          <w:i/>
          <w:sz w:val="24"/>
          <w:szCs w:val="24"/>
        </w:rPr>
      </w:pPr>
      <w:r>
        <w:rPr>
          <w:rFonts w:asciiTheme="minorHAnsi" w:hAnsiTheme="minorHAnsi"/>
          <w:i/>
          <w:sz w:val="24"/>
          <w:szCs w:val="24"/>
        </w:rPr>
        <w:br w:type="page"/>
      </w:r>
    </w:p>
    <w:p w14:paraId="66E5025A" w14:textId="59936E6B" w:rsidR="006D76EE" w:rsidRPr="006D76EE" w:rsidRDefault="006D76EE" w:rsidP="006D76EE">
      <w:pPr>
        <w:spacing w:before="0" w:beforeAutospacing="0"/>
        <w:rPr>
          <w:rFonts w:asciiTheme="minorHAnsi" w:hAnsiTheme="minorHAnsi"/>
          <w:sz w:val="24"/>
          <w:szCs w:val="24"/>
        </w:rPr>
      </w:pPr>
      <w:r w:rsidRPr="006D76EE">
        <w:rPr>
          <w:rFonts w:asciiTheme="minorHAnsi" w:hAnsiTheme="minorHAnsi"/>
          <w:i/>
          <w:sz w:val="24"/>
          <w:szCs w:val="24"/>
        </w:rPr>
        <w:lastRenderedPageBreak/>
        <w:t>Qualitative Research Methods for the Questionnaire and Telephone Interviews</w:t>
      </w:r>
    </w:p>
    <w:p w14:paraId="7A9836F8" w14:textId="615723E9" w:rsidR="006D76EE" w:rsidRPr="006D76EE" w:rsidRDefault="006D76EE" w:rsidP="006D76EE">
      <w:pPr>
        <w:spacing w:line="360" w:lineRule="auto"/>
        <w:jc w:val="both"/>
        <w:rPr>
          <w:rFonts w:asciiTheme="minorHAnsi" w:hAnsiTheme="minorHAnsi"/>
          <w:b/>
          <w:sz w:val="24"/>
          <w:szCs w:val="24"/>
        </w:rPr>
      </w:pPr>
      <w:r w:rsidRPr="006D76EE">
        <w:rPr>
          <w:rFonts w:asciiTheme="minorHAnsi" w:hAnsiTheme="minorHAnsi"/>
          <w:sz w:val="24"/>
          <w:szCs w:val="24"/>
        </w:rPr>
        <w:t>The telephone interviews were audio-recorded with the participant’s consent, transcribed (and edited to ensure anonymity of respondent), and transcripts formed the data subjected to formal analysis. The questionnaire data was analysed using descriptive statistics and free-text comments using qualitative techniques. All analysis of the qualitative data was conducted according to the standard procedures of rigorous qualitative analysis using procedures from first-generation grounded theory (coding, constant comparison, memoing), from analytic induction (deviant case analysis) and constructionist grounded theory (mapping). Data collection and analysis occurred concurrently, so that issues raised in earlier rounds of data collection could be explored in subsequent ones.</w:t>
      </w:r>
    </w:p>
    <w:p w14:paraId="3C81C719" w14:textId="77777777" w:rsidR="006D76EE" w:rsidRPr="006D76EE" w:rsidRDefault="006D76EE" w:rsidP="006D76EE">
      <w:pPr>
        <w:spacing w:before="0" w:beforeAutospacing="0"/>
        <w:rPr>
          <w:rFonts w:asciiTheme="minorHAnsi" w:hAnsiTheme="minorHAnsi"/>
          <w:b/>
          <w:sz w:val="24"/>
          <w:szCs w:val="24"/>
        </w:rPr>
      </w:pPr>
      <w:r w:rsidRPr="006D76EE">
        <w:rPr>
          <w:rFonts w:asciiTheme="minorHAnsi" w:hAnsiTheme="minorHAnsi"/>
          <w:b/>
          <w:sz w:val="24"/>
          <w:szCs w:val="24"/>
        </w:rPr>
        <w:br w:type="page"/>
      </w:r>
    </w:p>
    <w:p w14:paraId="59BFDF6D" w14:textId="1F99BFEE" w:rsidR="006D76EE" w:rsidRPr="006D76EE" w:rsidRDefault="009A6B1E" w:rsidP="006D76EE">
      <w:pPr>
        <w:rPr>
          <w:rFonts w:asciiTheme="minorHAnsi" w:hAnsiTheme="minorHAnsi"/>
          <w:b/>
          <w:sz w:val="24"/>
          <w:szCs w:val="24"/>
        </w:rPr>
      </w:pPr>
      <w:r>
        <w:rPr>
          <w:rFonts w:asciiTheme="minorHAnsi" w:hAnsiTheme="minorHAnsi"/>
          <w:b/>
          <w:sz w:val="24"/>
          <w:szCs w:val="24"/>
        </w:rPr>
        <w:lastRenderedPageBreak/>
        <w:t>SUPPLEMENTARY</w:t>
      </w:r>
      <w:r w:rsidR="006D76EE" w:rsidRPr="006D76EE">
        <w:rPr>
          <w:rFonts w:asciiTheme="minorHAnsi" w:hAnsiTheme="minorHAnsi"/>
          <w:b/>
          <w:sz w:val="24"/>
          <w:szCs w:val="24"/>
        </w:rPr>
        <w:t xml:space="preserve"> RESULTS</w:t>
      </w:r>
    </w:p>
    <w:p w14:paraId="2EA4F422" w14:textId="77777777" w:rsidR="003468D3" w:rsidRDefault="003468D3" w:rsidP="006D76EE">
      <w:pPr>
        <w:rPr>
          <w:rFonts w:asciiTheme="minorHAnsi" w:hAnsiTheme="minorHAnsi"/>
          <w:i/>
          <w:sz w:val="24"/>
          <w:szCs w:val="24"/>
        </w:rPr>
      </w:pPr>
    </w:p>
    <w:p w14:paraId="70B124E7" w14:textId="77777777" w:rsidR="003468D3" w:rsidRPr="006D76EE" w:rsidRDefault="003468D3" w:rsidP="003468D3">
      <w:pPr>
        <w:spacing w:line="360" w:lineRule="auto"/>
        <w:jc w:val="both"/>
        <w:outlineLvl w:val="0"/>
        <w:rPr>
          <w:rFonts w:asciiTheme="minorHAnsi" w:hAnsiTheme="minorHAnsi"/>
          <w:i/>
          <w:sz w:val="24"/>
          <w:szCs w:val="24"/>
        </w:rPr>
      </w:pPr>
      <w:r w:rsidRPr="006D76EE">
        <w:rPr>
          <w:rFonts w:asciiTheme="minorHAnsi" w:hAnsiTheme="minorHAnsi"/>
          <w:i/>
          <w:sz w:val="24"/>
          <w:szCs w:val="24"/>
        </w:rPr>
        <w:t>Time occupation of the scanner suite, and study subject time</w:t>
      </w:r>
    </w:p>
    <w:p w14:paraId="56E19379" w14:textId="47123008" w:rsidR="003468D3" w:rsidRPr="006D76EE" w:rsidRDefault="003468D3" w:rsidP="003468D3">
      <w:pPr>
        <w:spacing w:line="360" w:lineRule="auto"/>
        <w:jc w:val="both"/>
        <w:outlineLvl w:val="0"/>
        <w:rPr>
          <w:rFonts w:asciiTheme="minorHAnsi" w:hAnsiTheme="minorHAnsi"/>
          <w:sz w:val="24"/>
          <w:szCs w:val="24"/>
        </w:rPr>
      </w:pPr>
      <w:r w:rsidRPr="006D76EE">
        <w:rPr>
          <w:rFonts w:asciiTheme="minorHAnsi" w:hAnsiTheme="minorHAnsi"/>
          <w:sz w:val="24"/>
          <w:szCs w:val="24"/>
        </w:rPr>
        <w:t>The median</w:t>
      </w:r>
      <w:r w:rsidR="00266492">
        <w:rPr>
          <w:rFonts w:asciiTheme="minorHAnsi" w:hAnsiTheme="minorHAnsi"/>
          <w:sz w:val="24"/>
          <w:szCs w:val="24"/>
        </w:rPr>
        <w:t xml:space="preserve"> (IQR)</w:t>
      </w:r>
      <w:r w:rsidRPr="006D76EE">
        <w:rPr>
          <w:rFonts w:asciiTheme="minorHAnsi" w:hAnsiTheme="minorHAnsi"/>
          <w:sz w:val="24"/>
          <w:szCs w:val="24"/>
        </w:rPr>
        <w:t xml:space="preserve"> MRI suite time was 27 minutes (</w:t>
      </w:r>
      <w:r w:rsidR="00266492">
        <w:rPr>
          <w:rFonts w:asciiTheme="minorHAnsi" w:hAnsiTheme="minorHAnsi"/>
          <w:sz w:val="24"/>
          <w:szCs w:val="24"/>
        </w:rPr>
        <w:t>IQR 3.5 minutes</w:t>
      </w:r>
      <w:r w:rsidRPr="006D76EE">
        <w:rPr>
          <w:rFonts w:asciiTheme="minorHAnsi" w:hAnsiTheme="minorHAnsi"/>
          <w:sz w:val="24"/>
          <w:szCs w:val="24"/>
        </w:rPr>
        <w:t xml:space="preserve">). </w:t>
      </w:r>
      <w:r w:rsidR="00266492">
        <w:rPr>
          <w:rFonts w:asciiTheme="minorHAnsi" w:hAnsiTheme="minorHAnsi"/>
          <w:sz w:val="24"/>
          <w:szCs w:val="24"/>
        </w:rPr>
        <w:t>The t</w:t>
      </w:r>
      <w:r w:rsidRPr="006D76EE">
        <w:rPr>
          <w:rFonts w:asciiTheme="minorHAnsi" w:hAnsiTheme="minorHAnsi"/>
          <w:sz w:val="24"/>
          <w:szCs w:val="24"/>
        </w:rPr>
        <w:t xml:space="preserve">wo </w:t>
      </w:r>
      <w:r w:rsidR="00266492">
        <w:rPr>
          <w:rFonts w:asciiTheme="minorHAnsi" w:hAnsiTheme="minorHAnsi"/>
          <w:sz w:val="24"/>
          <w:szCs w:val="24"/>
        </w:rPr>
        <w:t xml:space="preserve">longest </w:t>
      </w:r>
      <w:r w:rsidRPr="006D76EE">
        <w:rPr>
          <w:rFonts w:asciiTheme="minorHAnsi" w:hAnsiTheme="minorHAnsi"/>
          <w:sz w:val="24"/>
          <w:szCs w:val="24"/>
        </w:rPr>
        <w:t>sessions took 40 minutes: the first study performed</w:t>
      </w:r>
      <w:r>
        <w:rPr>
          <w:rFonts w:asciiTheme="minorHAnsi" w:hAnsiTheme="minorHAnsi"/>
          <w:sz w:val="24"/>
          <w:szCs w:val="24"/>
        </w:rPr>
        <w:t xml:space="preserve"> and a second session where two pre-contrast</w:t>
      </w:r>
      <w:r w:rsidRPr="006D76EE">
        <w:rPr>
          <w:rFonts w:asciiTheme="minorHAnsi" w:hAnsiTheme="minorHAnsi"/>
          <w:sz w:val="24"/>
          <w:szCs w:val="24"/>
        </w:rPr>
        <w:t xml:space="preserve"> scans were reacquired due to improve the prescription. The total length of the MR sequences was 17 minutes. The median (IQR) pause in scanning to check the cannula and prepare for injection was 5 (1) minutes and the median non-scanning time excluding injection preparation (radiographer prescription, communicating with patient) was 5.5 (2.5) minutes. The total median time from the families entering the department to leaving was successfully recorded on 13 of the 21 scan sessions and was 82 (11) minutes.</w:t>
      </w:r>
    </w:p>
    <w:p w14:paraId="06D33A26" w14:textId="77777777" w:rsidR="003468D3" w:rsidRDefault="003468D3" w:rsidP="006D76EE">
      <w:pPr>
        <w:rPr>
          <w:rFonts w:asciiTheme="minorHAnsi" w:hAnsiTheme="minorHAnsi"/>
          <w:i/>
          <w:sz w:val="24"/>
          <w:szCs w:val="24"/>
        </w:rPr>
      </w:pPr>
    </w:p>
    <w:p w14:paraId="30EB2E2B" w14:textId="3885F9F7" w:rsidR="006D76EE" w:rsidRPr="006D76EE" w:rsidRDefault="006D76EE" w:rsidP="006D76EE">
      <w:pPr>
        <w:rPr>
          <w:rFonts w:asciiTheme="minorHAnsi" w:hAnsiTheme="minorHAnsi"/>
          <w:i/>
          <w:sz w:val="24"/>
          <w:szCs w:val="24"/>
        </w:rPr>
      </w:pPr>
      <w:r w:rsidRPr="006D76EE">
        <w:rPr>
          <w:rFonts w:asciiTheme="minorHAnsi" w:hAnsiTheme="minorHAnsi"/>
          <w:i/>
          <w:sz w:val="24"/>
          <w:szCs w:val="24"/>
        </w:rPr>
        <w:t>Breakdown of the initial rate of uptake and signal enhancement results</w:t>
      </w:r>
    </w:p>
    <w:p w14:paraId="4956EBBB" w14:textId="7D7651E0" w:rsidR="006D76EE" w:rsidRPr="006D76EE" w:rsidRDefault="006D76EE" w:rsidP="006D76EE">
      <w:pPr>
        <w:spacing w:line="360" w:lineRule="auto"/>
        <w:jc w:val="both"/>
        <w:outlineLvl w:val="0"/>
        <w:rPr>
          <w:rFonts w:asciiTheme="minorHAnsi" w:hAnsiTheme="minorHAnsi"/>
          <w:sz w:val="24"/>
          <w:szCs w:val="24"/>
        </w:rPr>
      </w:pPr>
      <w:r w:rsidRPr="006D76EE">
        <w:rPr>
          <w:rFonts w:asciiTheme="minorHAnsi" w:hAnsiTheme="minorHAnsi"/>
          <w:sz w:val="24"/>
          <w:szCs w:val="24"/>
        </w:rPr>
        <w:t>The initial rate of contrast uptake reduced from 1.7%/s to 0.0%/s post-treatment (p=0.008, Table 2). Group 1 with frank synovitis had median</w:t>
      </w:r>
      <w:r w:rsidR="00664B43">
        <w:rPr>
          <w:rFonts w:asciiTheme="minorHAnsi" w:hAnsiTheme="minorHAnsi"/>
          <w:sz w:val="24"/>
          <w:szCs w:val="24"/>
        </w:rPr>
        <w:t xml:space="preserve"> (IQR)</w:t>
      </w:r>
      <w:r w:rsidRPr="006D76EE">
        <w:rPr>
          <w:rFonts w:asciiTheme="minorHAnsi" w:hAnsiTheme="minorHAnsi"/>
          <w:sz w:val="24"/>
          <w:szCs w:val="24"/>
        </w:rPr>
        <w:t xml:space="preserve"> initial uptake of 3.7%/s (</w:t>
      </w:r>
      <w:r w:rsidR="009C0105">
        <w:rPr>
          <w:rFonts w:asciiTheme="minorHAnsi" w:hAnsiTheme="minorHAnsi"/>
          <w:sz w:val="24"/>
          <w:szCs w:val="24"/>
        </w:rPr>
        <w:t>4.1</w:t>
      </w:r>
      <w:r w:rsidRPr="006D76EE">
        <w:rPr>
          <w:rFonts w:asciiTheme="minorHAnsi" w:hAnsiTheme="minorHAnsi"/>
          <w:sz w:val="24"/>
          <w:szCs w:val="24"/>
        </w:rPr>
        <w:t xml:space="preserve"> %/s), which was reduced to 0.2%/s ( </w:t>
      </w:r>
      <w:r w:rsidR="009C0105">
        <w:rPr>
          <w:rFonts w:asciiTheme="minorHAnsi" w:hAnsiTheme="minorHAnsi"/>
          <w:sz w:val="24"/>
          <w:szCs w:val="24"/>
        </w:rPr>
        <w:t>0.5</w:t>
      </w:r>
      <w:r w:rsidRPr="006D76EE">
        <w:rPr>
          <w:rFonts w:asciiTheme="minorHAnsi" w:hAnsiTheme="minorHAnsi"/>
          <w:sz w:val="24"/>
          <w:szCs w:val="24"/>
        </w:rPr>
        <w:t>%/s) post-treatment. Group 2 had a median initial rate of 0.6%/s (</w:t>
      </w:r>
      <w:r w:rsidR="009C0105">
        <w:rPr>
          <w:rFonts w:asciiTheme="minorHAnsi" w:hAnsiTheme="minorHAnsi"/>
          <w:sz w:val="24"/>
          <w:szCs w:val="24"/>
        </w:rPr>
        <w:t>0.5</w:t>
      </w:r>
      <w:r w:rsidRPr="006D76EE">
        <w:rPr>
          <w:rFonts w:asciiTheme="minorHAnsi" w:hAnsiTheme="minorHAnsi"/>
          <w:sz w:val="24"/>
          <w:szCs w:val="24"/>
        </w:rPr>
        <w:t>%/s) pre-treatment that reduced to 0.0%/s (</w:t>
      </w:r>
      <w:r w:rsidR="009C0105">
        <w:rPr>
          <w:rFonts w:asciiTheme="minorHAnsi" w:hAnsiTheme="minorHAnsi"/>
          <w:sz w:val="24"/>
          <w:szCs w:val="24"/>
        </w:rPr>
        <w:t>1.1</w:t>
      </w:r>
      <w:r w:rsidRPr="006D76EE">
        <w:rPr>
          <w:rFonts w:asciiTheme="minorHAnsi" w:hAnsiTheme="minorHAnsi"/>
          <w:sz w:val="24"/>
          <w:szCs w:val="24"/>
        </w:rPr>
        <w:t>%/s) post-treatment. The remaining subject had no measurable uptake gradient.</w:t>
      </w:r>
    </w:p>
    <w:p w14:paraId="269E430C" w14:textId="3722CA01" w:rsidR="006D76EE" w:rsidRPr="006D76EE" w:rsidRDefault="006D76EE" w:rsidP="006D76EE">
      <w:pPr>
        <w:spacing w:line="360" w:lineRule="auto"/>
        <w:jc w:val="both"/>
        <w:outlineLvl w:val="0"/>
        <w:rPr>
          <w:rFonts w:asciiTheme="minorHAnsi" w:hAnsiTheme="minorHAnsi"/>
          <w:sz w:val="24"/>
          <w:szCs w:val="24"/>
        </w:rPr>
      </w:pPr>
      <w:r w:rsidRPr="006D76EE">
        <w:rPr>
          <w:rFonts w:asciiTheme="minorHAnsi" w:hAnsiTheme="minorHAnsi"/>
          <w:sz w:val="24"/>
          <w:szCs w:val="24"/>
        </w:rPr>
        <w:t>The median signal enhancement was also significantly reduced for the group as a whole (pre-treatment, 147%, post-treatment 3%, p=0.005). Group 1 had median signal enhancement of 174% (</w:t>
      </w:r>
      <w:r w:rsidR="00841550">
        <w:rPr>
          <w:rFonts w:asciiTheme="minorHAnsi" w:hAnsiTheme="minorHAnsi"/>
          <w:sz w:val="24"/>
          <w:szCs w:val="24"/>
        </w:rPr>
        <w:t>66</w:t>
      </w:r>
      <w:r w:rsidRPr="006D76EE">
        <w:rPr>
          <w:rFonts w:asciiTheme="minorHAnsi" w:hAnsiTheme="minorHAnsi"/>
          <w:sz w:val="24"/>
          <w:szCs w:val="24"/>
        </w:rPr>
        <w:t>%) which reduced to 45% (</w:t>
      </w:r>
      <w:r w:rsidR="00841550">
        <w:rPr>
          <w:rFonts w:asciiTheme="minorHAnsi" w:hAnsiTheme="minorHAnsi"/>
          <w:sz w:val="24"/>
          <w:szCs w:val="24"/>
        </w:rPr>
        <w:t>104</w:t>
      </w:r>
      <w:r w:rsidRPr="006D76EE">
        <w:rPr>
          <w:rFonts w:asciiTheme="minorHAnsi" w:hAnsiTheme="minorHAnsi"/>
          <w:sz w:val="24"/>
          <w:szCs w:val="24"/>
        </w:rPr>
        <w:t>%) post-treatment. Group 2 had pre-treatment signal enhancement 95% (</w:t>
      </w:r>
      <w:r w:rsidR="00167D25">
        <w:rPr>
          <w:rFonts w:asciiTheme="minorHAnsi" w:hAnsiTheme="minorHAnsi"/>
          <w:sz w:val="24"/>
          <w:szCs w:val="24"/>
        </w:rPr>
        <w:t>44</w:t>
      </w:r>
      <w:r w:rsidRPr="006D76EE">
        <w:rPr>
          <w:rFonts w:asciiTheme="minorHAnsi" w:hAnsiTheme="minorHAnsi"/>
          <w:sz w:val="24"/>
          <w:szCs w:val="24"/>
        </w:rPr>
        <w:t>%), which reduced to 0% (</w:t>
      </w:r>
      <w:r w:rsidR="0088257D">
        <w:rPr>
          <w:rFonts w:asciiTheme="minorHAnsi" w:hAnsiTheme="minorHAnsi"/>
          <w:sz w:val="24"/>
          <w:szCs w:val="24"/>
        </w:rPr>
        <w:t>2</w:t>
      </w:r>
      <w:r w:rsidRPr="006D76EE">
        <w:rPr>
          <w:rFonts w:asciiTheme="minorHAnsi" w:hAnsiTheme="minorHAnsi"/>
          <w:sz w:val="24"/>
          <w:szCs w:val="24"/>
        </w:rPr>
        <w:t>%) post-treatment. The remaining subject had negligible uptake at baseline and follow-up.</w:t>
      </w:r>
    </w:p>
    <w:p w14:paraId="797F0106" w14:textId="77777777" w:rsidR="006D76EE" w:rsidRPr="006D76EE" w:rsidRDefault="006D76EE" w:rsidP="006D76EE">
      <w:pPr>
        <w:rPr>
          <w:rFonts w:asciiTheme="minorHAnsi" w:hAnsiTheme="minorHAnsi"/>
          <w:sz w:val="24"/>
          <w:szCs w:val="24"/>
        </w:rPr>
      </w:pPr>
    </w:p>
    <w:p w14:paraId="18572C62" w14:textId="77777777" w:rsidR="006D76EE" w:rsidRPr="006D76EE" w:rsidRDefault="006D76EE" w:rsidP="006D76EE">
      <w:pPr>
        <w:rPr>
          <w:rFonts w:asciiTheme="minorHAnsi" w:hAnsiTheme="minorHAnsi"/>
          <w:b/>
          <w:sz w:val="24"/>
          <w:szCs w:val="24"/>
        </w:rPr>
      </w:pPr>
    </w:p>
    <w:p w14:paraId="0C07343F" w14:textId="77777777" w:rsidR="006D76EE" w:rsidRPr="006D76EE" w:rsidRDefault="006D76EE" w:rsidP="006D76EE">
      <w:pPr>
        <w:rPr>
          <w:rFonts w:asciiTheme="minorHAnsi" w:hAnsiTheme="minorHAnsi"/>
          <w:b/>
          <w:sz w:val="24"/>
          <w:szCs w:val="24"/>
        </w:rPr>
      </w:pPr>
    </w:p>
    <w:p w14:paraId="0B6C1481" w14:textId="77777777" w:rsidR="006D76EE" w:rsidRPr="006D76EE" w:rsidRDefault="006D76EE" w:rsidP="006D76EE">
      <w:pPr>
        <w:rPr>
          <w:rFonts w:asciiTheme="minorHAnsi" w:hAnsiTheme="minorHAnsi"/>
          <w:b/>
          <w:sz w:val="24"/>
          <w:szCs w:val="24"/>
        </w:rPr>
      </w:pPr>
    </w:p>
    <w:p w14:paraId="4C5B5481" w14:textId="77777777" w:rsidR="006D76EE" w:rsidRPr="006D76EE" w:rsidRDefault="006D76EE" w:rsidP="006D76EE">
      <w:pPr>
        <w:rPr>
          <w:rFonts w:asciiTheme="minorHAnsi" w:hAnsiTheme="minorHAnsi"/>
          <w:b/>
          <w:sz w:val="24"/>
          <w:szCs w:val="24"/>
        </w:rPr>
      </w:pPr>
    </w:p>
    <w:p w14:paraId="66C5C92E" w14:textId="77777777" w:rsidR="006D76EE" w:rsidRDefault="006D76EE" w:rsidP="006D76EE">
      <w:pPr>
        <w:rPr>
          <w:rFonts w:asciiTheme="minorHAnsi" w:hAnsiTheme="minorHAnsi"/>
          <w:b/>
          <w:sz w:val="24"/>
          <w:szCs w:val="24"/>
        </w:rPr>
      </w:pPr>
    </w:p>
    <w:p w14:paraId="08CA4B68" w14:textId="08AC429D" w:rsidR="00773924" w:rsidRPr="00773924" w:rsidRDefault="00773924" w:rsidP="00773924">
      <w:pPr>
        <w:spacing w:before="0" w:beforeAutospacing="0"/>
        <w:rPr>
          <w:rFonts w:asciiTheme="minorHAnsi" w:eastAsia="Calibri" w:hAnsiTheme="minorHAnsi"/>
          <w:b/>
          <w:sz w:val="24"/>
          <w:szCs w:val="24"/>
          <w:lang w:eastAsia="en-US"/>
        </w:rPr>
      </w:pPr>
      <w:r w:rsidRPr="00773924">
        <w:rPr>
          <w:rFonts w:asciiTheme="minorHAnsi" w:eastAsia="Calibri" w:hAnsiTheme="minorHAnsi"/>
          <w:b/>
          <w:sz w:val="24"/>
          <w:szCs w:val="24"/>
          <w:lang w:eastAsia="en-US"/>
        </w:rPr>
        <w:t xml:space="preserve">SUPPLEMENTARY FIGURE </w:t>
      </w:r>
      <w:r w:rsidR="008C3A3D">
        <w:rPr>
          <w:rFonts w:asciiTheme="minorHAnsi" w:eastAsia="Calibri" w:hAnsiTheme="minorHAnsi"/>
          <w:b/>
          <w:sz w:val="24"/>
          <w:szCs w:val="24"/>
          <w:lang w:eastAsia="en-US"/>
        </w:rPr>
        <w:t>S</w:t>
      </w:r>
      <w:r w:rsidRPr="00773924">
        <w:rPr>
          <w:rFonts w:asciiTheme="minorHAnsi" w:eastAsia="Calibri" w:hAnsiTheme="minorHAnsi"/>
          <w:b/>
          <w:sz w:val="24"/>
          <w:szCs w:val="24"/>
          <w:lang w:eastAsia="en-US"/>
        </w:rPr>
        <w:t>1</w:t>
      </w:r>
    </w:p>
    <w:p w14:paraId="53BB9166" w14:textId="224D65CC" w:rsidR="00773924" w:rsidRPr="00773924" w:rsidRDefault="00773924" w:rsidP="00773924">
      <w:pPr>
        <w:spacing w:before="0" w:beforeAutospacing="0"/>
        <w:rPr>
          <w:rFonts w:asciiTheme="minorHAnsi" w:eastAsia="Calibri" w:hAnsiTheme="minorHAnsi"/>
          <w:sz w:val="24"/>
          <w:szCs w:val="24"/>
          <w:lang w:eastAsia="en-US"/>
        </w:rPr>
      </w:pPr>
      <w:r w:rsidRPr="00773924">
        <w:rPr>
          <w:rFonts w:asciiTheme="minorHAnsi" w:hAnsiTheme="minorHAnsi"/>
          <w:noProof/>
          <w:lang w:eastAsia="en-GB"/>
        </w:rPr>
        <w:drawing>
          <wp:inline distT="0" distB="0" distL="0" distR="0" wp14:anchorId="36E0105E" wp14:editId="4CE0A922">
            <wp:extent cx="5731510" cy="2566670"/>
            <wp:effectExtent l="0" t="0" r="2540" b="508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31510" cy="2566670"/>
                    </a:xfrm>
                    <a:prstGeom prst="rect">
                      <a:avLst/>
                    </a:prstGeom>
                  </pic:spPr>
                </pic:pic>
              </a:graphicData>
            </a:graphic>
          </wp:inline>
        </w:drawing>
      </w:r>
      <w:r w:rsidRPr="00773924">
        <w:rPr>
          <w:rFonts w:asciiTheme="minorHAnsi" w:eastAsia="Calibri" w:hAnsiTheme="minorHAnsi"/>
          <w:b/>
          <w:sz w:val="24"/>
          <w:szCs w:val="24"/>
          <w:lang w:eastAsia="en-US"/>
        </w:rPr>
        <w:t xml:space="preserve"> Supplementary Figure </w:t>
      </w:r>
      <w:r w:rsidR="008C3A3D">
        <w:rPr>
          <w:rFonts w:asciiTheme="minorHAnsi" w:eastAsia="Calibri" w:hAnsiTheme="minorHAnsi"/>
          <w:b/>
          <w:sz w:val="24"/>
          <w:szCs w:val="24"/>
          <w:lang w:eastAsia="en-US"/>
        </w:rPr>
        <w:t>S</w:t>
      </w:r>
      <w:r w:rsidRPr="00773924">
        <w:rPr>
          <w:rFonts w:asciiTheme="minorHAnsi" w:eastAsia="Calibri" w:hAnsiTheme="minorHAnsi"/>
          <w:b/>
          <w:sz w:val="24"/>
          <w:szCs w:val="24"/>
          <w:lang w:eastAsia="en-US"/>
        </w:rPr>
        <w:t xml:space="preserve">1 : </w:t>
      </w:r>
      <w:r w:rsidRPr="00773924">
        <w:rPr>
          <w:rFonts w:asciiTheme="minorHAnsi" w:eastAsia="Calibri" w:hAnsiTheme="minorHAnsi"/>
          <w:sz w:val="24"/>
          <w:szCs w:val="24"/>
          <w:u w:val="single"/>
          <w:lang w:eastAsia="en-US"/>
        </w:rPr>
        <w:t>Study recruitment flowchart</w:t>
      </w:r>
    </w:p>
    <w:p w14:paraId="5DC5CDDF" w14:textId="77777777" w:rsidR="00773924" w:rsidRPr="00773924" w:rsidRDefault="00773924" w:rsidP="00773924">
      <w:pPr>
        <w:spacing w:before="0" w:beforeAutospacing="0"/>
        <w:rPr>
          <w:rFonts w:asciiTheme="minorHAnsi" w:eastAsia="Calibri" w:hAnsiTheme="minorHAnsi"/>
          <w:b/>
          <w:sz w:val="24"/>
          <w:szCs w:val="24"/>
          <w:lang w:eastAsia="en-US"/>
        </w:rPr>
      </w:pPr>
      <w:r w:rsidRPr="00773924">
        <w:rPr>
          <w:rFonts w:asciiTheme="minorHAnsi" w:eastAsia="Calibri" w:hAnsiTheme="minorHAnsi"/>
          <w:b/>
          <w:sz w:val="24"/>
          <w:szCs w:val="24"/>
          <w:lang w:eastAsia="en-US"/>
        </w:rPr>
        <w:br w:type="page"/>
      </w:r>
    </w:p>
    <w:p w14:paraId="0877B95C" w14:textId="743E037F" w:rsidR="00773924" w:rsidRPr="00773924" w:rsidRDefault="009A6B1E" w:rsidP="00773924">
      <w:pPr>
        <w:spacing w:before="0" w:beforeAutospacing="0" w:after="200" w:line="480" w:lineRule="auto"/>
        <w:rPr>
          <w:rFonts w:asciiTheme="minorHAnsi" w:eastAsia="Calibri" w:hAnsiTheme="minorHAnsi"/>
          <w:b/>
          <w:sz w:val="24"/>
          <w:szCs w:val="24"/>
          <w:lang w:eastAsia="en-US"/>
        </w:rPr>
      </w:pPr>
      <w:r>
        <w:rPr>
          <w:rFonts w:asciiTheme="minorHAnsi" w:eastAsia="Calibri" w:hAnsiTheme="minorHAnsi"/>
          <w:b/>
          <w:sz w:val="24"/>
          <w:szCs w:val="24"/>
          <w:lang w:eastAsia="en-US"/>
        </w:rPr>
        <w:t>SUPPLEMENTARY</w:t>
      </w:r>
      <w:r w:rsidR="00773924" w:rsidRPr="00773924">
        <w:rPr>
          <w:rFonts w:asciiTheme="minorHAnsi" w:eastAsia="Calibri" w:hAnsiTheme="minorHAnsi"/>
          <w:b/>
          <w:sz w:val="24"/>
          <w:szCs w:val="24"/>
          <w:lang w:eastAsia="en-US"/>
        </w:rPr>
        <w:t xml:space="preserve"> FIGURE </w:t>
      </w:r>
      <w:r w:rsidR="008C3A3D">
        <w:rPr>
          <w:rFonts w:asciiTheme="minorHAnsi" w:eastAsia="Calibri" w:hAnsiTheme="minorHAnsi"/>
          <w:b/>
          <w:sz w:val="24"/>
          <w:szCs w:val="24"/>
          <w:lang w:eastAsia="en-US"/>
        </w:rPr>
        <w:t>S</w:t>
      </w:r>
      <w:r w:rsidR="00773924" w:rsidRPr="00773924">
        <w:rPr>
          <w:rFonts w:asciiTheme="minorHAnsi" w:eastAsia="Calibri" w:hAnsiTheme="minorHAnsi"/>
          <w:b/>
          <w:sz w:val="24"/>
          <w:szCs w:val="24"/>
          <w:lang w:eastAsia="en-US"/>
        </w:rPr>
        <w:t>2</w:t>
      </w:r>
    </w:p>
    <w:p w14:paraId="740EADA0" w14:textId="52E6A00E" w:rsidR="00773924" w:rsidRPr="00773924" w:rsidRDefault="00885B70" w:rsidP="00773924">
      <w:pPr>
        <w:spacing w:before="0" w:beforeAutospacing="0" w:after="200" w:line="480" w:lineRule="auto"/>
        <w:rPr>
          <w:rFonts w:asciiTheme="minorHAnsi" w:eastAsia="Calibri" w:hAnsiTheme="minorHAnsi"/>
          <w:b/>
          <w:sz w:val="24"/>
          <w:szCs w:val="24"/>
          <w:lang w:eastAsia="en-US"/>
        </w:rPr>
      </w:pPr>
      <w:r>
        <w:rPr>
          <w:rFonts w:asciiTheme="minorHAnsi" w:eastAsia="Calibri" w:hAnsiTheme="minorHAnsi"/>
          <w:b/>
          <w:noProof/>
          <w:sz w:val="24"/>
          <w:szCs w:val="24"/>
          <w:lang w:eastAsia="en-GB"/>
        </w:rPr>
        <w:drawing>
          <wp:inline distT="0" distB="0" distL="0" distR="0" wp14:anchorId="74971EB0" wp14:editId="6C7851E3">
            <wp:extent cx="5731510" cy="2877185"/>
            <wp:effectExtent l="0" t="0" r="254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d_method.tif"/>
                    <pic:cNvPicPr/>
                  </pic:nvPicPr>
                  <pic:blipFill>
                    <a:blip r:embed="rId8">
                      <a:extLst>
                        <a:ext uri="{28A0092B-C50C-407E-A947-70E740481C1C}">
                          <a14:useLocalDpi xmlns:a14="http://schemas.microsoft.com/office/drawing/2010/main" val="0"/>
                        </a:ext>
                      </a:extLst>
                    </a:blip>
                    <a:stretch>
                      <a:fillRect/>
                    </a:stretch>
                  </pic:blipFill>
                  <pic:spPr>
                    <a:xfrm>
                      <a:off x="0" y="0"/>
                      <a:ext cx="5731510" cy="2877185"/>
                    </a:xfrm>
                    <a:prstGeom prst="rect">
                      <a:avLst/>
                    </a:prstGeom>
                  </pic:spPr>
                </pic:pic>
              </a:graphicData>
            </a:graphic>
          </wp:inline>
        </w:drawing>
      </w:r>
    </w:p>
    <w:p w14:paraId="7227BD98" w14:textId="665C786A" w:rsidR="00773924" w:rsidRPr="00773924" w:rsidRDefault="009A6B1E" w:rsidP="00773924">
      <w:pPr>
        <w:spacing w:before="0" w:beforeAutospacing="0" w:after="200" w:line="480" w:lineRule="auto"/>
        <w:rPr>
          <w:rFonts w:asciiTheme="minorHAnsi" w:eastAsia="Calibri" w:hAnsiTheme="minorHAnsi"/>
          <w:sz w:val="24"/>
          <w:szCs w:val="24"/>
          <w:lang w:eastAsia="en-US"/>
        </w:rPr>
      </w:pPr>
      <w:r>
        <w:rPr>
          <w:rFonts w:asciiTheme="minorHAnsi" w:eastAsia="Calibri" w:hAnsiTheme="minorHAnsi"/>
          <w:b/>
          <w:sz w:val="24"/>
          <w:szCs w:val="24"/>
          <w:lang w:eastAsia="en-US"/>
        </w:rPr>
        <w:t>Supplementary</w:t>
      </w:r>
      <w:r w:rsidR="00773924" w:rsidRPr="00773924">
        <w:rPr>
          <w:rFonts w:asciiTheme="minorHAnsi" w:eastAsia="Calibri" w:hAnsiTheme="minorHAnsi"/>
          <w:b/>
          <w:sz w:val="24"/>
          <w:szCs w:val="24"/>
          <w:lang w:eastAsia="en-US"/>
        </w:rPr>
        <w:t xml:space="preserve"> Figure </w:t>
      </w:r>
      <w:r w:rsidR="008C3A3D">
        <w:rPr>
          <w:rFonts w:asciiTheme="minorHAnsi" w:eastAsia="Calibri" w:hAnsiTheme="minorHAnsi"/>
          <w:b/>
          <w:sz w:val="24"/>
          <w:szCs w:val="24"/>
          <w:lang w:eastAsia="en-US"/>
        </w:rPr>
        <w:t>S</w:t>
      </w:r>
      <w:r w:rsidR="00773924" w:rsidRPr="00773924">
        <w:rPr>
          <w:rFonts w:asciiTheme="minorHAnsi" w:eastAsia="Calibri" w:hAnsiTheme="minorHAnsi"/>
          <w:b/>
          <w:sz w:val="24"/>
          <w:szCs w:val="24"/>
          <w:lang w:eastAsia="en-US"/>
        </w:rPr>
        <w:t xml:space="preserve">2 : </w:t>
      </w:r>
      <w:r w:rsidR="00773924" w:rsidRPr="00773924">
        <w:rPr>
          <w:rFonts w:asciiTheme="minorHAnsi" w:eastAsia="Calibri" w:hAnsiTheme="minorHAnsi"/>
          <w:sz w:val="24"/>
          <w:szCs w:val="24"/>
          <w:u w:val="single"/>
          <w:lang w:eastAsia="en-US"/>
        </w:rPr>
        <w:t xml:space="preserve">Analysis of the dynamic 3D T1-weighted series. </w:t>
      </w:r>
      <w:r w:rsidR="00773924" w:rsidRPr="00773924">
        <w:rPr>
          <w:rFonts w:asciiTheme="minorHAnsi" w:eastAsia="Calibri" w:hAnsiTheme="minorHAnsi"/>
          <w:sz w:val="24"/>
          <w:szCs w:val="24"/>
          <w:lang w:eastAsia="en-US"/>
        </w:rPr>
        <w:t>The top row shows the acquired images, whose signal intensities are sensitive to the concentration of contrast agent; (a) before contrast injection, (b) the first frame in which contrast enhances the synovium, (c) the last frame five minutes later. Corresponding image stacks are calculated showing percentage signal increase from baseline (e)-(g). The regions of interest defined from the volume calculations are applied (d) &amp; (h) and volume averaged percentage signal increase is calculated for the whole synovial volume.</w:t>
      </w:r>
    </w:p>
    <w:p w14:paraId="79A174C4" w14:textId="77777777" w:rsidR="00773924" w:rsidRPr="00773924" w:rsidRDefault="00773924" w:rsidP="00773924">
      <w:pPr>
        <w:spacing w:before="0" w:beforeAutospacing="0"/>
        <w:rPr>
          <w:rFonts w:asciiTheme="minorHAnsi" w:eastAsia="Calibri" w:hAnsiTheme="minorHAnsi"/>
          <w:b/>
          <w:sz w:val="24"/>
          <w:szCs w:val="24"/>
          <w:lang w:eastAsia="en-US"/>
        </w:rPr>
      </w:pPr>
      <w:r w:rsidRPr="00773924">
        <w:rPr>
          <w:rFonts w:asciiTheme="minorHAnsi" w:eastAsia="Calibri" w:hAnsiTheme="minorHAnsi"/>
          <w:b/>
          <w:sz w:val="24"/>
          <w:szCs w:val="24"/>
          <w:lang w:eastAsia="en-US"/>
        </w:rPr>
        <w:br w:type="page"/>
      </w:r>
    </w:p>
    <w:p w14:paraId="4209697B" w14:textId="14C3B253" w:rsidR="00773924" w:rsidRPr="00773924" w:rsidRDefault="00773924" w:rsidP="00773924">
      <w:pPr>
        <w:spacing w:before="0" w:beforeAutospacing="0" w:after="200" w:line="480" w:lineRule="auto"/>
        <w:rPr>
          <w:rFonts w:asciiTheme="minorHAnsi" w:eastAsia="Calibri" w:hAnsiTheme="minorHAnsi"/>
          <w:b/>
          <w:sz w:val="24"/>
          <w:szCs w:val="24"/>
          <w:lang w:eastAsia="en-US"/>
        </w:rPr>
      </w:pPr>
      <w:bookmarkStart w:id="0" w:name="_GoBack"/>
      <w:bookmarkEnd w:id="0"/>
    </w:p>
    <w:p w14:paraId="7EF300B2" w14:textId="77777777" w:rsidR="00773924" w:rsidRDefault="00773924" w:rsidP="006D76EE">
      <w:pPr>
        <w:rPr>
          <w:rFonts w:asciiTheme="minorHAnsi" w:hAnsiTheme="minorHAnsi"/>
          <w:b/>
          <w:sz w:val="24"/>
          <w:szCs w:val="24"/>
        </w:rPr>
      </w:pPr>
    </w:p>
    <w:tbl>
      <w:tblPr>
        <w:tblStyle w:val="TableGrid"/>
        <w:tblpPr w:leftFromText="180" w:rightFromText="180" w:horzAnchor="margin" w:tblpY="525"/>
        <w:tblW w:w="9209" w:type="dxa"/>
        <w:tblLayout w:type="fixed"/>
        <w:tblLook w:val="04A0" w:firstRow="1" w:lastRow="0" w:firstColumn="1" w:lastColumn="0" w:noHBand="0" w:noVBand="1"/>
      </w:tblPr>
      <w:tblGrid>
        <w:gridCol w:w="988"/>
        <w:gridCol w:w="567"/>
        <w:gridCol w:w="1134"/>
        <w:gridCol w:w="708"/>
        <w:gridCol w:w="993"/>
        <w:gridCol w:w="708"/>
        <w:gridCol w:w="1134"/>
        <w:gridCol w:w="993"/>
        <w:gridCol w:w="708"/>
        <w:gridCol w:w="1276"/>
      </w:tblGrid>
      <w:tr w:rsidR="00773924" w:rsidRPr="006D76EE" w14:paraId="2A184DD1" w14:textId="77777777" w:rsidTr="000B6C5F">
        <w:tc>
          <w:tcPr>
            <w:tcW w:w="988" w:type="dxa"/>
          </w:tcPr>
          <w:p w14:paraId="4F1B6B4F"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Sequence</w:t>
            </w:r>
          </w:p>
        </w:tc>
        <w:tc>
          <w:tcPr>
            <w:tcW w:w="567" w:type="dxa"/>
          </w:tcPr>
          <w:p w14:paraId="69F09E72"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Gd</w:t>
            </w:r>
          </w:p>
        </w:tc>
        <w:tc>
          <w:tcPr>
            <w:tcW w:w="1134" w:type="dxa"/>
          </w:tcPr>
          <w:p w14:paraId="4EFB7911"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TR/TE/NSA (ms/ms/-)</w:t>
            </w:r>
          </w:p>
        </w:tc>
        <w:tc>
          <w:tcPr>
            <w:tcW w:w="708" w:type="dxa"/>
          </w:tcPr>
          <w:p w14:paraId="20607278"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Flip angle (</w:t>
            </w:r>
            <w:r w:rsidRPr="006D76EE">
              <w:rPr>
                <w:rFonts w:asciiTheme="minorHAnsi" w:hAnsiTheme="minorHAnsi"/>
                <w:i/>
                <w:vertAlign w:val="superscript"/>
              </w:rPr>
              <w:t>o</w:t>
            </w:r>
            <w:r w:rsidRPr="006D76EE">
              <w:rPr>
                <w:rFonts w:asciiTheme="minorHAnsi" w:hAnsiTheme="minorHAnsi"/>
                <w:i/>
              </w:rPr>
              <w:t>)</w:t>
            </w:r>
          </w:p>
        </w:tc>
        <w:tc>
          <w:tcPr>
            <w:tcW w:w="993" w:type="dxa"/>
          </w:tcPr>
          <w:p w14:paraId="2F1431A6"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Field of view (mm)</w:t>
            </w:r>
          </w:p>
        </w:tc>
        <w:tc>
          <w:tcPr>
            <w:tcW w:w="708" w:type="dxa"/>
          </w:tcPr>
          <w:p w14:paraId="34C16ECB"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Voxel size (mm)</w:t>
            </w:r>
          </w:p>
        </w:tc>
        <w:tc>
          <w:tcPr>
            <w:tcW w:w="1134" w:type="dxa"/>
          </w:tcPr>
          <w:p w14:paraId="7BC43224"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Slice thickness/gap (mm)</w:t>
            </w:r>
          </w:p>
        </w:tc>
        <w:tc>
          <w:tcPr>
            <w:tcW w:w="993" w:type="dxa"/>
          </w:tcPr>
          <w:p w14:paraId="30C48B76"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Recon. matrix</w:t>
            </w:r>
          </w:p>
        </w:tc>
        <w:tc>
          <w:tcPr>
            <w:tcW w:w="708" w:type="dxa"/>
          </w:tcPr>
          <w:p w14:paraId="7F26F56C"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TSE factor</w:t>
            </w:r>
          </w:p>
        </w:tc>
        <w:tc>
          <w:tcPr>
            <w:tcW w:w="1276" w:type="dxa"/>
          </w:tcPr>
          <w:p w14:paraId="14A21BFC"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Acquisition time (min:s)</w:t>
            </w:r>
          </w:p>
        </w:tc>
      </w:tr>
      <w:tr w:rsidR="00773924" w:rsidRPr="006D76EE" w14:paraId="6DBAC1AD" w14:textId="77777777" w:rsidTr="000B6C5F">
        <w:tc>
          <w:tcPr>
            <w:tcW w:w="988" w:type="dxa"/>
          </w:tcPr>
          <w:p w14:paraId="7199771D" w14:textId="77777777" w:rsidR="00773924" w:rsidRDefault="00773924" w:rsidP="000B6C5F">
            <w:pPr>
              <w:spacing w:before="0" w:beforeAutospacing="0"/>
              <w:rPr>
                <w:rFonts w:asciiTheme="minorHAnsi" w:hAnsiTheme="minorHAnsi"/>
              </w:rPr>
            </w:pPr>
            <w:r w:rsidRPr="006D76EE">
              <w:rPr>
                <w:rFonts w:asciiTheme="minorHAnsi" w:hAnsiTheme="minorHAnsi"/>
              </w:rPr>
              <w:t>Sagittal T2w FS</w:t>
            </w:r>
          </w:p>
          <w:p w14:paraId="016E1868" w14:textId="7EC2AE96" w:rsidR="0001575F" w:rsidRPr="006D76EE" w:rsidRDefault="0001575F" w:rsidP="000B6C5F">
            <w:pPr>
              <w:spacing w:before="0" w:beforeAutospacing="0"/>
              <w:rPr>
                <w:rFonts w:asciiTheme="minorHAnsi" w:hAnsiTheme="minorHAnsi"/>
              </w:rPr>
            </w:pPr>
            <w:r>
              <w:rPr>
                <w:rFonts w:asciiTheme="minorHAnsi" w:hAnsiTheme="minorHAnsi"/>
              </w:rPr>
              <w:t>TSE</w:t>
            </w:r>
          </w:p>
        </w:tc>
        <w:tc>
          <w:tcPr>
            <w:tcW w:w="567" w:type="dxa"/>
          </w:tcPr>
          <w:p w14:paraId="77AAFA36"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w:t>
            </w:r>
          </w:p>
        </w:tc>
        <w:tc>
          <w:tcPr>
            <w:tcW w:w="1134" w:type="dxa"/>
          </w:tcPr>
          <w:p w14:paraId="754DDECE"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4000/74/2</w:t>
            </w:r>
          </w:p>
        </w:tc>
        <w:tc>
          <w:tcPr>
            <w:tcW w:w="708" w:type="dxa"/>
          </w:tcPr>
          <w:p w14:paraId="47696D83"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90</w:t>
            </w:r>
          </w:p>
        </w:tc>
        <w:tc>
          <w:tcPr>
            <w:tcW w:w="993" w:type="dxa"/>
          </w:tcPr>
          <w:p w14:paraId="329B0AFD"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320x160x 82.5</w:t>
            </w:r>
          </w:p>
        </w:tc>
        <w:tc>
          <w:tcPr>
            <w:tcW w:w="708" w:type="dxa"/>
          </w:tcPr>
          <w:p w14:paraId="010161EF"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0.63</w:t>
            </w:r>
          </w:p>
        </w:tc>
        <w:tc>
          <w:tcPr>
            <w:tcW w:w="1134" w:type="dxa"/>
          </w:tcPr>
          <w:p w14:paraId="2D16AF05"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3/0.3</w:t>
            </w:r>
          </w:p>
        </w:tc>
        <w:tc>
          <w:tcPr>
            <w:tcW w:w="993" w:type="dxa"/>
          </w:tcPr>
          <w:p w14:paraId="5A451833"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512x358</w:t>
            </w:r>
          </w:p>
        </w:tc>
        <w:tc>
          <w:tcPr>
            <w:tcW w:w="708" w:type="dxa"/>
          </w:tcPr>
          <w:p w14:paraId="27BE4983"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10</w:t>
            </w:r>
          </w:p>
        </w:tc>
        <w:tc>
          <w:tcPr>
            <w:tcW w:w="1276" w:type="dxa"/>
          </w:tcPr>
          <w:p w14:paraId="4A16F4D1"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3:32</w:t>
            </w:r>
          </w:p>
        </w:tc>
      </w:tr>
      <w:tr w:rsidR="00773924" w:rsidRPr="006D76EE" w14:paraId="2D941858" w14:textId="77777777" w:rsidTr="000B6C5F">
        <w:tc>
          <w:tcPr>
            <w:tcW w:w="988" w:type="dxa"/>
          </w:tcPr>
          <w:p w14:paraId="1E1ED793" w14:textId="77777777" w:rsidR="00773924" w:rsidRDefault="00773924" w:rsidP="000B6C5F">
            <w:pPr>
              <w:spacing w:before="0" w:beforeAutospacing="0"/>
              <w:rPr>
                <w:rFonts w:asciiTheme="minorHAnsi" w:hAnsiTheme="minorHAnsi"/>
              </w:rPr>
            </w:pPr>
            <w:r w:rsidRPr="006D76EE">
              <w:rPr>
                <w:rFonts w:asciiTheme="minorHAnsi" w:hAnsiTheme="minorHAnsi"/>
              </w:rPr>
              <w:t>Axial PDw FS</w:t>
            </w:r>
          </w:p>
          <w:p w14:paraId="30A4FC31" w14:textId="3006F0F3" w:rsidR="0001575F" w:rsidRPr="006D76EE" w:rsidRDefault="0001575F" w:rsidP="000B6C5F">
            <w:pPr>
              <w:spacing w:before="0" w:beforeAutospacing="0"/>
              <w:rPr>
                <w:rFonts w:asciiTheme="minorHAnsi" w:hAnsiTheme="minorHAnsi"/>
              </w:rPr>
            </w:pPr>
            <w:r>
              <w:rPr>
                <w:rFonts w:asciiTheme="minorHAnsi" w:hAnsiTheme="minorHAnsi"/>
              </w:rPr>
              <w:t>TSE</w:t>
            </w:r>
          </w:p>
        </w:tc>
        <w:tc>
          <w:tcPr>
            <w:tcW w:w="567" w:type="dxa"/>
          </w:tcPr>
          <w:p w14:paraId="446B9E78"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w:t>
            </w:r>
          </w:p>
        </w:tc>
        <w:tc>
          <w:tcPr>
            <w:tcW w:w="1134" w:type="dxa"/>
          </w:tcPr>
          <w:p w14:paraId="6FAB440C"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3070/21/2</w:t>
            </w:r>
          </w:p>
        </w:tc>
        <w:tc>
          <w:tcPr>
            <w:tcW w:w="708" w:type="dxa"/>
          </w:tcPr>
          <w:p w14:paraId="185E7420"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90</w:t>
            </w:r>
          </w:p>
        </w:tc>
        <w:tc>
          <w:tcPr>
            <w:tcW w:w="993" w:type="dxa"/>
          </w:tcPr>
          <w:p w14:paraId="7A99BB86"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160x160x92.4</w:t>
            </w:r>
          </w:p>
        </w:tc>
        <w:tc>
          <w:tcPr>
            <w:tcW w:w="708" w:type="dxa"/>
          </w:tcPr>
          <w:p w14:paraId="76BC03F4"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0.42</w:t>
            </w:r>
          </w:p>
        </w:tc>
        <w:tc>
          <w:tcPr>
            <w:tcW w:w="1134" w:type="dxa"/>
          </w:tcPr>
          <w:p w14:paraId="25F0A6A5"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3/0.3</w:t>
            </w:r>
          </w:p>
        </w:tc>
        <w:tc>
          <w:tcPr>
            <w:tcW w:w="993" w:type="dxa"/>
          </w:tcPr>
          <w:p w14:paraId="1C35DD4A"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384x384</w:t>
            </w:r>
          </w:p>
        </w:tc>
        <w:tc>
          <w:tcPr>
            <w:tcW w:w="708" w:type="dxa"/>
          </w:tcPr>
          <w:p w14:paraId="59770F16"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6</w:t>
            </w:r>
          </w:p>
        </w:tc>
        <w:tc>
          <w:tcPr>
            <w:tcW w:w="1276" w:type="dxa"/>
          </w:tcPr>
          <w:p w14:paraId="478AA977"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3:14</w:t>
            </w:r>
          </w:p>
        </w:tc>
      </w:tr>
      <w:tr w:rsidR="00773924" w:rsidRPr="006D76EE" w14:paraId="6D067FAB" w14:textId="77777777" w:rsidTr="000B6C5F">
        <w:tc>
          <w:tcPr>
            <w:tcW w:w="988" w:type="dxa"/>
          </w:tcPr>
          <w:p w14:paraId="6F2CBE9B" w14:textId="77777777" w:rsidR="00773924" w:rsidRDefault="00773924" w:rsidP="000B6C5F">
            <w:pPr>
              <w:spacing w:before="0" w:beforeAutospacing="0"/>
              <w:rPr>
                <w:rFonts w:asciiTheme="minorHAnsi" w:hAnsiTheme="minorHAnsi"/>
              </w:rPr>
            </w:pPr>
            <w:r w:rsidRPr="006D76EE">
              <w:rPr>
                <w:rFonts w:asciiTheme="minorHAnsi" w:hAnsiTheme="minorHAnsi"/>
              </w:rPr>
              <w:t>Axial T1w FS</w:t>
            </w:r>
          </w:p>
          <w:p w14:paraId="2576A0D7" w14:textId="2FA4FF7D" w:rsidR="0001575F" w:rsidRPr="006D76EE" w:rsidRDefault="0001575F" w:rsidP="000B6C5F">
            <w:pPr>
              <w:spacing w:before="0" w:beforeAutospacing="0"/>
              <w:rPr>
                <w:rFonts w:asciiTheme="minorHAnsi" w:hAnsiTheme="minorHAnsi"/>
              </w:rPr>
            </w:pPr>
            <w:r>
              <w:rPr>
                <w:rFonts w:asciiTheme="minorHAnsi" w:hAnsiTheme="minorHAnsi"/>
              </w:rPr>
              <w:t>TSE</w:t>
            </w:r>
          </w:p>
        </w:tc>
        <w:tc>
          <w:tcPr>
            <w:tcW w:w="567" w:type="dxa"/>
          </w:tcPr>
          <w:p w14:paraId="53052CC6" w14:textId="77777777" w:rsidR="00773924" w:rsidRPr="006D76EE" w:rsidRDefault="00773924" w:rsidP="000B6C5F">
            <w:pPr>
              <w:spacing w:before="0" w:beforeAutospacing="0"/>
              <w:rPr>
                <w:rFonts w:asciiTheme="minorHAnsi" w:hAnsiTheme="minorHAnsi"/>
                <w:i/>
              </w:rPr>
            </w:pPr>
            <w:r w:rsidRPr="006D76EE">
              <w:rPr>
                <w:rFonts w:asciiTheme="minorHAnsi" w:hAnsiTheme="minorHAnsi"/>
                <w:i/>
              </w:rPr>
              <w:t>-</w:t>
            </w:r>
          </w:p>
        </w:tc>
        <w:tc>
          <w:tcPr>
            <w:tcW w:w="1134" w:type="dxa"/>
          </w:tcPr>
          <w:p w14:paraId="08938B83"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581/13/1</w:t>
            </w:r>
          </w:p>
        </w:tc>
        <w:tc>
          <w:tcPr>
            <w:tcW w:w="708" w:type="dxa"/>
          </w:tcPr>
          <w:p w14:paraId="1F5BE36E"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90</w:t>
            </w:r>
          </w:p>
        </w:tc>
        <w:tc>
          <w:tcPr>
            <w:tcW w:w="993" w:type="dxa"/>
          </w:tcPr>
          <w:p w14:paraId="2330A757"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160x160x92.4</w:t>
            </w:r>
          </w:p>
        </w:tc>
        <w:tc>
          <w:tcPr>
            <w:tcW w:w="708" w:type="dxa"/>
          </w:tcPr>
          <w:p w14:paraId="1C9066CF"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0.42</w:t>
            </w:r>
          </w:p>
        </w:tc>
        <w:tc>
          <w:tcPr>
            <w:tcW w:w="1134" w:type="dxa"/>
          </w:tcPr>
          <w:p w14:paraId="6AC4E17F"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3/0.3</w:t>
            </w:r>
          </w:p>
        </w:tc>
        <w:tc>
          <w:tcPr>
            <w:tcW w:w="993" w:type="dxa"/>
          </w:tcPr>
          <w:p w14:paraId="1E0BBE39"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384x384</w:t>
            </w:r>
          </w:p>
        </w:tc>
        <w:tc>
          <w:tcPr>
            <w:tcW w:w="708" w:type="dxa"/>
          </w:tcPr>
          <w:p w14:paraId="438D5890"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w:t>
            </w:r>
          </w:p>
          <w:p w14:paraId="208B6D92" w14:textId="77777777" w:rsidR="00773924" w:rsidRPr="006D76EE" w:rsidRDefault="00773924" w:rsidP="000B6C5F">
            <w:pPr>
              <w:spacing w:before="0" w:beforeAutospacing="0"/>
              <w:rPr>
                <w:rFonts w:asciiTheme="minorHAnsi" w:hAnsiTheme="minorHAnsi"/>
              </w:rPr>
            </w:pPr>
          </w:p>
        </w:tc>
        <w:tc>
          <w:tcPr>
            <w:tcW w:w="1276" w:type="dxa"/>
          </w:tcPr>
          <w:p w14:paraId="1FF74B0A"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1:51</w:t>
            </w:r>
          </w:p>
        </w:tc>
      </w:tr>
      <w:tr w:rsidR="00773924" w:rsidRPr="006D76EE" w14:paraId="20BB304D" w14:textId="77777777" w:rsidTr="000B6C5F">
        <w:tc>
          <w:tcPr>
            <w:tcW w:w="988" w:type="dxa"/>
          </w:tcPr>
          <w:p w14:paraId="2D5CB670"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Axial T1w 3D GRE</w:t>
            </w:r>
          </w:p>
        </w:tc>
        <w:tc>
          <w:tcPr>
            <w:tcW w:w="567" w:type="dxa"/>
          </w:tcPr>
          <w:p w14:paraId="58CFAF24"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w:t>
            </w:r>
          </w:p>
        </w:tc>
        <w:tc>
          <w:tcPr>
            <w:tcW w:w="1134" w:type="dxa"/>
          </w:tcPr>
          <w:p w14:paraId="327EEAB8"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7.4/3.7/1</w:t>
            </w:r>
          </w:p>
        </w:tc>
        <w:tc>
          <w:tcPr>
            <w:tcW w:w="708" w:type="dxa"/>
          </w:tcPr>
          <w:p w14:paraId="49FF6B3C"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25</w:t>
            </w:r>
          </w:p>
        </w:tc>
        <w:tc>
          <w:tcPr>
            <w:tcW w:w="993" w:type="dxa"/>
          </w:tcPr>
          <w:p w14:paraId="66C1C731"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160x160x52.8</w:t>
            </w:r>
          </w:p>
        </w:tc>
        <w:tc>
          <w:tcPr>
            <w:tcW w:w="708" w:type="dxa"/>
          </w:tcPr>
          <w:p w14:paraId="3303A04F"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0.42</w:t>
            </w:r>
          </w:p>
        </w:tc>
        <w:tc>
          <w:tcPr>
            <w:tcW w:w="1134" w:type="dxa"/>
          </w:tcPr>
          <w:p w14:paraId="2D29B3B1"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3.3/0</w:t>
            </w:r>
          </w:p>
        </w:tc>
        <w:tc>
          <w:tcPr>
            <w:tcW w:w="993" w:type="dxa"/>
          </w:tcPr>
          <w:p w14:paraId="33DF6199"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384x384</w:t>
            </w:r>
          </w:p>
        </w:tc>
        <w:tc>
          <w:tcPr>
            <w:tcW w:w="708" w:type="dxa"/>
          </w:tcPr>
          <w:p w14:paraId="1BAFEB53"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n/a</w:t>
            </w:r>
          </w:p>
        </w:tc>
        <w:tc>
          <w:tcPr>
            <w:tcW w:w="1276" w:type="dxa"/>
          </w:tcPr>
          <w:p w14:paraId="46E3803B"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13s x 28 dynamics = 6:07</w:t>
            </w:r>
          </w:p>
        </w:tc>
      </w:tr>
      <w:tr w:rsidR="00773924" w:rsidRPr="006D76EE" w14:paraId="51B1E3A7" w14:textId="77777777" w:rsidTr="000B6C5F">
        <w:tc>
          <w:tcPr>
            <w:tcW w:w="988" w:type="dxa"/>
          </w:tcPr>
          <w:p w14:paraId="74EB9B2E" w14:textId="77777777" w:rsidR="00773924" w:rsidRDefault="00773924" w:rsidP="000B6C5F">
            <w:pPr>
              <w:spacing w:before="0" w:beforeAutospacing="0"/>
              <w:rPr>
                <w:rFonts w:asciiTheme="minorHAnsi" w:hAnsiTheme="minorHAnsi"/>
              </w:rPr>
            </w:pPr>
            <w:r w:rsidRPr="006D76EE">
              <w:rPr>
                <w:rFonts w:asciiTheme="minorHAnsi" w:hAnsiTheme="minorHAnsi"/>
              </w:rPr>
              <w:t>Axial T1w FS</w:t>
            </w:r>
          </w:p>
          <w:p w14:paraId="4838BDC8" w14:textId="6C287B7B" w:rsidR="0001575F" w:rsidRPr="006D76EE" w:rsidRDefault="0001575F" w:rsidP="000B6C5F">
            <w:pPr>
              <w:spacing w:before="0" w:beforeAutospacing="0"/>
              <w:rPr>
                <w:rFonts w:asciiTheme="minorHAnsi" w:hAnsiTheme="minorHAnsi"/>
              </w:rPr>
            </w:pPr>
            <w:r>
              <w:rPr>
                <w:rFonts w:asciiTheme="minorHAnsi" w:hAnsiTheme="minorHAnsi"/>
              </w:rPr>
              <w:t>TSE</w:t>
            </w:r>
          </w:p>
        </w:tc>
        <w:tc>
          <w:tcPr>
            <w:tcW w:w="567" w:type="dxa"/>
          </w:tcPr>
          <w:p w14:paraId="43D58A42"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w:t>
            </w:r>
          </w:p>
        </w:tc>
        <w:tc>
          <w:tcPr>
            <w:tcW w:w="1134" w:type="dxa"/>
          </w:tcPr>
          <w:p w14:paraId="7225CF54"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581/13/1</w:t>
            </w:r>
          </w:p>
        </w:tc>
        <w:tc>
          <w:tcPr>
            <w:tcW w:w="708" w:type="dxa"/>
          </w:tcPr>
          <w:p w14:paraId="2F8FC30D"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90</w:t>
            </w:r>
          </w:p>
        </w:tc>
        <w:tc>
          <w:tcPr>
            <w:tcW w:w="993" w:type="dxa"/>
          </w:tcPr>
          <w:p w14:paraId="393A952D"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160x160x92.4</w:t>
            </w:r>
          </w:p>
        </w:tc>
        <w:tc>
          <w:tcPr>
            <w:tcW w:w="708" w:type="dxa"/>
          </w:tcPr>
          <w:p w14:paraId="1779B5D1"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0.42</w:t>
            </w:r>
          </w:p>
        </w:tc>
        <w:tc>
          <w:tcPr>
            <w:tcW w:w="1134" w:type="dxa"/>
          </w:tcPr>
          <w:p w14:paraId="3340DDEE"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3/0.3</w:t>
            </w:r>
          </w:p>
        </w:tc>
        <w:tc>
          <w:tcPr>
            <w:tcW w:w="993" w:type="dxa"/>
          </w:tcPr>
          <w:p w14:paraId="5A8EC67B"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384x384</w:t>
            </w:r>
          </w:p>
        </w:tc>
        <w:tc>
          <w:tcPr>
            <w:tcW w:w="708" w:type="dxa"/>
          </w:tcPr>
          <w:p w14:paraId="3261406A"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w:t>
            </w:r>
          </w:p>
        </w:tc>
        <w:tc>
          <w:tcPr>
            <w:tcW w:w="1276" w:type="dxa"/>
          </w:tcPr>
          <w:p w14:paraId="57F0F348" w14:textId="77777777" w:rsidR="00773924" w:rsidRPr="006D76EE" w:rsidRDefault="00773924" w:rsidP="000B6C5F">
            <w:pPr>
              <w:spacing w:before="0" w:beforeAutospacing="0"/>
              <w:rPr>
                <w:rFonts w:asciiTheme="minorHAnsi" w:hAnsiTheme="minorHAnsi"/>
              </w:rPr>
            </w:pPr>
            <w:r w:rsidRPr="006D76EE">
              <w:rPr>
                <w:rFonts w:asciiTheme="minorHAnsi" w:hAnsiTheme="minorHAnsi"/>
              </w:rPr>
              <w:t>1:51</w:t>
            </w:r>
          </w:p>
        </w:tc>
      </w:tr>
    </w:tbl>
    <w:p w14:paraId="2A53B426" w14:textId="37AA1840" w:rsidR="000B6C5F" w:rsidRPr="000B6C5F" w:rsidRDefault="000B6C5F" w:rsidP="00773924">
      <w:pPr>
        <w:spacing w:before="0" w:beforeAutospacing="0" w:after="160" w:line="259" w:lineRule="auto"/>
        <w:rPr>
          <w:rFonts w:asciiTheme="minorHAnsi" w:hAnsiTheme="minorHAnsi"/>
          <w:b/>
        </w:rPr>
      </w:pPr>
      <w:r>
        <w:rPr>
          <w:rFonts w:asciiTheme="minorHAnsi" w:hAnsiTheme="minorHAnsi"/>
          <w:b/>
        </w:rPr>
        <w:t>SUPPLEMENTARY TABLE S1</w:t>
      </w:r>
    </w:p>
    <w:p w14:paraId="307756FC" w14:textId="4CC12FCD" w:rsidR="00773924" w:rsidRPr="006D76EE" w:rsidRDefault="00773924" w:rsidP="00773924">
      <w:pPr>
        <w:spacing w:before="0" w:beforeAutospacing="0" w:after="160" w:line="259" w:lineRule="auto"/>
        <w:rPr>
          <w:rFonts w:asciiTheme="minorHAnsi" w:hAnsiTheme="minorHAnsi"/>
        </w:rPr>
      </w:pPr>
      <w:r w:rsidRPr="006D76EE">
        <w:rPr>
          <w:rFonts w:asciiTheme="minorHAnsi" w:hAnsiTheme="minorHAnsi"/>
          <w:b/>
        </w:rPr>
        <w:t xml:space="preserve">Supplementary Table </w:t>
      </w:r>
      <w:r w:rsidR="008C3A3D">
        <w:rPr>
          <w:rFonts w:asciiTheme="minorHAnsi" w:hAnsiTheme="minorHAnsi"/>
          <w:b/>
        </w:rPr>
        <w:t>S</w:t>
      </w:r>
      <w:r w:rsidRPr="006D76EE">
        <w:rPr>
          <w:rFonts w:asciiTheme="minorHAnsi" w:hAnsiTheme="minorHAnsi"/>
          <w:b/>
        </w:rPr>
        <w:t xml:space="preserve">1 : </w:t>
      </w:r>
      <w:r w:rsidRPr="006D76EE">
        <w:rPr>
          <w:rFonts w:asciiTheme="minorHAnsi" w:hAnsiTheme="minorHAnsi"/>
          <w:u w:val="single"/>
        </w:rPr>
        <w:t>Sequences used in the MRI protocol</w:t>
      </w:r>
      <w:r w:rsidRPr="006D76EE">
        <w:rPr>
          <w:rFonts w:asciiTheme="minorHAnsi" w:hAnsiTheme="minorHAnsi"/>
        </w:rPr>
        <w:t xml:space="preserve"> (for Siemens Espree 1.5T). FS = fat-saturated, PD = proton density, GRE = gradient recalled echo, TSE = turbo spin echo. The total sequence time is 17 minutes.</w:t>
      </w:r>
    </w:p>
    <w:p w14:paraId="6D50C8CD" w14:textId="77777777" w:rsidR="00773924" w:rsidRDefault="00773924" w:rsidP="006D76EE">
      <w:pPr>
        <w:rPr>
          <w:rFonts w:asciiTheme="minorHAnsi" w:hAnsiTheme="minorHAnsi"/>
          <w:b/>
          <w:sz w:val="24"/>
          <w:szCs w:val="24"/>
        </w:rPr>
      </w:pPr>
    </w:p>
    <w:p w14:paraId="4F3456B5" w14:textId="77777777" w:rsidR="00773924" w:rsidRDefault="00773924" w:rsidP="006D76EE">
      <w:pPr>
        <w:rPr>
          <w:rFonts w:asciiTheme="minorHAnsi" w:hAnsiTheme="minorHAnsi"/>
          <w:b/>
          <w:sz w:val="24"/>
          <w:szCs w:val="24"/>
        </w:rPr>
      </w:pPr>
    </w:p>
    <w:p w14:paraId="25EF4FDF" w14:textId="77777777" w:rsidR="00773924" w:rsidRDefault="00773924" w:rsidP="006D76EE">
      <w:pPr>
        <w:rPr>
          <w:rFonts w:asciiTheme="minorHAnsi" w:hAnsiTheme="minorHAnsi"/>
          <w:b/>
          <w:sz w:val="24"/>
          <w:szCs w:val="24"/>
        </w:rPr>
      </w:pPr>
    </w:p>
    <w:p w14:paraId="68D7E9FD" w14:textId="77777777" w:rsidR="00773924" w:rsidRDefault="00773924" w:rsidP="006D76EE">
      <w:pPr>
        <w:rPr>
          <w:rFonts w:asciiTheme="minorHAnsi" w:hAnsiTheme="minorHAnsi"/>
          <w:b/>
          <w:sz w:val="24"/>
          <w:szCs w:val="24"/>
        </w:rPr>
      </w:pPr>
    </w:p>
    <w:p w14:paraId="3E386FCB" w14:textId="77777777" w:rsidR="00773924" w:rsidRDefault="00773924" w:rsidP="006D76EE">
      <w:pPr>
        <w:rPr>
          <w:rFonts w:asciiTheme="minorHAnsi" w:hAnsiTheme="minorHAnsi"/>
          <w:b/>
          <w:sz w:val="24"/>
          <w:szCs w:val="24"/>
        </w:rPr>
      </w:pPr>
    </w:p>
    <w:p w14:paraId="16259345" w14:textId="77777777" w:rsidR="00773924" w:rsidRDefault="00773924" w:rsidP="006D76EE">
      <w:pPr>
        <w:rPr>
          <w:rFonts w:asciiTheme="minorHAnsi" w:hAnsiTheme="minorHAnsi"/>
          <w:b/>
          <w:sz w:val="24"/>
          <w:szCs w:val="24"/>
        </w:rPr>
      </w:pPr>
    </w:p>
    <w:p w14:paraId="3A8F6D59" w14:textId="77777777" w:rsidR="00773924" w:rsidRDefault="00773924" w:rsidP="006D76EE">
      <w:pPr>
        <w:rPr>
          <w:rFonts w:asciiTheme="minorHAnsi" w:hAnsiTheme="minorHAnsi"/>
          <w:b/>
          <w:sz w:val="24"/>
          <w:szCs w:val="24"/>
        </w:rPr>
      </w:pPr>
    </w:p>
    <w:p w14:paraId="2B62BA69" w14:textId="77777777" w:rsidR="00773924" w:rsidRDefault="00773924" w:rsidP="006D76EE">
      <w:pPr>
        <w:rPr>
          <w:rFonts w:asciiTheme="minorHAnsi" w:hAnsiTheme="minorHAnsi"/>
          <w:b/>
          <w:sz w:val="24"/>
          <w:szCs w:val="24"/>
        </w:rPr>
      </w:pPr>
    </w:p>
    <w:p w14:paraId="05962823" w14:textId="77777777" w:rsidR="00773924" w:rsidRDefault="00773924" w:rsidP="006D76EE">
      <w:pPr>
        <w:rPr>
          <w:rFonts w:asciiTheme="minorHAnsi" w:hAnsiTheme="minorHAnsi"/>
          <w:b/>
          <w:sz w:val="24"/>
          <w:szCs w:val="24"/>
        </w:rPr>
      </w:pPr>
    </w:p>
    <w:p w14:paraId="6C8E7FF5" w14:textId="77777777" w:rsidR="00773924" w:rsidRDefault="00773924" w:rsidP="006D76EE">
      <w:pPr>
        <w:rPr>
          <w:rFonts w:asciiTheme="minorHAnsi" w:hAnsiTheme="minorHAnsi"/>
          <w:b/>
          <w:sz w:val="24"/>
          <w:szCs w:val="24"/>
        </w:rPr>
      </w:pPr>
    </w:p>
    <w:p w14:paraId="31CFD184" w14:textId="77777777" w:rsidR="00773924" w:rsidRDefault="00773924" w:rsidP="006D76EE">
      <w:pPr>
        <w:rPr>
          <w:rFonts w:asciiTheme="minorHAnsi" w:hAnsiTheme="minorHAnsi"/>
          <w:b/>
          <w:sz w:val="24"/>
          <w:szCs w:val="24"/>
        </w:rPr>
      </w:pPr>
    </w:p>
    <w:p w14:paraId="0CA58402" w14:textId="77777777" w:rsidR="00773924" w:rsidRDefault="00773924" w:rsidP="006D76EE">
      <w:pPr>
        <w:rPr>
          <w:rFonts w:asciiTheme="minorHAnsi" w:hAnsiTheme="minorHAnsi"/>
          <w:b/>
          <w:sz w:val="24"/>
          <w:szCs w:val="24"/>
        </w:rPr>
      </w:pPr>
    </w:p>
    <w:p w14:paraId="44C5E60A" w14:textId="77777777" w:rsidR="00773924" w:rsidRDefault="00773924" w:rsidP="006D76EE">
      <w:pPr>
        <w:rPr>
          <w:rFonts w:asciiTheme="minorHAnsi" w:hAnsiTheme="minorHAnsi"/>
          <w:b/>
          <w:sz w:val="24"/>
          <w:szCs w:val="24"/>
        </w:rPr>
      </w:pPr>
    </w:p>
    <w:p w14:paraId="634E5FFA" w14:textId="679E0259" w:rsidR="006D76EE" w:rsidRPr="006D76EE" w:rsidRDefault="006D76EE" w:rsidP="006D76EE">
      <w:pPr>
        <w:rPr>
          <w:rFonts w:asciiTheme="minorHAnsi" w:hAnsiTheme="minorHAnsi"/>
          <w:b/>
          <w:sz w:val="24"/>
          <w:szCs w:val="24"/>
        </w:rPr>
      </w:pPr>
      <w:r w:rsidRPr="006D76EE">
        <w:rPr>
          <w:rFonts w:asciiTheme="minorHAnsi" w:hAnsiTheme="minorHAnsi"/>
          <w:b/>
          <w:sz w:val="24"/>
          <w:szCs w:val="24"/>
        </w:rPr>
        <w:t>SUPPLEMENTARY REFERENCES</w:t>
      </w:r>
    </w:p>
    <w:p w14:paraId="50C4D263" w14:textId="6758A94A" w:rsidR="006D76EE" w:rsidRPr="006D76EE" w:rsidRDefault="006D76EE" w:rsidP="006D76EE">
      <w:pPr>
        <w:rPr>
          <w:rFonts w:asciiTheme="minorHAnsi" w:hAnsiTheme="minorHAnsi"/>
          <w:sz w:val="24"/>
          <w:szCs w:val="24"/>
        </w:rPr>
      </w:pPr>
      <w:r w:rsidRPr="006D76EE">
        <w:rPr>
          <w:rFonts w:asciiTheme="minorHAnsi" w:hAnsiTheme="minorHAnsi"/>
          <w:sz w:val="24"/>
          <w:szCs w:val="24"/>
        </w:rPr>
        <w:t xml:space="preserve">(S1) Bernstein MA, King KF, Zhou XJ. Handbook of MRI Pulse Sequences, </w:t>
      </w:r>
      <w:r w:rsidR="00CB3D63">
        <w:rPr>
          <w:rFonts w:asciiTheme="minorHAnsi" w:hAnsiTheme="minorHAnsi"/>
          <w:sz w:val="24"/>
          <w:szCs w:val="24"/>
        </w:rPr>
        <w:t>2004 Elsevier, p639</w:t>
      </w:r>
    </w:p>
    <w:p w14:paraId="29C7EE44" w14:textId="77777777" w:rsidR="006D76EE" w:rsidRPr="006D76EE" w:rsidRDefault="006D76EE" w:rsidP="006D76EE">
      <w:pPr>
        <w:rPr>
          <w:rFonts w:asciiTheme="minorHAnsi" w:hAnsiTheme="minorHAnsi"/>
          <w:sz w:val="24"/>
          <w:szCs w:val="24"/>
        </w:rPr>
      </w:pPr>
      <w:r w:rsidRPr="006D76EE">
        <w:rPr>
          <w:rFonts w:asciiTheme="minorHAnsi" w:hAnsiTheme="minorHAnsi"/>
          <w:sz w:val="24"/>
          <w:szCs w:val="24"/>
        </w:rPr>
        <w:t xml:space="preserve">(S2) Rohrer M, Bauer H, Mintorovitch J, Requardt M and Weinmann HJ. Comparison of magnetic properties of MRI contrast media solutions at different magnetic field strengths. </w:t>
      </w:r>
      <w:r w:rsidRPr="006D76EE">
        <w:rPr>
          <w:rFonts w:asciiTheme="minorHAnsi" w:hAnsiTheme="minorHAnsi"/>
          <w:i/>
          <w:sz w:val="24"/>
          <w:szCs w:val="24"/>
        </w:rPr>
        <w:t xml:space="preserve">Invest. Radiol. </w:t>
      </w:r>
      <w:r w:rsidRPr="006D76EE">
        <w:rPr>
          <w:rFonts w:asciiTheme="minorHAnsi" w:hAnsiTheme="minorHAnsi"/>
          <w:sz w:val="24"/>
          <w:szCs w:val="24"/>
        </w:rPr>
        <w:t>2005; 40(11): 715-24.</w:t>
      </w:r>
    </w:p>
    <w:p w14:paraId="760C796C" w14:textId="77777777" w:rsidR="006D76EE" w:rsidRPr="006D76EE" w:rsidRDefault="006D76EE" w:rsidP="006D76EE">
      <w:pPr>
        <w:rPr>
          <w:rFonts w:asciiTheme="minorHAnsi" w:hAnsiTheme="minorHAnsi"/>
          <w:sz w:val="24"/>
          <w:szCs w:val="24"/>
        </w:rPr>
      </w:pPr>
      <w:r w:rsidRPr="006D76EE">
        <w:rPr>
          <w:rFonts w:asciiTheme="minorHAnsi" w:hAnsiTheme="minorHAnsi"/>
          <w:sz w:val="24"/>
          <w:szCs w:val="24"/>
        </w:rPr>
        <w:t xml:space="preserve">(S3) Gold GE, Han E, Stainsby J, Wright G, Brittain J and Beaulieu C. Musculoskeletal MRI at 3.0T: relaxation times and image contrast. </w:t>
      </w:r>
      <w:r w:rsidRPr="006D76EE">
        <w:rPr>
          <w:rFonts w:asciiTheme="minorHAnsi" w:hAnsiTheme="minorHAnsi"/>
          <w:i/>
          <w:sz w:val="24"/>
          <w:szCs w:val="24"/>
        </w:rPr>
        <w:t>AJR</w:t>
      </w:r>
      <w:r w:rsidRPr="006D76EE">
        <w:rPr>
          <w:rFonts w:asciiTheme="minorHAnsi" w:hAnsiTheme="minorHAnsi"/>
        </w:rPr>
        <w:t xml:space="preserve"> </w:t>
      </w:r>
      <w:r w:rsidRPr="006D76EE">
        <w:rPr>
          <w:rFonts w:asciiTheme="minorHAnsi" w:hAnsiTheme="minorHAnsi"/>
          <w:sz w:val="24"/>
          <w:szCs w:val="24"/>
        </w:rPr>
        <w:t>2004; 183: 343-351.</w:t>
      </w:r>
    </w:p>
    <w:p w14:paraId="528C6A08" w14:textId="677B92BE" w:rsidR="006D76EE" w:rsidRPr="006D76EE" w:rsidRDefault="006D76EE" w:rsidP="00C854FE">
      <w:pPr>
        <w:rPr>
          <w:rFonts w:asciiTheme="minorHAnsi" w:hAnsiTheme="minorHAnsi"/>
        </w:rPr>
      </w:pPr>
      <w:r w:rsidRPr="006D76EE">
        <w:rPr>
          <w:rFonts w:asciiTheme="minorHAnsi" w:hAnsiTheme="minorHAnsi"/>
          <w:sz w:val="24"/>
          <w:szCs w:val="24"/>
        </w:rPr>
        <w:t xml:space="preserve">(S4) Hodgson RJ, Barnes T, Connolly S, Eyes B, Campbell RSD and Moots R. Changes underlying the dynamic contrast-enhanced MRI response to treatment in rheumatoid arthritis. </w:t>
      </w:r>
      <w:r w:rsidRPr="006D76EE">
        <w:rPr>
          <w:rFonts w:asciiTheme="minorHAnsi" w:hAnsiTheme="minorHAnsi"/>
          <w:i/>
          <w:sz w:val="24"/>
          <w:szCs w:val="24"/>
        </w:rPr>
        <w:t xml:space="preserve">Skeletal Radiol. </w:t>
      </w:r>
      <w:r w:rsidRPr="006D76EE">
        <w:rPr>
          <w:rFonts w:asciiTheme="minorHAnsi" w:hAnsiTheme="minorHAnsi"/>
          <w:sz w:val="24"/>
          <w:szCs w:val="24"/>
        </w:rPr>
        <w:t>2008; 37: 201-207.</w:t>
      </w:r>
    </w:p>
    <w:sectPr w:rsidR="006D76EE" w:rsidRPr="006D76EE" w:rsidSect="0042456A">
      <w:footerReference w:type="default" r:id="rId9"/>
      <w:pgSz w:w="11906" w:h="16838"/>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A6383F" w14:textId="77777777" w:rsidR="00430E77" w:rsidRDefault="00430E77" w:rsidP="00430E77">
      <w:pPr>
        <w:spacing w:before="0"/>
      </w:pPr>
      <w:r>
        <w:separator/>
      </w:r>
    </w:p>
  </w:endnote>
  <w:endnote w:type="continuationSeparator" w:id="0">
    <w:p w14:paraId="070E9B9C" w14:textId="77777777" w:rsidR="00430E77" w:rsidRDefault="00430E77" w:rsidP="00430E7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Segoe UI">
    <w:altName w:val="Sylfaen"/>
    <w:panose1 w:val="020B0502040204020203"/>
    <w:charset w:val="00"/>
    <w:family w:val="swiss"/>
    <w:pitch w:val="variable"/>
    <w:sig w:usb0="E4002EFF" w:usb1="C000E47F" w:usb2="00000009" w:usb3="00000000" w:csb0="000001FF" w:csb1="00000000"/>
  </w:font>
  <w:font w:name="Yu Mincho">
    <w:altName w:val="游明朝"/>
    <w:panose1 w:val="00000000000000000000"/>
    <w:charset w:val="80"/>
    <w:family w:val="roman"/>
    <w:notTrueType/>
    <w:pitch w:val="default"/>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45392308"/>
      <w:docPartObj>
        <w:docPartGallery w:val="Page Numbers (Bottom of Page)"/>
        <w:docPartUnique/>
      </w:docPartObj>
    </w:sdtPr>
    <w:sdtEndPr>
      <w:rPr>
        <w:noProof/>
      </w:rPr>
    </w:sdtEndPr>
    <w:sdtContent>
      <w:p w14:paraId="2412A144" w14:textId="482C82B7" w:rsidR="00430E77" w:rsidRDefault="00430E77">
        <w:pPr>
          <w:pStyle w:val="Footer"/>
          <w:jc w:val="right"/>
        </w:pPr>
        <w:r>
          <w:fldChar w:fldCharType="begin"/>
        </w:r>
        <w:r>
          <w:instrText xml:space="preserve"> PAGE   \* MERGEFORMAT </w:instrText>
        </w:r>
        <w:r>
          <w:fldChar w:fldCharType="separate"/>
        </w:r>
        <w:r w:rsidR="00A1324D">
          <w:rPr>
            <w:noProof/>
          </w:rPr>
          <w:t>6</w:t>
        </w:r>
        <w:r>
          <w:rPr>
            <w:noProof/>
          </w:rPr>
          <w:fldChar w:fldCharType="end"/>
        </w:r>
      </w:p>
    </w:sdtContent>
  </w:sdt>
  <w:p w14:paraId="1FF07E73" w14:textId="77777777" w:rsidR="00430E77" w:rsidRDefault="00430E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C601ED" w14:textId="77777777" w:rsidR="00430E77" w:rsidRDefault="00430E77" w:rsidP="00430E77">
      <w:pPr>
        <w:spacing w:before="0"/>
      </w:pPr>
      <w:r>
        <w:separator/>
      </w:r>
    </w:p>
  </w:footnote>
  <w:footnote w:type="continuationSeparator" w:id="0">
    <w:p w14:paraId="6125CAB6" w14:textId="77777777" w:rsidR="00430E77" w:rsidRDefault="00430E77" w:rsidP="00430E77">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E386D"/>
    <w:multiLevelType w:val="hybridMultilevel"/>
    <w:tmpl w:val="E436A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AC4F58"/>
    <w:multiLevelType w:val="hybridMultilevel"/>
    <w:tmpl w:val="96B8979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47166F2"/>
    <w:multiLevelType w:val="hybridMultilevel"/>
    <w:tmpl w:val="263E8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91C0029"/>
    <w:multiLevelType w:val="hybridMultilevel"/>
    <w:tmpl w:val="82E874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691C16BB"/>
    <w:multiLevelType w:val="hybridMultilevel"/>
    <w:tmpl w:val="16BC9F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FF77917"/>
    <w:multiLevelType w:val="hybridMultilevel"/>
    <w:tmpl w:val="61A6AF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5"/>
  </w:num>
  <w:num w:numId="4">
    <w:abstractNumId w:val="0"/>
  </w:num>
  <w:num w:numId="5">
    <w:abstractNumId w:val="3"/>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489F"/>
    <w:rsid w:val="0001575F"/>
    <w:rsid w:val="000328FE"/>
    <w:rsid w:val="00041442"/>
    <w:rsid w:val="000A52E1"/>
    <w:rsid w:val="000B6C5F"/>
    <w:rsid w:val="000F3CCE"/>
    <w:rsid w:val="001323CD"/>
    <w:rsid w:val="00136748"/>
    <w:rsid w:val="0016066C"/>
    <w:rsid w:val="00167D25"/>
    <w:rsid w:val="001816E6"/>
    <w:rsid w:val="0019489F"/>
    <w:rsid w:val="001B020E"/>
    <w:rsid w:val="001D18D1"/>
    <w:rsid w:val="001D7BD5"/>
    <w:rsid w:val="001F6280"/>
    <w:rsid w:val="00221A96"/>
    <w:rsid w:val="00224435"/>
    <w:rsid w:val="00266492"/>
    <w:rsid w:val="00294AA8"/>
    <w:rsid w:val="002A772C"/>
    <w:rsid w:val="002B4D79"/>
    <w:rsid w:val="002D6E58"/>
    <w:rsid w:val="002E03D2"/>
    <w:rsid w:val="003468D3"/>
    <w:rsid w:val="003A2E4D"/>
    <w:rsid w:val="003C5147"/>
    <w:rsid w:val="003E1DE9"/>
    <w:rsid w:val="003E5AE0"/>
    <w:rsid w:val="003F12C0"/>
    <w:rsid w:val="0042456A"/>
    <w:rsid w:val="00430E77"/>
    <w:rsid w:val="00436348"/>
    <w:rsid w:val="00470E60"/>
    <w:rsid w:val="00497938"/>
    <w:rsid w:val="0053524C"/>
    <w:rsid w:val="00535E29"/>
    <w:rsid w:val="0056195A"/>
    <w:rsid w:val="005679B1"/>
    <w:rsid w:val="005715C8"/>
    <w:rsid w:val="005B6730"/>
    <w:rsid w:val="00630951"/>
    <w:rsid w:val="00637DAF"/>
    <w:rsid w:val="0065345B"/>
    <w:rsid w:val="00664B43"/>
    <w:rsid w:val="00681DF0"/>
    <w:rsid w:val="006D76EE"/>
    <w:rsid w:val="007079A0"/>
    <w:rsid w:val="007108A4"/>
    <w:rsid w:val="00730972"/>
    <w:rsid w:val="00773924"/>
    <w:rsid w:val="00777B69"/>
    <w:rsid w:val="007837AB"/>
    <w:rsid w:val="00791FCD"/>
    <w:rsid w:val="007A647E"/>
    <w:rsid w:val="007B222F"/>
    <w:rsid w:val="007B6EFE"/>
    <w:rsid w:val="00803F40"/>
    <w:rsid w:val="0081137D"/>
    <w:rsid w:val="008241E2"/>
    <w:rsid w:val="00830FC5"/>
    <w:rsid w:val="00841550"/>
    <w:rsid w:val="008557E0"/>
    <w:rsid w:val="0088257D"/>
    <w:rsid w:val="00885B70"/>
    <w:rsid w:val="00890646"/>
    <w:rsid w:val="008C3A3D"/>
    <w:rsid w:val="008D2706"/>
    <w:rsid w:val="008E2229"/>
    <w:rsid w:val="008E5820"/>
    <w:rsid w:val="00915C4D"/>
    <w:rsid w:val="009420B6"/>
    <w:rsid w:val="009A6B1E"/>
    <w:rsid w:val="009C0105"/>
    <w:rsid w:val="009C76BC"/>
    <w:rsid w:val="009D69C1"/>
    <w:rsid w:val="00A1230C"/>
    <w:rsid w:val="00A1324D"/>
    <w:rsid w:val="00A341C7"/>
    <w:rsid w:val="00A56BF7"/>
    <w:rsid w:val="00A6733C"/>
    <w:rsid w:val="00AC1DDE"/>
    <w:rsid w:val="00AF72FB"/>
    <w:rsid w:val="00B05750"/>
    <w:rsid w:val="00B4237D"/>
    <w:rsid w:val="00B61EE0"/>
    <w:rsid w:val="00B82A7D"/>
    <w:rsid w:val="00B86E98"/>
    <w:rsid w:val="00BD2EE0"/>
    <w:rsid w:val="00BD7550"/>
    <w:rsid w:val="00BE2175"/>
    <w:rsid w:val="00C015BD"/>
    <w:rsid w:val="00C519C9"/>
    <w:rsid w:val="00C52ABF"/>
    <w:rsid w:val="00C565F0"/>
    <w:rsid w:val="00C854FE"/>
    <w:rsid w:val="00CA0760"/>
    <w:rsid w:val="00CB3D63"/>
    <w:rsid w:val="00CB3E78"/>
    <w:rsid w:val="00D12304"/>
    <w:rsid w:val="00D44577"/>
    <w:rsid w:val="00D67D2C"/>
    <w:rsid w:val="00D81420"/>
    <w:rsid w:val="00D829EB"/>
    <w:rsid w:val="00DF1786"/>
    <w:rsid w:val="00DF53D0"/>
    <w:rsid w:val="00E01592"/>
    <w:rsid w:val="00E04C72"/>
    <w:rsid w:val="00E371A3"/>
    <w:rsid w:val="00E44929"/>
    <w:rsid w:val="00EE1A95"/>
    <w:rsid w:val="00EE674E"/>
    <w:rsid w:val="00F9394F"/>
  </w:rsids>
  <m:mathPr>
    <m:mathFont m:val="Cambria Math"/>
    <m:brkBin m:val="before"/>
    <m:brkBinSub m:val="--"/>
    <m:smallFrac/>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C4BB8A"/>
  <w15:docId w15:val="{F4638E84-B14F-4D97-92E8-9912BDD6E4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E03D2"/>
    <w:pPr>
      <w:spacing w:before="100" w:beforeAutospacing="1" w:after="0" w:line="240" w:lineRule="auto"/>
    </w:pPr>
    <w:rPr>
      <w:rFonts w:ascii="Calibri" w:eastAsia="MS Mincho" w:hAnsi="Calibri" w:cs="Times New Roma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E03D2"/>
    <w:pPr>
      <w:spacing w:after="0" w:line="240" w:lineRule="auto"/>
    </w:pPr>
    <w:rPr>
      <w:rFonts w:ascii="Calibri" w:eastAsia="MS Mincho" w:hAnsi="Calibri"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535E29"/>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35E29"/>
    <w:rPr>
      <w:rFonts w:ascii="Segoe UI" w:eastAsia="MS Mincho" w:hAnsi="Segoe UI" w:cs="Segoe UI"/>
      <w:sz w:val="18"/>
      <w:szCs w:val="18"/>
      <w:lang w:eastAsia="zh-CN"/>
    </w:rPr>
  </w:style>
  <w:style w:type="character" w:styleId="CommentReference">
    <w:name w:val="annotation reference"/>
    <w:basedOn w:val="DefaultParagraphFont"/>
    <w:uiPriority w:val="99"/>
    <w:semiHidden/>
    <w:unhideWhenUsed/>
    <w:rsid w:val="00EE1A95"/>
    <w:rPr>
      <w:sz w:val="18"/>
      <w:szCs w:val="18"/>
    </w:rPr>
  </w:style>
  <w:style w:type="paragraph" w:styleId="CommentText">
    <w:name w:val="annotation text"/>
    <w:basedOn w:val="Normal"/>
    <w:link w:val="CommentTextChar"/>
    <w:uiPriority w:val="99"/>
    <w:semiHidden/>
    <w:unhideWhenUsed/>
    <w:rsid w:val="00EE1A95"/>
    <w:rPr>
      <w:sz w:val="24"/>
      <w:szCs w:val="24"/>
    </w:rPr>
  </w:style>
  <w:style w:type="character" w:customStyle="1" w:styleId="CommentTextChar">
    <w:name w:val="Comment Text Char"/>
    <w:basedOn w:val="DefaultParagraphFont"/>
    <w:link w:val="CommentText"/>
    <w:uiPriority w:val="99"/>
    <w:semiHidden/>
    <w:rsid w:val="00EE1A95"/>
    <w:rPr>
      <w:rFonts w:ascii="Calibri" w:eastAsia="MS Mincho" w:hAnsi="Calibri" w:cs="Times New Roman"/>
      <w:sz w:val="24"/>
      <w:szCs w:val="24"/>
      <w:lang w:eastAsia="zh-CN"/>
    </w:rPr>
  </w:style>
  <w:style w:type="paragraph" w:styleId="CommentSubject">
    <w:name w:val="annotation subject"/>
    <w:basedOn w:val="CommentText"/>
    <w:next w:val="CommentText"/>
    <w:link w:val="CommentSubjectChar"/>
    <w:uiPriority w:val="99"/>
    <w:semiHidden/>
    <w:unhideWhenUsed/>
    <w:rsid w:val="00EE1A95"/>
    <w:rPr>
      <w:b/>
      <w:bCs/>
      <w:sz w:val="20"/>
      <w:szCs w:val="20"/>
    </w:rPr>
  </w:style>
  <w:style w:type="character" w:customStyle="1" w:styleId="CommentSubjectChar">
    <w:name w:val="Comment Subject Char"/>
    <w:basedOn w:val="CommentTextChar"/>
    <w:link w:val="CommentSubject"/>
    <w:uiPriority w:val="99"/>
    <w:semiHidden/>
    <w:rsid w:val="00EE1A95"/>
    <w:rPr>
      <w:rFonts w:ascii="Calibri" w:eastAsia="MS Mincho" w:hAnsi="Calibri" w:cs="Times New Roman"/>
      <w:b/>
      <w:bCs/>
      <w:sz w:val="20"/>
      <w:szCs w:val="20"/>
      <w:lang w:eastAsia="zh-CN"/>
    </w:rPr>
  </w:style>
  <w:style w:type="paragraph" w:styleId="ListParagraph">
    <w:name w:val="List Paragraph"/>
    <w:basedOn w:val="Normal"/>
    <w:uiPriority w:val="34"/>
    <w:qFormat/>
    <w:rsid w:val="00294AA8"/>
    <w:pPr>
      <w:spacing w:before="0" w:beforeAutospacing="0"/>
      <w:ind w:left="720"/>
      <w:contextualSpacing/>
    </w:pPr>
    <w:rPr>
      <w:rFonts w:asciiTheme="minorHAnsi" w:eastAsiaTheme="minorEastAsia" w:hAnsiTheme="minorHAnsi" w:cstheme="minorBidi"/>
      <w:sz w:val="24"/>
      <w:szCs w:val="24"/>
      <w:lang w:val="en-US" w:eastAsia="en-US"/>
    </w:rPr>
  </w:style>
  <w:style w:type="table" w:customStyle="1" w:styleId="TableGrid1">
    <w:name w:val="Table Grid1"/>
    <w:basedOn w:val="TableNormal"/>
    <w:next w:val="TableGrid"/>
    <w:uiPriority w:val="59"/>
    <w:rsid w:val="006D76EE"/>
    <w:pPr>
      <w:spacing w:after="0" w:line="240" w:lineRule="auto"/>
    </w:pPr>
    <w:rPr>
      <w:rFonts w:ascii="Cambria" w:eastAsia="Cambria" w:hAnsi="Cambria"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30E77"/>
    <w:pPr>
      <w:tabs>
        <w:tab w:val="center" w:pos="4513"/>
        <w:tab w:val="right" w:pos="9026"/>
      </w:tabs>
      <w:spacing w:before="0"/>
    </w:pPr>
  </w:style>
  <w:style w:type="character" w:customStyle="1" w:styleId="HeaderChar">
    <w:name w:val="Header Char"/>
    <w:basedOn w:val="DefaultParagraphFont"/>
    <w:link w:val="Header"/>
    <w:uiPriority w:val="99"/>
    <w:rsid w:val="00430E77"/>
    <w:rPr>
      <w:rFonts w:ascii="Calibri" w:eastAsia="MS Mincho" w:hAnsi="Calibri" w:cs="Times New Roman"/>
      <w:lang w:eastAsia="zh-CN"/>
    </w:rPr>
  </w:style>
  <w:style w:type="paragraph" w:styleId="Footer">
    <w:name w:val="footer"/>
    <w:basedOn w:val="Normal"/>
    <w:link w:val="FooterChar"/>
    <w:uiPriority w:val="99"/>
    <w:unhideWhenUsed/>
    <w:rsid w:val="00430E77"/>
    <w:pPr>
      <w:tabs>
        <w:tab w:val="center" w:pos="4513"/>
        <w:tab w:val="right" w:pos="9026"/>
      </w:tabs>
      <w:spacing w:before="0"/>
    </w:pPr>
  </w:style>
  <w:style w:type="character" w:customStyle="1" w:styleId="FooterChar">
    <w:name w:val="Footer Char"/>
    <w:basedOn w:val="DefaultParagraphFont"/>
    <w:link w:val="Footer"/>
    <w:uiPriority w:val="99"/>
    <w:rsid w:val="00430E77"/>
    <w:rPr>
      <w:rFonts w:ascii="Calibri" w:eastAsia="MS Mincho" w:hAnsi="Calibri" w:cs="Times New Roman"/>
      <w:lang w:eastAsia="zh-CN"/>
    </w:rPr>
  </w:style>
  <w:style w:type="character" w:styleId="LineNumber">
    <w:name w:val="line number"/>
    <w:basedOn w:val="DefaultParagraphFont"/>
    <w:uiPriority w:val="99"/>
    <w:semiHidden/>
    <w:unhideWhenUsed/>
    <w:rsid w:val="00430E77"/>
  </w:style>
  <w:style w:type="paragraph" w:styleId="NoSpacing">
    <w:name w:val="No Spacing"/>
    <w:uiPriority w:val="1"/>
    <w:qFormat/>
    <w:rsid w:val="001D7BD5"/>
    <w:pPr>
      <w:spacing w:beforeAutospacing="1" w:after="0" w:line="240" w:lineRule="auto"/>
    </w:pPr>
    <w:rPr>
      <w:rFonts w:ascii="Calibri" w:eastAsia="MS Mincho" w:hAnsi="Calibri"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284</TotalTime>
  <Pages>10</Pages>
  <Words>1877</Words>
  <Characters>10704</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Kieren Hollingsworth</dc:creator>
  <cp:keywords/>
  <dc:description/>
  <cp:lastModifiedBy>Kieren Hollingsworth</cp:lastModifiedBy>
  <cp:revision>30</cp:revision>
  <cp:lastPrinted>2019-08-20T10:55:00Z</cp:lastPrinted>
  <dcterms:created xsi:type="dcterms:W3CDTF">2019-02-13T12:00:00Z</dcterms:created>
  <dcterms:modified xsi:type="dcterms:W3CDTF">2019-09-11T12:42:00Z</dcterms:modified>
</cp:coreProperties>
</file>