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9F5F7" w14:textId="77777777" w:rsidR="00D870E3" w:rsidRDefault="00D870E3" w:rsidP="00D870E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material </w:t>
      </w:r>
    </w:p>
    <w:p w14:paraId="5F4DDD5E" w14:textId="01B0B72B" w:rsidR="00D870E3" w:rsidRPr="00D870E3" w:rsidRDefault="00D870E3" w:rsidP="00D870E3">
      <w:pPr>
        <w:spacing w:line="360" w:lineRule="auto"/>
        <w:jc w:val="both"/>
        <w:rPr>
          <w:rFonts w:ascii="Arial" w:hAnsi="Arial" w:cs="Arial"/>
          <w:u w:val="single"/>
        </w:rPr>
      </w:pPr>
      <w:r w:rsidRPr="00D870E3">
        <w:rPr>
          <w:rFonts w:ascii="Arial" w:hAnsi="Arial" w:cs="Arial"/>
          <w:u w:val="single"/>
        </w:rPr>
        <w:t>Supplementary data S1</w:t>
      </w:r>
      <w:r w:rsidR="00C81971">
        <w:rPr>
          <w:rFonts w:ascii="Arial" w:hAnsi="Arial" w:cs="Arial"/>
          <w:u w:val="single"/>
        </w:rPr>
        <w:t>: Search terms</w:t>
      </w:r>
    </w:p>
    <w:p w14:paraId="49325AC8" w14:textId="77777777" w:rsidR="00FB2E9C" w:rsidRDefault="00D870E3" w:rsidP="00FB2E9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870E3">
        <w:rPr>
          <w:rFonts w:ascii="Arial" w:hAnsi="Arial" w:cs="Arial"/>
        </w:rPr>
        <w:t>PubMed search terms</w:t>
      </w:r>
    </w:p>
    <w:p w14:paraId="1E25A136" w14:textId="04B84AD4" w:rsidR="00D870E3" w:rsidRDefault="00D870E3" w:rsidP="001F2971">
      <w:pPr>
        <w:pStyle w:val="ListParagraph"/>
        <w:spacing w:line="360" w:lineRule="auto"/>
        <w:ind w:left="360"/>
        <w:jc w:val="both"/>
        <w:rPr>
          <w:rFonts w:ascii="Arial" w:hAnsi="Arial" w:cs="Arial"/>
        </w:rPr>
      </w:pPr>
      <w:r w:rsidRPr="00FB2E9C">
        <w:rPr>
          <w:rFonts w:ascii="Arial" w:hAnsi="Arial" w:cs="Arial"/>
        </w:rPr>
        <w:t xml:space="preserve">(pediatric OR children OR infants OR juvenile OR neonatal OR teen OR adolescent) AND (abatacept OR adalimumab OR anakinra OR baricitinib OR </w:t>
      </w:r>
      <w:proofErr w:type="spellStart"/>
      <w:r w:rsidRPr="00FB2E9C">
        <w:rPr>
          <w:rFonts w:ascii="Arial" w:hAnsi="Arial" w:cs="Arial"/>
        </w:rPr>
        <w:t>belimumab</w:t>
      </w:r>
      <w:proofErr w:type="spellEnd"/>
      <w:r w:rsidRPr="00FB2E9C">
        <w:rPr>
          <w:rFonts w:ascii="Arial" w:hAnsi="Arial" w:cs="Arial"/>
        </w:rPr>
        <w:t xml:space="preserve"> OR</w:t>
      </w:r>
      <w:r w:rsidR="00D05085">
        <w:rPr>
          <w:rFonts w:ascii="Arial" w:hAnsi="Arial" w:cs="Arial"/>
        </w:rPr>
        <w:t xml:space="preserve"> </w:t>
      </w:r>
      <w:proofErr w:type="spellStart"/>
      <w:r w:rsidR="00D05085">
        <w:rPr>
          <w:rFonts w:ascii="Arial" w:hAnsi="Arial" w:cs="Arial"/>
        </w:rPr>
        <w:t>brodalumab</w:t>
      </w:r>
      <w:proofErr w:type="spellEnd"/>
      <w:r w:rsidR="00D05085">
        <w:rPr>
          <w:rFonts w:ascii="Arial" w:hAnsi="Arial" w:cs="Arial"/>
        </w:rPr>
        <w:t xml:space="preserve"> OR</w:t>
      </w:r>
      <w:r w:rsidRPr="00FB2E9C">
        <w:rPr>
          <w:rFonts w:ascii="Arial" w:hAnsi="Arial" w:cs="Arial"/>
        </w:rPr>
        <w:t xml:space="preserve"> </w:t>
      </w:r>
      <w:proofErr w:type="spellStart"/>
      <w:r w:rsidRPr="00FB2E9C">
        <w:rPr>
          <w:rFonts w:ascii="Arial" w:hAnsi="Arial" w:cs="Arial"/>
        </w:rPr>
        <w:t>canakinumab</w:t>
      </w:r>
      <w:proofErr w:type="spellEnd"/>
      <w:r w:rsidRPr="00FB2E9C">
        <w:rPr>
          <w:rFonts w:ascii="Arial" w:hAnsi="Arial" w:cs="Arial"/>
        </w:rPr>
        <w:t xml:space="preserve"> OR certolizumab OR etanercept OR </w:t>
      </w:r>
      <w:proofErr w:type="spellStart"/>
      <w:r w:rsidRPr="00FB2E9C">
        <w:rPr>
          <w:rFonts w:ascii="Arial" w:hAnsi="Arial" w:cs="Arial"/>
        </w:rPr>
        <w:t>golimumab</w:t>
      </w:r>
      <w:proofErr w:type="spellEnd"/>
      <w:r w:rsidRPr="00FB2E9C">
        <w:rPr>
          <w:rFonts w:ascii="Arial" w:hAnsi="Arial" w:cs="Arial"/>
        </w:rPr>
        <w:t xml:space="preserve"> OR</w:t>
      </w:r>
      <w:r w:rsidR="00D05085">
        <w:rPr>
          <w:rFonts w:ascii="Arial" w:hAnsi="Arial" w:cs="Arial"/>
        </w:rPr>
        <w:t xml:space="preserve"> </w:t>
      </w:r>
      <w:proofErr w:type="spellStart"/>
      <w:r w:rsidR="00D05085">
        <w:rPr>
          <w:rFonts w:ascii="Arial" w:hAnsi="Arial" w:cs="Arial"/>
        </w:rPr>
        <w:t>guselkumab</w:t>
      </w:r>
      <w:proofErr w:type="spellEnd"/>
      <w:r w:rsidR="00D05085">
        <w:rPr>
          <w:rFonts w:ascii="Arial" w:hAnsi="Arial" w:cs="Arial"/>
        </w:rPr>
        <w:t xml:space="preserve"> OR</w:t>
      </w:r>
      <w:r w:rsidRPr="00FB2E9C">
        <w:rPr>
          <w:rFonts w:ascii="Arial" w:hAnsi="Arial" w:cs="Arial"/>
        </w:rPr>
        <w:t xml:space="preserve"> infliximab OR </w:t>
      </w:r>
      <w:proofErr w:type="spellStart"/>
      <w:r w:rsidR="00D05085">
        <w:rPr>
          <w:rFonts w:ascii="Arial" w:hAnsi="Arial" w:cs="Arial"/>
        </w:rPr>
        <w:t>ixekizumab</w:t>
      </w:r>
      <w:proofErr w:type="spellEnd"/>
      <w:r w:rsidR="00D05085">
        <w:rPr>
          <w:rFonts w:ascii="Arial" w:hAnsi="Arial" w:cs="Arial"/>
        </w:rPr>
        <w:t xml:space="preserve"> OR </w:t>
      </w:r>
      <w:proofErr w:type="spellStart"/>
      <w:r w:rsidR="00BB0DC8">
        <w:rPr>
          <w:rFonts w:ascii="Arial" w:hAnsi="Arial" w:cs="Arial"/>
        </w:rPr>
        <w:t>risankizumab</w:t>
      </w:r>
      <w:proofErr w:type="spellEnd"/>
      <w:r w:rsidR="00BB0DC8">
        <w:rPr>
          <w:rFonts w:ascii="Arial" w:hAnsi="Arial" w:cs="Arial"/>
        </w:rPr>
        <w:t xml:space="preserve"> OR</w:t>
      </w:r>
      <w:r w:rsidR="00BB0DC8" w:rsidRPr="00FB2E9C">
        <w:rPr>
          <w:rFonts w:ascii="Arial" w:hAnsi="Arial" w:cs="Arial"/>
        </w:rPr>
        <w:t xml:space="preserve"> </w:t>
      </w:r>
      <w:proofErr w:type="spellStart"/>
      <w:r w:rsidRPr="00FB2E9C">
        <w:rPr>
          <w:rFonts w:ascii="Arial" w:hAnsi="Arial" w:cs="Arial"/>
        </w:rPr>
        <w:t>rilanocept</w:t>
      </w:r>
      <w:proofErr w:type="spellEnd"/>
      <w:r w:rsidRPr="00FB2E9C">
        <w:rPr>
          <w:rFonts w:ascii="Arial" w:hAnsi="Arial" w:cs="Arial"/>
        </w:rPr>
        <w:t xml:space="preserve"> OR rituximab OR </w:t>
      </w:r>
      <w:proofErr w:type="spellStart"/>
      <w:r w:rsidR="00D05085">
        <w:rPr>
          <w:rFonts w:ascii="Arial" w:hAnsi="Arial" w:cs="Arial"/>
        </w:rPr>
        <w:t>sarilumab</w:t>
      </w:r>
      <w:proofErr w:type="spellEnd"/>
      <w:r w:rsidR="00D05085">
        <w:rPr>
          <w:rFonts w:ascii="Arial" w:hAnsi="Arial" w:cs="Arial"/>
        </w:rPr>
        <w:t xml:space="preserve"> OR </w:t>
      </w:r>
      <w:proofErr w:type="spellStart"/>
      <w:r w:rsidRPr="00FB2E9C">
        <w:rPr>
          <w:rFonts w:ascii="Arial" w:hAnsi="Arial" w:cs="Arial"/>
        </w:rPr>
        <w:t>secukinumab</w:t>
      </w:r>
      <w:proofErr w:type="spellEnd"/>
      <w:r w:rsidRPr="00FB2E9C">
        <w:rPr>
          <w:rFonts w:ascii="Arial" w:hAnsi="Arial" w:cs="Arial"/>
        </w:rPr>
        <w:t xml:space="preserve"> OR </w:t>
      </w:r>
      <w:proofErr w:type="spellStart"/>
      <w:r w:rsidR="00D05085">
        <w:rPr>
          <w:rFonts w:ascii="Arial" w:hAnsi="Arial" w:cs="Arial"/>
        </w:rPr>
        <w:t>tildrakizumab</w:t>
      </w:r>
      <w:proofErr w:type="spellEnd"/>
      <w:r w:rsidR="00D05085">
        <w:rPr>
          <w:rFonts w:ascii="Arial" w:hAnsi="Arial" w:cs="Arial"/>
        </w:rPr>
        <w:t xml:space="preserve"> OR </w:t>
      </w:r>
      <w:r w:rsidRPr="00FB2E9C">
        <w:rPr>
          <w:rFonts w:ascii="Arial" w:hAnsi="Arial" w:cs="Arial"/>
        </w:rPr>
        <w:t>tocilizumab OR tofacitinib OR upadacitinib OR ustekinumab OR Janus kinase OR JAK inhibitor) AND randomized controlled trial [publication type]</w:t>
      </w:r>
      <w:r w:rsidR="00F00CBE">
        <w:rPr>
          <w:rFonts w:ascii="Arial" w:hAnsi="Arial" w:cs="Arial"/>
        </w:rPr>
        <w:t xml:space="preserve"> AND English</w:t>
      </w:r>
    </w:p>
    <w:p w14:paraId="2D1B50AD" w14:textId="77777777" w:rsidR="001F2971" w:rsidRPr="00D6191A" w:rsidRDefault="001F2971" w:rsidP="001F2971">
      <w:pPr>
        <w:pStyle w:val="ListParagraph"/>
        <w:spacing w:line="360" w:lineRule="auto"/>
        <w:ind w:left="360"/>
        <w:jc w:val="both"/>
        <w:rPr>
          <w:rFonts w:ascii="Arial" w:hAnsi="Arial" w:cs="Arial"/>
        </w:rPr>
      </w:pPr>
    </w:p>
    <w:p w14:paraId="24A64BFE" w14:textId="77777777" w:rsidR="00FB2E9C" w:rsidRDefault="00D870E3" w:rsidP="00FB2E9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870E3">
        <w:rPr>
          <w:rFonts w:ascii="Arial" w:hAnsi="Arial" w:cs="Arial"/>
        </w:rPr>
        <w:t>Clinicaltrials.gov search terms</w:t>
      </w:r>
    </w:p>
    <w:p w14:paraId="1ABE0BAB" w14:textId="77777777" w:rsidR="00D870E3" w:rsidRPr="00FB2E9C" w:rsidRDefault="00D870E3" w:rsidP="00FB2E9C">
      <w:pPr>
        <w:pStyle w:val="ListParagraph"/>
        <w:spacing w:line="360" w:lineRule="auto"/>
        <w:ind w:left="360"/>
        <w:jc w:val="both"/>
        <w:rPr>
          <w:rFonts w:ascii="Arial" w:hAnsi="Arial" w:cs="Arial"/>
        </w:rPr>
      </w:pPr>
      <w:r w:rsidRPr="00FB2E9C">
        <w:rPr>
          <w:rFonts w:ascii="Arial" w:hAnsi="Arial" w:cs="Arial"/>
        </w:rPr>
        <w:t>For each drug listed in the inclusion criteria, the following search filter was applied: Interventional Studies (Clinical Trials) AND Child (birth-17) AND Studies with Results. To find recruiting studies, the “Studies with Results” filter was not included in the search terms.</w:t>
      </w:r>
    </w:p>
    <w:p w14:paraId="629B503F" w14:textId="2BBA5FDD" w:rsidR="001F2971" w:rsidRDefault="001F2971" w:rsidP="00D870E3">
      <w:pPr>
        <w:spacing w:line="360" w:lineRule="auto"/>
        <w:jc w:val="both"/>
        <w:rPr>
          <w:rFonts w:ascii="Arial" w:hAnsi="Arial" w:cs="Arial"/>
        </w:rPr>
      </w:pPr>
    </w:p>
    <w:p w14:paraId="0990DA53" w14:textId="0F86B02E" w:rsidR="00C81971" w:rsidRPr="001F2971" w:rsidRDefault="002E2249" w:rsidP="001F2971">
      <w:pPr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Supplementary data S2</w:t>
      </w:r>
      <w:r w:rsidR="00C81971">
        <w:rPr>
          <w:rFonts w:ascii="Arial" w:hAnsi="Arial" w:cs="Arial"/>
          <w:u w:val="single"/>
        </w:rPr>
        <w:t>: Review protocol</w:t>
      </w:r>
    </w:p>
    <w:p w14:paraId="1514557B" w14:textId="77777777" w:rsidR="00C81971" w:rsidRPr="00EE5EDA" w:rsidRDefault="00C81971" w:rsidP="001F297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color w:val="000000" w:themeColor="text1"/>
          <w:u w:val="single"/>
        </w:rPr>
      </w:pPr>
      <w:r w:rsidRPr="00EE5EDA">
        <w:rPr>
          <w:rFonts w:ascii="Arial" w:eastAsia="SimSun" w:hAnsi="Arial" w:cs="Arial"/>
          <w:color w:val="000000" w:themeColor="text1"/>
        </w:rPr>
        <w:t>Background</w:t>
      </w:r>
    </w:p>
    <w:p w14:paraId="4820136B" w14:textId="1920B923" w:rsidR="00C81971" w:rsidRPr="00EE5EDA" w:rsidRDefault="00C81971" w:rsidP="001F2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eastAsia="Calibri" w:hAnsi="Arial" w:cs="Arial"/>
          <w:color w:val="000000" w:themeColor="text1"/>
        </w:rPr>
        <w:t>Th</w:t>
      </w:r>
      <w:r w:rsidR="00BB0DC8">
        <w:rPr>
          <w:rFonts w:ascii="Arial" w:eastAsia="Calibri" w:hAnsi="Arial" w:cs="Arial"/>
          <w:color w:val="000000" w:themeColor="text1"/>
        </w:rPr>
        <w:t>is</w:t>
      </w:r>
      <w:r w:rsidRPr="00EE5EDA">
        <w:rPr>
          <w:rFonts w:ascii="Arial" w:eastAsia="Calibri" w:hAnsi="Arial" w:cs="Arial"/>
          <w:color w:val="000000" w:themeColor="text1"/>
        </w:rPr>
        <w:t xml:space="preserve"> </w:t>
      </w:r>
      <w:r w:rsidR="00BB0DC8">
        <w:rPr>
          <w:rFonts w:ascii="Arial" w:eastAsia="Calibri" w:hAnsi="Arial" w:cs="Arial"/>
          <w:color w:val="000000" w:themeColor="text1"/>
        </w:rPr>
        <w:t>r</w:t>
      </w:r>
      <w:r w:rsidRPr="00EE5EDA">
        <w:rPr>
          <w:rFonts w:ascii="Arial" w:eastAsia="Calibri" w:hAnsi="Arial" w:cs="Arial"/>
          <w:color w:val="000000" w:themeColor="text1"/>
        </w:rPr>
        <w:t xml:space="preserve">eview </w:t>
      </w:r>
      <w:r w:rsidR="00BB0DC8">
        <w:rPr>
          <w:rFonts w:ascii="Arial" w:eastAsia="Calibri" w:hAnsi="Arial" w:cs="Arial"/>
          <w:color w:val="000000" w:themeColor="text1"/>
        </w:rPr>
        <w:t>was</w:t>
      </w:r>
      <w:r w:rsidRPr="00EE5EDA">
        <w:rPr>
          <w:rFonts w:ascii="Arial" w:eastAsia="Calibri" w:hAnsi="Arial" w:cs="Arial"/>
          <w:color w:val="000000" w:themeColor="text1"/>
        </w:rPr>
        <w:t xml:space="preserve"> performed to analyze what we know from randomized control trails (RCTs) in </w:t>
      </w:r>
      <w:proofErr w:type="spellStart"/>
      <w:r w:rsidRPr="00EE5EDA">
        <w:rPr>
          <w:rFonts w:ascii="Arial" w:eastAsia="Calibri" w:hAnsi="Arial" w:cs="Arial"/>
          <w:color w:val="000000" w:themeColor="text1"/>
        </w:rPr>
        <w:t>p</w:t>
      </w:r>
      <w:bookmarkStart w:id="0" w:name="_GoBack"/>
      <w:r w:rsidR="001F2971">
        <w:rPr>
          <w:rFonts w:ascii="Arial" w:eastAsia="Calibri" w:hAnsi="Arial" w:cs="Arial"/>
          <w:color w:val="000000" w:themeColor="text1"/>
        </w:rPr>
        <w:t>a</w:t>
      </w:r>
      <w:bookmarkEnd w:id="0"/>
      <w:r w:rsidRPr="00EE5EDA">
        <w:rPr>
          <w:rFonts w:ascii="Arial" w:eastAsia="Calibri" w:hAnsi="Arial" w:cs="Arial"/>
          <w:color w:val="000000" w:themeColor="text1"/>
        </w:rPr>
        <w:t>ediatrics</w:t>
      </w:r>
      <w:proofErr w:type="spellEnd"/>
      <w:r w:rsidRPr="00EE5EDA">
        <w:rPr>
          <w:rFonts w:ascii="Arial" w:eastAsia="Calibri" w:hAnsi="Arial" w:cs="Arial"/>
          <w:color w:val="000000" w:themeColor="text1"/>
        </w:rPr>
        <w:t xml:space="preserve"> with inflammatory rheumatic diseases (PiRD) patients treated with defined biologic disease modifying antirheumatic drugs (bDMARDs) and Janus kinase (JAK) inhibitors. The literature search</w:t>
      </w:r>
      <w:r w:rsidR="00BB0DC8">
        <w:rPr>
          <w:rFonts w:ascii="Arial" w:eastAsia="Calibri" w:hAnsi="Arial" w:cs="Arial"/>
          <w:color w:val="000000" w:themeColor="text1"/>
        </w:rPr>
        <w:t xml:space="preserve"> was</w:t>
      </w:r>
      <w:r w:rsidRPr="00EE5EDA">
        <w:rPr>
          <w:rFonts w:ascii="Arial" w:eastAsia="Calibri" w:hAnsi="Arial" w:cs="Arial"/>
          <w:color w:val="000000" w:themeColor="text1"/>
        </w:rPr>
        <w:t xml:space="preserve"> done systematically, based on relevant identification, screening, and assessment steps described in the Cochrane Handbook for Systematic Reviews of Interventions (1) and reporting items in the PRISMA statement (2). </w:t>
      </w:r>
    </w:p>
    <w:p w14:paraId="1195D181" w14:textId="77777777" w:rsidR="00C81971" w:rsidRPr="00EE5EDA" w:rsidRDefault="00C81971" w:rsidP="00C81971">
      <w:pPr>
        <w:pStyle w:val="ListParagraph"/>
        <w:keepNext/>
        <w:keepLines/>
        <w:numPr>
          <w:ilvl w:val="0"/>
          <w:numId w:val="6"/>
        </w:numPr>
        <w:spacing w:before="240" w:after="0" w:line="360" w:lineRule="auto"/>
        <w:outlineLvl w:val="0"/>
        <w:rPr>
          <w:rFonts w:ascii="Arial" w:eastAsia="SimSun" w:hAnsi="Arial" w:cs="Arial"/>
          <w:color w:val="000000" w:themeColor="text1"/>
        </w:rPr>
      </w:pPr>
      <w:r w:rsidRPr="00EE5EDA">
        <w:rPr>
          <w:rFonts w:ascii="Arial" w:eastAsia="SimSun" w:hAnsi="Arial" w:cs="Arial"/>
          <w:color w:val="000000" w:themeColor="text1"/>
        </w:rPr>
        <w:t>Objective</w:t>
      </w:r>
    </w:p>
    <w:p w14:paraId="3B930F57" w14:textId="77777777" w:rsidR="00C81971" w:rsidRPr="00EE5EDA" w:rsidRDefault="00C81971" w:rsidP="00C81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eastAsia="Calibri" w:hAnsi="Arial" w:cs="Arial"/>
          <w:color w:val="000000" w:themeColor="text1"/>
        </w:rPr>
        <w:t xml:space="preserve">The primary objective is to provide an independent depository of performed RCTs in PiRD patients treated with bDMARDs and JAK inhibitors. </w:t>
      </w:r>
    </w:p>
    <w:p w14:paraId="13C04F67" w14:textId="77777777" w:rsidR="00C81971" w:rsidRPr="00EE5EDA" w:rsidRDefault="00C81971" w:rsidP="00C81971">
      <w:pPr>
        <w:pStyle w:val="ListParagraph"/>
        <w:keepNext/>
        <w:keepLines/>
        <w:numPr>
          <w:ilvl w:val="0"/>
          <w:numId w:val="6"/>
        </w:numPr>
        <w:spacing w:before="240" w:after="0" w:line="360" w:lineRule="auto"/>
        <w:outlineLvl w:val="0"/>
        <w:rPr>
          <w:rFonts w:ascii="Arial" w:eastAsia="SimSun" w:hAnsi="Arial" w:cs="Arial"/>
          <w:color w:val="000000" w:themeColor="text1"/>
        </w:rPr>
      </w:pPr>
      <w:r w:rsidRPr="00EE5EDA">
        <w:rPr>
          <w:rFonts w:ascii="Arial" w:eastAsia="SimSun" w:hAnsi="Arial" w:cs="Arial"/>
          <w:color w:val="000000" w:themeColor="text1"/>
        </w:rPr>
        <w:t>Methods</w:t>
      </w:r>
    </w:p>
    <w:p w14:paraId="53B2F13E" w14:textId="77777777" w:rsidR="00C81971" w:rsidRPr="00EE5EDA" w:rsidRDefault="00C81971" w:rsidP="00C81971">
      <w:pPr>
        <w:pStyle w:val="ListParagraph"/>
        <w:keepNext/>
        <w:keepLines/>
        <w:numPr>
          <w:ilvl w:val="1"/>
          <w:numId w:val="7"/>
        </w:numPr>
        <w:spacing w:before="240" w:after="0" w:line="360" w:lineRule="auto"/>
        <w:outlineLvl w:val="0"/>
        <w:rPr>
          <w:rFonts w:ascii="Arial" w:eastAsia="SimSun" w:hAnsi="Arial" w:cs="Arial"/>
          <w:color w:val="000000" w:themeColor="text1"/>
        </w:rPr>
      </w:pPr>
      <w:r w:rsidRPr="00EE5EDA">
        <w:rPr>
          <w:rFonts w:ascii="Arial" w:eastAsia="SimSun" w:hAnsi="Arial" w:cs="Arial"/>
          <w:color w:val="000000" w:themeColor="text1"/>
        </w:rPr>
        <w:t>Eligibility</w:t>
      </w:r>
    </w:p>
    <w:p w14:paraId="12DDB4AA" w14:textId="77777777" w:rsidR="00C81971" w:rsidRPr="00EE5EDA" w:rsidRDefault="00C81971" w:rsidP="00C81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eastAsia="Calibri" w:hAnsi="Arial" w:cs="Arial"/>
          <w:color w:val="000000" w:themeColor="text1"/>
        </w:rPr>
        <w:t xml:space="preserve">Titles and abstracts are screened for eligibility according to the pre-defined eligibility and exclusion criteria: </w:t>
      </w:r>
    </w:p>
    <w:p w14:paraId="5E6888C4" w14:textId="77777777" w:rsidR="00C81971" w:rsidRPr="00EE5EDA" w:rsidRDefault="00C81971" w:rsidP="00C8197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</w:rPr>
        <w:t>Eligibility criteria</w:t>
      </w:r>
    </w:p>
    <w:p w14:paraId="6B53AB15" w14:textId="77777777" w:rsidR="00C81971" w:rsidRPr="00EE5EDA" w:rsidRDefault="00C81971" w:rsidP="00C81971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 xml:space="preserve">Patients aged 20 years and younger </w:t>
      </w:r>
    </w:p>
    <w:p w14:paraId="03D72358" w14:textId="2AFA4E96" w:rsidR="00C81971" w:rsidRPr="00EE5EDA" w:rsidRDefault="00C81971" w:rsidP="00C81971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lastRenderedPageBreak/>
        <w:t>Treatment with predefined bDMARDs/JAK</w:t>
      </w:r>
      <w:r w:rsidR="001F2971">
        <w:rPr>
          <w:rFonts w:ascii="Arial" w:hAnsi="Arial" w:cs="Arial"/>
          <w:color w:val="000000" w:themeColor="text1"/>
          <w:lang w:val="en-GB"/>
        </w:rPr>
        <w:t xml:space="preserve"> inhibitors</w:t>
      </w:r>
    </w:p>
    <w:p w14:paraId="6F738ADB" w14:textId="77777777" w:rsidR="00C81971" w:rsidRPr="00EE5EDA" w:rsidRDefault="00C81971" w:rsidP="00C8197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>Anti-CD20 agents: rituximab</w:t>
      </w:r>
    </w:p>
    <w:p w14:paraId="3EA2F3FC" w14:textId="77777777" w:rsidR="00C81971" w:rsidRPr="00EE5EDA" w:rsidRDefault="00C81971" w:rsidP="00C8197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>CD80/86 inhibitors: abatacept</w:t>
      </w:r>
    </w:p>
    <w:p w14:paraId="0C76F147" w14:textId="77777777" w:rsidR="00C81971" w:rsidRPr="00EE5EDA" w:rsidRDefault="00C81971" w:rsidP="00C8197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>IL-1 inhibitors: anakinra, canakinumab, rilonacept</w:t>
      </w:r>
    </w:p>
    <w:p w14:paraId="4A12E564" w14:textId="671D8112" w:rsidR="00C81971" w:rsidRPr="00EE5EDA" w:rsidRDefault="00C81971" w:rsidP="00C8197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 xml:space="preserve">IL-6 inhibitors: tocilizumab, </w:t>
      </w:r>
      <w:proofErr w:type="spellStart"/>
      <w:r w:rsidRPr="00EE5EDA">
        <w:rPr>
          <w:rFonts w:ascii="Arial" w:hAnsi="Arial" w:cs="Arial"/>
          <w:color w:val="000000" w:themeColor="text1"/>
          <w:lang w:val="en-GB"/>
        </w:rPr>
        <w:t>sarilumab</w:t>
      </w:r>
      <w:proofErr w:type="spellEnd"/>
      <w:r w:rsidRPr="00EE5EDA">
        <w:rPr>
          <w:rFonts w:ascii="Arial" w:hAnsi="Arial" w:cs="Arial"/>
          <w:color w:val="000000" w:themeColor="text1"/>
          <w:lang w:val="en-GB"/>
        </w:rPr>
        <w:t xml:space="preserve"> </w:t>
      </w:r>
    </w:p>
    <w:p w14:paraId="51F71ACC" w14:textId="77777777" w:rsidR="00C81971" w:rsidRPr="00EE5EDA" w:rsidRDefault="00C81971" w:rsidP="00C8197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>IL-12/23 inhibitors: ustekinumab</w:t>
      </w:r>
    </w:p>
    <w:p w14:paraId="0FCBEC6A" w14:textId="1C708F9D" w:rsidR="00C81971" w:rsidRPr="00EE5EDA" w:rsidRDefault="00C81971" w:rsidP="00C8197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 xml:space="preserve">IL-23 inhibitors: </w:t>
      </w:r>
      <w:proofErr w:type="spellStart"/>
      <w:r w:rsidRPr="00EE5EDA">
        <w:rPr>
          <w:rFonts w:ascii="Arial" w:hAnsi="Arial" w:cs="Arial"/>
          <w:color w:val="000000" w:themeColor="text1"/>
        </w:rPr>
        <w:t>guselkumab</w:t>
      </w:r>
      <w:proofErr w:type="spellEnd"/>
      <w:r w:rsidRPr="00EE5EDA">
        <w:rPr>
          <w:rFonts w:ascii="Arial" w:hAnsi="Arial" w:cs="Arial"/>
          <w:color w:val="000000" w:themeColor="text1"/>
        </w:rPr>
        <w:t xml:space="preserve">, </w:t>
      </w:r>
      <w:proofErr w:type="spellStart"/>
      <w:r w:rsidR="00BB0DC8">
        <w:rPr>
          <w:rFonts w:ascii="Arial" w:hAnsi="Arial" w:cs="Arial"/>
          <w:color w:val="000000" w:themeColor="text1"/>
        </w:rPr>
        <w:t>risankizumab</w:t>
      </w:r>
      <w:proofErr w:type="spellEnd"/>
      <w:r w:rsidR="00BB0DC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E5EDA">
        <w:rPr>
          <w:rFonts w:ascii="Arial" w:hAnsi="Arial" w:cs="Arial"/>
          <w:color w:val="000000" w:themeColor="text1"/>
        </w:rPr>
        <w:t>tildrakizumab</w:t>
      </w:r>
      <w:proofErr w:type="spellEnd"/>
    </w:p>
    <w:p w14:paraId="1D394BFE" w14:textId="3D02241D" w:rsidR="00C81971" w:rsidRPr="00EE5EDA" w:rsidRDefault="00C81971" w:rsidP="00C8197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 xml:space="preserve">IL-17 inhibitors: </w:t>
      </w:r>
      <w:proofErr w:type="spellStart"/>
      <w:r w:rsidRPr="00EE5EDA">
        <w:rPr>
          <w:rFonts w:ascii="Arial" w:hAnsi="Arial" w:cs="Arial"/>
          <w:color w:val="000000" w:themeColor="text1"/>
          <w:lang w:val="en-GB"/>
        </w:rPr>
        <w:t>secukinumab</w:t>
      </w:r>
      <w:proofErr w:type="spellEnd"/>
      <w:r w:rsidRPr="00EE5EDA">
        <w:rPr>
          <w:rFonts w:ascii="Arial" w:hAnsi="Arial" w:cs="Arial"/>
          <w:color w:val="000000" w:themeColor="text1"/>
          <w:lang w:val="en-GB"/>
        </w:rPr>
        <w:t xml:space="preserve">, </w:t>
      </w:r>
      <w:proofErr w:type="spellStart"/>
      <w:r w:rsidRPr="00EE5EDA">
        <w:rPr>
          <w:rFonts w:ascii="Arial" w:hAnsi="Arial" w:cs="Arial"/>
          <w:color w:val="000000" w:themeColor="text1"/>
        </w:rPr>
        <w:t>ixekizumab</w:t>
      </w:r>
      <w:proofErr w:type="spellEnd"/>
      <w:r w:rsidRPr="00EE5EDA">
        <w:rPr>
          <w:rFonts w:ascii="Arial" w:hAnsi="Arial" w:cs="Arial"/>
          <w:color w:val="000000" w:themeColor="text1"/>
          <w:lang w:val="en-GB"/>
        </w:rPr>
        <w:t xml:space="preserve">, </w:t>
      </w:r>
      <w:proofErr w:type="spellStart"/>
      <w:r w:rsidR="00BB39AC">
        <w:rPr>
          <w:rFonts w:ascii="Arial" w:hAnsi="Arial" w:cs="Arial"/>
          <w:color w:val="000000" w:themeColor="text1"/>
        </w:rPr>
        <w:t>bro</w:t>
      </w:r>
      <w:r w:rsidRPr="00EE5EDA">
        <w:rPr>
          <w:rFonts w:ascii="Arial" w:hAnsi="Arial" w:cs="Arial"/>
          <w:color w:val="000000" w:themeColor="text1"/>
        </w:rPr>
        <w:t>d</w:t>
      </w:r>
      <w:r w:rsidR="00BB39AC">
        <w:rPr>
          <w:rFonts w:ascii="Arial" w:hAnsi="Arial" w:cs="Arial"/>
          <w:color w:val="000000" w:themeColor="text1"/>
        </w:rPr>
        <w:t>a</w:t>
      </w:r>
      <w:r w:rsidRPr="00EE5EDA">
        <w:rPr>
          <w:rFonts w:ascii="Arial" w:hAnsi="Arial" w:cs="Arial"/>
          <w:color w:val="000000" w:themeColor="text1"/>
        </w:rPr>
        <w:t>lumab</w:t>
      </w:r>
      <w:proofErr w:type="spellEnd"/>
    </w:p>
    <w:p w14:paraId="3A250C91" w14:textId="77777777" w:rsidR="00C81971" w:rsidRPr="00EE5EDA" w:rsidRDefault="00C81971" w:rsidP="00C8197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>Tumour necrosis factor (TNF) inhibitors: adalimumab, etanercept, golimumab, infliximab, certolizumab pegol</w:t>
      </w:r>
    </w:p>
    <w:p w14:paraId="3A5FE07B" w14:textId="77777777" w:rsidR="00C81971" w:rsidRPr="00EE5EDA" w:rsidRDefault="00C81971" w:rsidP="00C8197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>BAFF inhibitors: belimumab</w:t>
      </w:r>
    </w:p>
    <w:p w14:paraId="0B33A54E" w14:textId="77777777" w:rsidR="00C81971" w:rsidRPr="00EE5EDA" w:rsidRDefault="00C81971" w:rsidP="00C8197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>JAK inhibitors: baricitinib, tofacitinib, upadacitinib</w:t>
      </w:r>
    </w:p>
    <w:p w14:paraId="575953E9" w14:textId="77777777" w:rsidR="00C81971" w:rsidRPr="00EE5EDA" w:rsidRDefault="00C81971" w:rsidP="00C81971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>Sample size ≥ five patients</w:t>
      </w:r>
    </w:p>
    <w:p w14:paraId="18F502CA" w14:textId="77777777" w:rsidR="00C81971" w:rsidRPr="00EE5EDA" w:rsidRDefault="00C81971" w:rsidP="00C81971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>Confirmed PiRD diagnosis (Main manuscript: table 1).</w:t>
      </w:r>
    </w:p>
    <w:p w14:paraId="0A78BD81" w14:textId="71ED86BF" w:rsidR="00C81971" w:rsidRPr="00EE5EDA" w:rsidRDefault="00C81971" w:rsidP="00C81971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 xml:space="preserve">At least one relevant primary or secondary efficacy endpoint/outcome (Supplementary </w:t>
      </w:r>
      <w:r w:rsidR="001F2971">
        <w:rPr>
          <w:rFonts w:ascii="Arial" w:hAnsi="Arial" w:cs="Arial"/>
          <w:color w:val="000000" w:themeColor="text1"/>
          <w:lang w:val="en-GB"/>
        </w:rPr>
        <w:t>data S3</w:t>
      </w:r>
      <w:r w:rsidRPr="00EE5EDA">
        <w:rPr>
          <w:rFonts w:ascii="Arial" w:hAnsi="Arial" w:cs="Arial"/>
          <w:color w:val="000000" w:themeColor="text1"/>
          <w:lang w:val="en-GB"/>
        </w:rPr>
        <w:t>).</w:t>
      </w:r>
    </w:p>
    <w:p w14:paraId="550AA13A" w14:textId="77777777" w:rsidR="00C81971" w:rsidRPr="00EE5EDA" w:rsidRDefault="00C81971" w:rsidP="00C81971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eastAsia="Calibri" w:hAnsi="Arial" w:cs="Arial"/>
          <w:color w:val="000000" w:themeColor="text1"/>
        </w:rPr>
        <w:t xml:space="preserve">English language </w:t>
      </w:r>
    </w:p>
    <w:p w14:paraId="13D82416" w14:textId="77777777" w:rsidR="00C81971" w:rsidRPr="00EE5EDA" w:rsidRDefault="00C81971" w:rsidP="00C81971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eastAsia="Calibri" w:hAnsi="Arial" w:cs="Arial"/>
          <w:color w:val="000000" w:themeColor="text1"/>
        </w:rPr>
        <w:t>Published after 1990</w:t>
      </w:r>
    </w:p>
    <w:p w14:paraId="65ED16B0" w14:textId="77777777" w:rsidR="00C81971" w:rsidRPr="00EE5EDA" w:rsidRDefault="00C81971" w:rsidP="00C8197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</w:rPr>
        <w:t xml:space="preserve">Exclusion criteria </w:t>
      </w:r>
    </w:p>
    <w:p w14:paraId="538C4EB4" w14:textId="77777777" w:rsidR="00C81971" w:rsidRPr="00EE5EDA" w:rsidRDefault="00C81971" w:rsidP="00C81971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</w:rPr>
        <w:t>I</w:t>
      </w:r>
      <w:proofErr w:type="spellStart"/>
      <w:r w:rsidRPr="00EE5EDA">
        <w:rPr>
          <w:rFonts w:ascii="Arial" w:hAnsi="Arial" w:cs="Arial"/>
          <w:color w:val="000000" w:themeColor="text1"/>
          <w:lang w:val="en-GB"/>
        </w:rPr>
        <w:t>ndication</w:t>
      </w:r>
      <w:proofErr w:type="spellEnd"/>
      <w:r w:rsidRPr="00EE5EDA">
        <w:rPr>
          <w:rFonts w:ascii="Arial" w:hAnsi="Arial" w:cs="Arial"/>
          <w:color w:val="000000" w:themeColor="text1"/>
          <w:lang w:val="en-GB"/>
        </w:rPr>
        <w:t xml:space="preserve"> not relevant</w:t>
      </w:r>
    </w:p>
    <w:p w14:paraId="48B43764" w14:textId="77777777" w:rsidR="00C81971" w:rsidRPr="00EE5EDA" w:rsidRDefault="00C81971" w:rsidP="00C81971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>Population not relevant</w:t>
      </w:r>
    </w:p>
    <w:p w14:paraId="44BDD5AA" w14:textId="5E49F214" w:rsidR="00C81971" w:rsidRPr="00EE5EDA" w:rsidRDefault="00C81971" w:rsidP="00C81971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>Study design not relevant (</w:t>
      </w:r>
      <w:r w:rsidR="00BB0DC8">
        <w:rPr>
          <w:rFonts w:ascii="Arial" w:hAnsi="Arial" w:cs="Arial"/>
          <w:color w:val="000000" w:themeColor="text1"/>
          <w:lang w:val="en-GB"/>
        </w:rPr>
        <w:t>not a</w:t>
      </w:r>
      <w:r w:rsidRPr="00EE5EDA">
        <w:rPr>
          <w:rFonts w:ascii="Arial" w:hAnsi="Arial" w:cs="Arial"/>
          <w:color w:val="000000" w:themeColor="text1"/>
          <w:lang w:val="en-GB"/>
        </w:rPr>
        <w:t xml:space="preserve"> RCT) </w:t>
      </w:r>
    </w:p>
    <w:p w14:paraId="41BAA889" w14:textId="77777777" w:rsidR="00C81971" w:rsidRPr="00EE5EDA" w:rsidRDefault="00C81971" w:rsidP="00C81971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>Treatment not relevant</w:t>
      </w:r>
    </w:p>
    <w:p w14:paraId="30E05814" w14:textId="77777777" w:rsidR="00C81971" w:rsidRPr="00EE5EDA" w:rsidRDefault="00C81971" w:rsidP="00C81971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>Endpoint/outcome not relevant</w:t>
      </w:r>
    </w:p>
    <w:p w14:paraId="299FB59C" w14:textId="77777777" w:rsidR="00C81971" w:rsidRPr="00EE5EDA" w:rsidRDefault="00C81971" w:rsidP="00C81971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hAnsi="Arial" w:cs="Arial"/>
          <w:color w:val="000000" w:themeColor="text1"/>
          <w:lang w:val="en-GB"/>
        </w:rPr>
        <w:t>Duplicate of prior published results without any additional information</w:t>
      </w:r>
    </w:p>
    <w:p w14:paraId="6F06D9F1" w14:textId="77777777" w:rsidR="00C81971" w:rsidRPr="00EE5EDA" w:rsidRDefault="00C81971" w:rsidP="00C81971">
      <w:pPr>
        <w:pStyle w:val="ListParagraph"/>
        <w:autoSpaceDE w:val="0"/>
        <w:autoSpaceDN w:val="0"/>
        <w:adjustRightInd w:val="0"/>
        <w:spacing w:after="0" w:line="360" w:lineRule="auto"/>
        <w:ind w:left="1440"/>
        <w:rPr>
          <w:rFonts w:ascii="Arial" w:eastAsia="Calibri" w:hAnsi="Arial" w:cs="Arial"/>
          <w:color w:val="000000" w:themeColor="text1"/>
        </w:rPr>
      </w:pPr>
    </w:p>
    <w:p w14:paraId="74E3DC32" w14:textId="77777777" w:rsidR="00C81971" w:rsidRPr="00EE5EDA" w:rsidRDefault="00C81971" w:rsidP="00C81971">
      <w:pPr>
        <w:keepNext/>
        <w:keepLines/>
        <w:spacing w:before="40" w:after="0" w:line="360" w:lineRule="auto"/>
        <w:outlineLvl w:val="1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eastAsia="Calibri" w:hAnsi="Arial" w:cs="Arial"/>
          <w:color w:val="000000" w:themeColor="text1"/>
        </w:rPr>
        <w:t xml:space="preserve">3.2 </w:t>
      </w:r>
      <w:r w:rsidRPr="00EE5EDA">
        <w:rPr>
          <w:rFonts w:ascii="Arial" w:eastAsia="SimSun" w:hAnsi="Arial" w:cs="Arial"/>
          <w:color w:val="000000" w:themeColor="text1"/>
        </w:rPr>
        <w:t>Search and retrieval</w:t>
      </w:r>
    </w:p>
    <w:p w14:paraId="64836EDC" w14:textId="50FB2EC7" w:rsidR="00C81971" w:rsidRPr="00EE5EDA" w:rsidRDefault="00C81971" w:rsidP="00C81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eastAsia="Calibri" w:hAnsi="Arial" w:cs="Arial"/>
          <w:color w:val="000000" w:themeColor="text1"/>
        </w:rPr>
        <w:t xml:space="preserve">The primary sources of information for this database </w:t>
      </w:r>
      <w:r w:rsidR="00BB0DC8">
        <w:rPr>
          <w:rFonts w:ascii="Arial" w:eastAsia="Calibri" w:hAnsi="Arial" w:cs="Arial"/>
          <w:color w:val="000000" w:themeColor="text1"/>
        </w:rPr>
        <w:t>were</w:t>
      </w:r>
      <w:r w:rsidRPr="00EE5EDA">
        <w:rPr>
          <w:rFonts w:ascii="Arial" w:eastAsia="Calibri" w:hAnsi="Arial" w:cs="Arial"/>
          <w:color w:val="000000" w:themeColor="text1"/>
        </w:rPr>
        <w:t xml:space="preserve"> PubMed, </w:t>
      </w:r>
      <w:r w:rsidRPr="00EE5EDA">
        <w:rPr>
          <w:rFonts w:ascii="Arial" w:eastAsia="Calibri" w:hAnsi="Arial" w:cs="Arial"/>
          <w:color w:val="000000" w:themeColor="text1"/>
          <w:lang w:val="en-GB"/>
        </w:rPr>
        <w:t>the US National Institutes of Health Ongoing Trials Register ClinicalTrials.gov (</w:t>
      </w:r>
      <w:hyperlink r:id="rId8" w:history="1">
        <w:r w:rsidRPr="00EE5EDA">
          <w:rPr>
            <w:rStyle w:val="Hyperlink"/>
            <w:rFonts w:ascii="Arial" w:eastAsia="Calibri" w:hAnsi="Arial" w:cs="Arial"/>
            <w:color w:val="000000" w:themeColor="text1"/>
            <w:lang w:val="en-GB"/>
          </w:rPr>
          <w:t>www.clinicaltrials.gov</w:t>
        </w:r>
      </w:hyperlink>
      <w:r w:rsidRPr="00EE5EDA">
        <w:rPr>
          <w:rFonts w:ascii="Arial" w:eastAsia="Calibri" w:hAnsi="Arial" w:cs="Arial"/>
          <w:color w:val="000000" w:themeColor="text1"/>
          <w:lang w:val="en-GB"/>
        </w:rPr>
        <w:t>), and the EU Clinical Trials Register (</w:t>
      </w:r>
      <w:hyperlink r:id="rId9" w:history="1">
        <w:r w:rsidRPr="00EE5EDA">
          <w:rPr>
            <w:rStyle w:val="Hyperlink"/>
            <w:rFonts w:ascii="Arial" w:eastAsia="Calibri" w:hAnsi="Arial" w:cs="Arial"/>
            <w:color w:val="000000" w:themeColor="text1"/>
            <w:lang w:val="en-GB"/>
          </w:rPr>
          <w:t>www.clinicaltrialsregister.eu</w:t>
        </w:r>
      </w:hyperlink>
      <w:r w:rsidRPr="00EE5EDA">
        <w:rPr>
          <w:rFonts w:ascii="Arial" w:eastAsia="Calibri" w:hAnsi="Arial" w:cs="Arial"/>
          <w:color w:val="000000" w:themeColor="text1"/>
          <w:lang w:val="en-GB"/>
        </w:rPr>
        <w:t xml:space="preserve">) </w:t>
      </w:r>
      <w:r w:rsidRPr="00EE5EDA">
        <w:rPr>
          <w:rFonts w:ascii="Arial" w:eastAsia="Calibri" w:hAnsi="Arial" w:cs="Arial"/>
          <w:color w:val="000000" w:themeColor="text1"/>
        </w:rPr>
        <w:t>augmented by searches on conference abstracts/posters/presentations (EULAR, PRES, ISSAID), as well as regulatory reviews from FDA/EMA websites (www.fda.gov, www.ema.europa.eu).</w:t>
      </w:r>
    </w:p>
    <w:p w14:paraId="2140E223" w14:textId="77777777" w:rsidR="00C81971" w:rsidRPr="00EE5EDA" w:rsidRDefault="00C81971" w:rsidP="00C81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</w:p>
    <w:p w14:paraId="513027FD" w14:textId="77777777" w:rsidR="00C81971" w:rsidRPr="00EE5EDA" w:rsidRDefault="00C81971" w:rsidP="00C81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eastAsia="SimSun" w:hAnsi="Arial" w:cs="Arial"/>
          <w:color w:val="000000" w:themeColor="text1"/>
        </w:rPr>
        <w:t>3.3 Identification</w:t>
      </w:r>
    </w:p>
    <w:p w14:paraId="6B28C1C8" w14:textId="40574D37" w:rsidR="00C81971" w:rsidRPr="00EE5EDA" w:rsidRDefault="00C81971" w:rsidP="00C81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eastAsia="Calibri" w:hAnsi="Arial" w:cs="Arial"/>
          <w:color w:val="000000" w:themeColor="text1"/>
        </w:rPr>
        <w:t>Identification of eligible study reports</w:t>
      </w:r>
      <w:r w:rsidR="00BB0DC8">
        <w:rPr>
          <w:rFonts w:ascii="Arial" w:eastAsia="Calibri" w:hAnsi="Arial" w:cs="Arial"/>
          <w:color w:val="000000" w:themeColor="text1"/>
        </w:rPr>
        <w:t xml:space="preserve"> were</w:t>
      </w:r>
      <w:r w:rsidRPr="00EE5EDA">
        <w:rPr>
          <w:rFonts w:ascii="Arial" w:eastAsia="Calibri" w:hAnsi="Arial" w:cs="Arial"/>
          <w:color w:val="000000" w:themeColor="text1"/>
        </w:rPr>
        <w:t xml:space="preserve"> based on search terms mentioned at the supplementary material data S1. Web searches for company trial registries </w:t>
      </w:r>
      <w:r w:rsidR="00BB0DC8">
        <w:rPr>
          <w:rFonts w:ascii="Arial" w:eastAsia="Calibri" w:hAnsi="Arial" w:cs="Arial"/>
          <w:color w:val="000000" w:themeColor="text1"/>
        </w:rPr>
        <w:t>were</w:t>
      </w:r>
      <w:r w:rsidRPr="00EE5EDA">
        <w:rPr>
          <w:rFonts w:ascii="Arial" w:eastAsia="Calibri" w:hAnsi="Arial" w:cs="Arial"/>
          <w:color w:val="000000" w:themeColor="text1"/>
        </w:rPr>
        <w:t xml:space="preserve"> conducted for additional data for drugs under develo</w:t>
      </w:r>
      <w:r>
        <w:rPr>
          <w:rFonts w:ascii="Arial" w:eastAsia="Calibri" w:hAnsi="Arial" w:cs="Arial"/>
          <w:color w:val="000000" w:themeColor="text1"/>
        </w:rPr>
        <w:t>pment. Finally, references list</w:t>
      </w:r>
      <w:r w:rsidRPr="00EE5EDA">
        <w:rPr>
          <w:rFonts w:ascii="Arial" w:eastAsia="Calibri" w:hAnsi="Arial" w:cs="Arial"/>
          <w:color w:val="000000" w:themeColor="text1"/>
        </w:rPr>
        <w:t xml:space="preserve"> of published studies</w:t>
      </w:r>
      <w:r w:rsidR="00BB0DC8">
        <w:rPr>
          <w:rFonts w:ascii="Arial" w:eastAsia="Calibri" w:hAnsi="Arial" w:cs="Arial"/>
          <w:color w:val="000000" w:themeColor="text1"/>
        </w:rPr>
        <w:t xml:space="preserve"> </w:t>
      </w:r>
      <w:r w:rsidR="00BB0DC8">
        <w:rPr>
          <w:rFonts w:ascii="Arial" w:eastAsia="Calibri" w:hAnsi="Arial" w:cs="Arial"/>
          <w:color w:val="000000" w:themeColor="text1"/>
        </w:rPr>
        <w:lastRenderedPageBreak/>
        <w:t xml:space="preserve">were </w:t>
      </w:r>
      <w:r w:rsidRPr="00EE5EDA">
        <w:rPr>
          <w:rFonts w:ascii="Arial" w:eastAsia="Calibri" w:hAnsi="Arial" w:cs="Arial"/>
          <w:color w:val="000000" w:themeColor="text1"/>
        </w:rPr>
        <w:t xml:space="preserve">reviewed to identify any additional references. The search results </w:t>
      </w:r>
      <w:r w:rsidR="00BB0DC8">
        <w:rPr>
          <w:rFonts w:ascii="Arial" w:eastAsia="Calibri" w:hAnsi="Arial" w:cs="Arial"/>
          <w:color w:val="000000" w:themeColor="text1"/>
        </w:rPr>
        <w:t>were</w:t>
      </w:r>
      <w:r w:rsidRPr="00EE5EDA">
        <w:rPr>
          <w:rFonts w:ascii="Arial" w:eastAsia="Calibri" w:hAnsi="Arial" w:cs="Arial"/>
          <w:color w:val="000000" w:themeColor="text1"/>
        </w:rPr>
        <w:t xml:space="preserve"> exported and managed in a spreadsheet and electronic copies (PDFs) of study reports are retrieved via internet sources or local libraries. </w:t>
      </w:r>
    </w:p>
    <w:p w14:paraId="159EFBC9" w14:textId="77777777" w:rsidR="00C81971" w:rsidRPr="00EE5EDA" w:rsidRDefault="00C81971" w:rsidP="00C81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</w:p>
    <w:p w14:paraId="0F2E17AD" w14:textId="77777777" w:rsidR="00C81971" w:rsidRPr="00EE5EDA" w:rsidRDefault="00C81971" w:rsidP="00C81971">
      <w:pPr>
        <w:keepNext/>
        <w:keepLines/>
        <w:spacing w:before="40" w:after="0" w:line="360" w:lineRule="auto"/>
        <w:outlineLvl w:val="2"/>
        <w:rPr>
          <w:rFonts w:ascii="Arial" w:eastAsia="SimSun" w:hAnsi="Arial" w:cs="Arial"/>
          <w:color w:val="000000" w:themeColor="text1"/>
        </w:rPr>
      </w:pPr>
      <w:r w:rsidRPr="00EE5EDA">
        <w:rPr>
          <w:rFonts w:ascii="Arial" w:eastAsia="SimSun" w:hAnsi="Arial" w:cs="Arial"/>
          <w:color w:val="000000" w:themeColor="text1"/>
        </w:rPr>
        <w:t>3.4 Screening and eligibility assessment</w:t>
      </w:r>
    </w:p>
    <w:p w14:paraId="764F1086" w14:textId="07991165" w:rsidR="00C81971" w:rsidRPr="00EE5EDA" w:rsidRDefault="00C81971" w:rsidP="00C81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eastAsia="Calibri" w:hAnsi="Arial" w:cs="Arial"/>
          <w:color w:val="000000" w:themeColor="text1"/>
        </w:rPr>
        <w:t xml:space="preserve">Initial screening, based on retrieved abstracts, as well as the eligibility assessment based on full-text publications </w:t>
      </w:r>
      <w:r w:rsidR="00BB0DC8">
        <w:rPr>
          <w:rFonts w:ascii="Arial" w:eastAsia="Calibri" w:hAnsi="Arial" w:cs="Arial"/>
          <w:color w:val="000000" w:themeColor="text1"/>
        </w:rPr>
        <w:t xml:space="preserve">were </w:t>
      </w:r>
      <w:r w:rsidRPr="00EE5EDA">
        <w:rPr>
          <w:rFonts w:ascii="Arial" w:eastAsia="Calibri" w:hAnsi="Arial" w:cs="Arial"/>
          <w:color w:val="000000" w:themeColor="text1"/>
        </w:rPr>
        <w:t xml:space="preserve">performed by two scientists. One scientist </w:t>
      </w:r>
      <w:r w:rsidR="00BB0DC8">
        <w:rPr>
          <w:rFonts w:ascii="Arial" w:eastAsia="Calibri" w:hAnsi="Arial" w:cs="Arial"/>
          <w:color w:val="000000" w:themeColor="text1"/>
        </w:rPr>
        <w:t>was</w:t>
      </w:r>
      <w:r w:rsidRPr="00EE5EDA">
        <w:rPr>
          <w:rFonts w:ascii="Arial" w:eastAsia="Calibri" w:hAnsi="Arial" w:cs="Arial"/>
          <w:color w:val="000000" w:themeColor="text1"/>
        </w:rPr>
        <w:t xml:space="preserve"> responsible for the execution and documentation and the other provide</w:t>
      </w:r>
      <w:r w:rsidR="00BB0DC8">
        <w:rPr>
          <w:rFonts w:ascii="Arial" w:eastAsia="Calibri" w:hAnsi="Arial" w:cs="Arial"/>
          <w:color w:val="000000" w:themeColor="text1"/>
        </w:rPr>
        <w:t>d</w:t>
      </w:r>
      <w:r w:rsidRPr="00EE5EDA">
        <w:rPr>
          <w:rFonts w:ascii="Arial" w:eastAsia="Calibri" w:hAnsi="Arial" w:cs="Arial"/>
          <w:color w:val="000000" w:themeColor="text1"/>
        </w:rPr>
        <w:t xml:space="preserve"> support as</w:t>
      </w:r>
      <w:r w:rsidR="00BB0DC8">
        <w:rPr>
          <w:rFonts w:ascii="Arial" w:eastAsia="Calibri" w:hAnsi="Arial" w:cs="Arial"/>
          <w:color w:val="000000" w:themeColor="text1"/>
        </w:rPr>
        <w:t xml:space="preserve"> the</w:t>
      </w:r>
      <w:r w:rsidR="008B7C94">
        <w:rPr>
          <w:rFonts w:ascii="Arial" w:eastAsia="Calibri" w:hAnsi="Arial" w:cs="Arial"/>
          <w:color w:val="000000" w:themeColor="text1"/>
        </w:rPr>
        <w:t xml:space="preserve"> </w:t>
      </w:r>
      <w:r w:rsidRPr="00EE5EDA">
        <w:rPr>
          <w:rFonts w:ascii="Arial" w:eastAsia="Calibri" w:hAnsi="Arial" w:cs="Arial"/>
          <w:color w:val="000000" w:themeColor="text1"/>
        </w:rPr>
        <w:t xml:space="preserve">therapeutic area expert. </w:t>
      </w:r>
    </w:p>
    <w:p w14:paraId="5239EC39" w14:textId="77777777" w:rsidR="00C81971" w:rsidRPr="00EE5EDA" w:rsidRDefault="00C81971" w:rsidP="00C81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</w:p>
    <w:p w14:paraId="1328372D" w14:textId="77777777" w:rsidR="00C81971" w:rsidRPr="00EE5EDA" w:rsidRDefault="00C81971" w:rsidP="00C81971">
      <w:pPr>
        <w:keepNext/>
        <w:keepLines/>
        <w:spacing w:before="40" w:after="0" w:line="360" w:lineRule="auto"/>
        <w:outlineLvl w:val="1"/>
        <w:rPr>
          <w:rFonts w:ascii="Arial" w:eastAsia="SimSun" w:hAnsi="Arial" w:cs="Arial"/>
          <w:color w:val="000000" w:themeColor="text1"/>
        </w:rPr>
      </w:pPr>
      <w:r w:rsidRPr="00EE5EDA">
        <w:rPr>
          <w:rFonts w:ascii="Arial" w:eastAsia="SimSun" w:hAnsi="Arial" w:cs="Arial"/>
          <w:color w:val="000000" w:themeColor="text1"/>
        </w:rPr>
        <w:t>3.5 Data extraction</w:t>
      </w:r>
    </w:p>
    <w:p w14:paraId="08D9857A" w14:textId="591DE367" w:rsidR="00C81971" w:rsidRPr="00EE5EDA" w:rsidRDefault="00C81971" w:rsidP="00C81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eastAsia="Calibri" w:hAnsi="Arial" w:cs="Arial"/>
          <w:color w:val="000000" w:themeColor="text1"/>
        </w:rPr>
        <w:t>Data extraction</w:t>
      </w:r>
      <w:r w:rsidR="00BB0DC8">
        <w:rPr>
          <w:rFonts w:ascii="Arial" w:eastAsia="Calibri" w:hAnsi="Arial" w:cs="Arial"/>
          <w:color w:val="000000" w:themeColor="text1"/>
        </w:rPr>
        <w:t xml:space="preserve"> was </w:t>
      </w:r>
      <w:r w:rsidRPr="00EE5EDA">
        <w:rPr>
          <w:rFonts w:ascii="Arial" w:eastAsia="Calibri" w:hAnsi="Arial" w:cs="Arial"/>
          <w:color w:val="000000" w:themeColor="text1"/>
        </w:rPr>
        <w:t xml:space="preserve">done by </w:t>
      </w:r>
      <w:r>
        <w:rPr>
          <w:rFonts w:ascii="Arial" w:eastAsia="Calibri" w:hAnsi="Arial" w:cs="Arial"/>
          <w:color w:val="000000" w:themeColor="text1"/>
        </w:rPr>
        <w:t xml:space="preserve">scientists using an </w:t>
      </w:r>
      <w:r w:rsidRPr="00EE5EDA">
        <w:rPr>
          <w:rFonts w:ascii="Arial" w:eastAsia="Calibri" w:hAnsi="Arial" w:cs="Arial"/>
          <w:color w:val="000000" w:themeColor="text1"/>
        </w:rPr>
        <w:t>electronic data extraction spreadsheet developed in MS Excel. Consensus sessions</w:t>
      </w:r>
      <w:r w:rsidR="00BB0DC8">
        <w:rPr>
          <w:rFonts w:ascii="Arial" w:eastAsia="Calibri" w:hAnsi="Arial" w:cs="Arial"/>
          <w:color w:val="000000" w:themeColor="text1"/>
        </w:rPr>
        <w:t xml:space="preserve"> were</w:t>
      </w:r>
      <w:r w:rsidRPr="00EE5EDA">
        <w:rPr>
          <w:rFonts w:ascii="Arial" w:eastAsia="Calibri" w:hAnsi="Arial" w:cs="Arial"/>
          <w:color w:val="000000" w:themeColor="text1"/>
        </w:rPr>
        <w:t xml:space="preserve"> held regularly to resolve data extraction issues. </w:t>
      </w:r>
    </w:p>
    <w:p w14:paraId="1BE261C7" w14:textId="77777777" w:rsidR="00C81971" w:rsidRPr="00EE5EDA" w:rsidRDefault="00C81971" w:rsidP="00C81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</w:p>
    <w:p w14:paraId="56CDDB92" w14:textId="77777777" w:rsidR="00C81971" w:rsidRPr="00EE5EDA" w:rsidRDefault="00C81971" w:rsidP="00C81971">
      <w:pPr>
        <w:keepNext/>
        <w:keepLines/>
        <w:spacing w:before="40" w:after="0" w:line="360" w:lineRule="auto"/>
        <w:outlineLvl w:val="1"/>
        <w:rPr>
          <w:rFonts w:ascii="Arial" w:eastAsia="SimSun" w:hAnsi="Arial" w:cs="Arial"/>
          <w:color w:val="000000" w:themeColor="text1"/>
        </w:rPr>
      </w:pPr>
      <w:r w:rsidRPr="00EE5EDA">
        <w:rPr>
          <w:rFonts w:ascii="Arial" w:eastAsia="SimSun" w:hAnsi="Arial" w:cs="Arial"/>
          <w:color w:val="000000" w:themeColor="text1"/>
        </w:rPr>
        <w:t>3.6 Final inclusion</w:t>
      </w:r>
    </w:p>
    <w:p w14:paraId="326D466F" w14:textId="703A0C2C" w:rsidR="00C81971" w:rsidRPr="00EE5EDA" w:rsidRDefault="00C81971" w:rsidP="00C81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eastAsia="Calibri" w:hAnsi="Arial" w:cs="Arial"/>
          <w:color w:val="000000" w:themeColor="text1"/>
        </w:rPr>
        <w:t xml:space="preserve">Final selection of the study reports </w:t>
      </w:r>
      <w:r w:rsidR="00BB0DC8">
        <w:rPr>
          <w:rFonts w:ascii="Arial" w:eastAsia="Calibri" w:hAnsi="Arial" w:cs="Arial"/>
          <w:color w:val="000000" w:themeColor="text1"/>
        </w:rPr>
        <w:t>was</w:t>
      </w:r>
      <w:r w:rsidRPr="00EE5EDA">
        <w:rPr>
          <w:rFonts w:ascii="Arial" w:eastAsia="Calibri" w:hAnsi="Arial" w:cs="Arial"/>
          <w:color w:val="000000" w:themeColor="text1"/>
        </w:rPr>
        <w:t xml:space="preserve"> performed </w:t>
      </w:r>
      <w:r>
        <w:rPr>
          <w:rFonts w:ascii="Arial" w:eastAsia="Calibri" w:hAnsi="Arial" w:cs="Arial"/>
          <w:color w:val="000000" w:themeColor="text1"/>
        </w:rPr>
        <w:t xml:space="preserve">after </w:t>
      </w:r>
      <w:r w:rsidRPr="00EE5EDA">
        <w:rPr>
          <w:rFonts w:ascii="Arial" w:eastAsia="Calibri" w:hAnsi="Arial" w:cs="Arial"/>
          <w:color w:val="000000" w:themeColor="text1"/>
        </w:rPr>
        <w:t>the scientists involved in the project</w:t>
      </w:r>
      <w:r>
        <w:rPr>
          <w:rFonts w:ascii="Arial" w:eastAsia="Calibri" w:hAnsi="Arial" w:cs="Arial"/>
          <w:color w:val="000000" w:themeColor="text1"/>
        </w:rPr>
        <w:t xml:space="preserve"> </w:t>
      </w:r>
      <w:r w:rsidR="00B222EA">
        <w:rPr>
          <w:rFonts w:ascii="Arial" w:eastAsia="Calibri" w:hAnsi="Arial" w:cs="Arial"/>
          <w:color w:val="000000" w:themeColor="text1"/>
        </w:rPr>
        <w:t xml:space="preserve">reached </w:t>
      </w:r>
      <w:r>
        <w:rPr>
          <w:rFonts w:ascii="Arial" w:eastAsia="Calibri" w:hAnsi="Arial" w:cs="Arial"/>
          <w:color w:val="000000" w:themeColor="text1"/>
        </w:rPr>
        <w:t xml:space="preserve">a consensus. </w:t>
      </w:r>
    </w:p>
    <w:p w14:paraId="2533D45C" w14:textId="77777777" w:rsidR="00C81971" w:rsidRPr="00EE5EDA" w:rsidRDefault="00C81971" w:rsidP="00C81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i/>
          <w:iCs/>
          <w:color w:val="000000" w:themeColor="text1"/>
        </w:rPr>
      </w:pPr>
    </w:p>
    <w:p w14:paraId="5066A490" w14:textId="77777777" w:rsidR="00C81971" w:rsidRPr="00EE5EDA" w:rsidRDefault="00C81971" w:rsidP="00C81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i/>
          <w:iCs/>
          <w:color w:val="000000" w:themeColor="text1"/>
        </w:rPr>
      </w:pPr>
    </w:p>
    <w:p w14:paraId="0CC40BAC" w14:textId="77777777" w:rsidR="00C81971" w:rsidRPr="00EE5EDA" w:rsidRDefault="00C81971" w:rsidP="00C81971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i/>
          <w:iCs/>
          <w:color w:val="000000" w:themeColor="text1"/>
        </w:rPr>
      </w:pPr>
      <w:r w:rsidRPr="00EE5EDA">
        <w:rPr>
          <w:rFonts w:ascii="Arial" w:eastAsia="Calibri" w:hAnsi="Arial" w:cs="Arial"/>
          <w:b/>
          <w:i/>
          <w:iCs/>
          <w:color w:val="000000" w:themeColor="text1"/>
        </w:rPr>
        <w:t>References</w:t>
      </w:r>
    </w:p>
    <w:p w14:paraId="5800736A" w14:textId="77777777" w:rsidR="00C81971" w:rsidRPr="00EE5EDA" w:rsidRDefault="00C81971" w:rsidP="00C8197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58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eastAsia="Calibri" w:hAnsi="Arial" w:cs="Arial"/>
          <w:color w:val="000000" w:themeColor="text1"/>
        </w:rPr>
        <w:t xml:space="preserve">Higgins JPT, Green S (editors). Cochrane Handbook for Systematic Reviews of Interventions Version 5.0.2 [updated September 2009]. The Cochrane Collaboration, 2009. Available from www.cochrane-handbook.org. </w:t>
      </w:r>
    </w:p>
    <w:p w14:paraId="2458909C" w14:textId="77777777" w:rsidR="00C81971" w:rsidRPr="00EE5EDA" w:rsidRDefault="00C81971" w:rsidP="00C8197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58" w:line="360" w:lineRule="auto"/>
        <w:rPr>
          <w:rFonts w:ascii="Arial" w:eastAsia="Calibri" w:hAnsi="Arial" w:cs="Arial"/>
          <w:color w:val="000000" w:themeColor="text1"/>
        </w:rPr>
      </w:pPr>
      <w:r w:rsidRPr="00EE5EDA">
        <w:rPr>
          <w:rFonts w:ascii="Arial" w:eastAsia="Calibri" w:hAnsi="Arial" w:cs="Arial"/>
          <w:color w:val="000000" w:themeColor="text1"/>
        </w:rPr>
        <w:t xml:space="preserve">Moher D, </w:t>
      </w:r>
      <w:proofErr w:type="spellStart"/>
      <w:r w:rsidRPr="00EE5EDA">
        <w:rPr>
          <w:rFonts w:ascii="Arial" w:eastAsia="Calibri" w:hAnsi="Arial" w:cs="Arial"/>
          <w:color w:val="000000" w:themeColor="text1"/>
        </w:rPr>
        <w:t>Liberati</w:t>
      </w:r>
      <w:proofErr w:type="spellEnd"/>
      <w:r w:rsidRPr="00EE5EDA">
        <w:rPr>
          <w:rFonts w:ascii="Arial" w:eastAsia="Calibri" w:hAnsi="Arial" w:cs="Arial"/>
          <w:color w:val="000000" w:themeColor="text1"/>
        </w:rPr>
        <w:t xml:space="preserve"> A, </w:t>
      </w:r>
      <w:proofErr w:type="spellStart"/>
      <w:r w:rsidRPr="00EE5EDA">
        <w:rPr>
          <w:rFonts w:ascii="Arial" w:eastAsia="Calibri" w:hAnsi="Arial" w:cs="Arial"/>
          <w:color w:val="000000" w:themeColor="text1"/>
        </w:rPr>
        <w:t>Tetzlaff</w:t>
      </w:r>
      <w:proofErr w:type="spellEnd"/>
      <w:r w:rsidRPr="00EE5EDA">
        <w:rPr>
          <w:rFonts w:ascii="Arial" w:eastAsia="Calibri" w:hAnsi="Arial" w:cs="Arial"/>
          <w:color w:val="000000" w:themeColor="text1"/>
        </w:rPr>
        <w:t xml:space="preserve"> J, Altman DG, The PRISMA Group (2009). Preferred Reporting Items for Systematic Reviews and Meta-Analyses: The PRISMA Statement. </w:t>
      </w:r>
      <w:proofErr w:type="spellStart"/>
      <w:r w:rsidRPr="00EE5EDA">
        <w:rPr>
          <w:rFonts w:ascii="Arial" w:eastAsia="Calibri" w:hAnsi="Arial" w:cs="Arial"/>
          <w:color w:val="000000" w:themeColor="text1"/>
        </w:rPr>
        <w:t>PLoS</w:t>
      </w:r>
      <w:proofErr w:type="spellEnd"/>
      <w:r w:rsidRPr="00EE5EDA">
        <w:rPr>
          <w:rFonts w:ascii="Arial" w:eastAsia="Calibri" w:hAnsi="Arial" w:cs="Arial"/>
          <w:color w:val="000000" w:themeColor="text1"/>
        </w:rPr>
        <w:t xml:space="preserve"> Med 6(6): e1000097. doi:10.1371/journal.pmed1000097 </w:t>
      </w:r>
    </w:p>
    <w:p w14:paraId="1597BE1D" w14:textId="5E4645C3" w:rsidR="00C81971" w:rsidRDefault="00C81971" w:rsidP="00D870E3">
      <w:pPr>
        <w:spacing w:line="360" w:lineRule="auto"/>
        <w:jc w:val="both"/>
        <w:rPr>
          <w:rFonts w:ascii="Arial" w:hAnsi="Arial" w:cs="Arial"/>
          <w:u w:val="single"/>
        </w:rPr>
      </w:pPr>
    </w:p>
    <w:p w14:paraId="0ED0257A" w14:textId="448D2437" w:rsidR="00C81971" w:rsidRDefault="00C81971" w:rsidP="00D870E3">
      <w:pPr>
        <w:spacing w:line="360" w:lineRule="auto"/>
        <w:jc w:val="both"/>
        <w:rPr>
          <w:rFonts w:ascii="Arial" w:hAnsi="Arial" w:cs="Arial"/>
          <w:u w:val="single"/>
        </w:rPr>
      </w:pPr>
    </w:p>
    <w:p w14:paraId="75B32E37" w14:textId="2D186223" w:rsidR="00C81971" w:rsidRDefault="00C81971" w:rsidP="00D870E3">
      <w:pPr>
        <w:spacing w:line="360" w:lineRule="auto"/>
        <w:jc w:val="both"/>
        <w:rPr>
          <w:rFonts w:ascii="Arial" w:hAnsi="Arial" w:cs="Arial"/>
          <w:u w:val="single"/>
        </w:rPr>
      </w:pPr>
    </w:p>
    <w:p w14:paraId="1B79A0A6" w14:textId="1A633496" w:rsidR="00C81971" w:rsidRDefault="00C81971" w:rsidP="00D870E3">
      <w:pPr>
        <w:spacing w:line="360" w:lineRule="auto"/>
        <w:jc w:val="both"/>
        <w:rPr>
          <w:rFonts w:ascii="Arial" w:hAnsi="Arial" w:cs="Arial"/>
          <w:u w:val="single"/>
        </w:rPr>
      </w:pPr>
    </w:p>
    <w:p w14:paraId="6AE515C9" w14:textId="466CBC1A" w:rsidR="00C81971" w:rsidRDefault="00C81971" w:rsidP="00D870E3">
      <w:pPr>
        <w:spacing w:line="360" w:lineRule="auto"/>
        <w:jc w:val="both"/>
        <w:rPr>
          <w:rFonts w:ascii="Arial" w:hAnsi="Arial" w:cs="Arial"/>
          <w:u w:val="single"/>
        </w:rPr>
      </w:pPr>
    </w:p>
    <w:p w14:paraId="54791C24" w14:textId="48491FB6" w:rsidR="00C81971" w:rsidRDefault="00C81971" w:rsidP="00D870E3">
      <w:pPr>
        <w:spacing w:line="360" w:lineRule="auto"/>
        <w:jc w:val="both"/>
        <w:rPr>
          <w:rFonts w:ascii="Arial" w:hAnsi="Arial" w:cs="Arial"/>
          <w:u w:val="single"/>
        </w:rPr>
      </w:pPr>
    </w:p>
    <w:p w14:paraId="38526727" w14:textId="77777777" w:rsidR="001F2971" w:rsidRDefault="001F2971" w:rsidP="00D870E3">
      <w:pPr>
        <w:spacing w:line="360" w:lineRule="auto"/>
        <w:jc w:val="both"/>
        <w:rPr>
          <w:rFonts w:ascii="Arial" w:hAnsi="Arial" w:cs="Arial"/>
          <w:u w:val="single"/>
        </w:rPr>
      </w:pPr>
    </w:p>
    <w:p w14:paraId="1C0BF071" w14:textId="77777777" w:rsidR="00C81971" w:rsidRDefault="00C81971" w:rsidP="00D870E3">
      <w:pPr>
        <w:spacing w:line="360" w:lineRule="auto"/>
        <w:jc w:val="both"/>
        <w:rPr>
          <w:rFonts w:ascii="Arial" w:hAnsi="Arial" w:cs="Arial"/>
          <w:u w:val="single"/>
        </w:rPr>
      </w:pPr>
    </w:p>
    <w:p w14:paraId="260BE3FC" w14:textId="7DF1E1FA" w:rsidR="00D870E3" w:rsidRPr="00D870E3" w:rsidRDefault="00D870E3" w:rsidP="00D870E3">
      <w:pPr>
        <w:spacing w:line="360" w:lineRule="auto"/>
        <w:jc w:val="both"/>
        <w:rPr>
          <w:rFonts w:ascii="Arial" w:hAnsi="Arial" w:cs="Arial"/>
          <w:u w:val="single"/>
        </w:rPr>
      </w:pPr>
      <w:r w:rsidRPr="00D870E3">
        <w:rPr>
          <w:rFonts w:ascii="Arial" w:hAnsi="Arial" w:cs="Arial"/>
          <w:u w:val="single"/>
        </w:rPr>
        <w:lastRenderedPageBreak/>
        <w:t xml:space="preserve">Supplementary </w:t>
      </w:r>
      <w:r w:rsidR="003E28B2">
        <w:rPr>
          <w:rFonts w:ascii="Arial" w:hAnsi="Arial" w:cs="Arial"/>
          <w:u w:val="single"/>
        </w:rPr>
        <w:t>data S</w:t>
      </w:r>
      <w:r w:rsidR="001F2971">
        <w:rPr>
          <w:rFonts w:ascii="Arial" w:hAnsi="Arial" w:cs="Arial"/>
          <w:u w:val="single"/>
        </w:rPr>
        <w:t>3</w:t>
      </w:r>
    </w:p>
    <w:p w14:paraId="3135FEA8" w14:textId="43772689" w:rsidR="00D870E3" w:rsidRDefault="00D312F7" w:rsidP="00D870E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Outcome/</w:t>
      </w:r>
      <w:r w:rsidR="00C31057">
        <w:rPr>
          <w:rFonts w:ascii="Arial" w:hAnsi="Arial" w:cs="Arial"/>
        </w:rPr>
        <w:t>Endpoint</w:t>
      </w:r>
      <w:r w:rsidR="00D870E3">
        <w:rPr>
          <w:rFonts w:ascii="Arial" w:hAnsi="Arial" w:cs="Arial"/>
        </w:rPr>
        <w:t xml:space="preserve"> inclusion criteria for literature search</w:t>
      </w:r>
    </w:p>
    <w:tbl>
      <w:tblPr>
        <w:tblStyle w:val="TableGrid"/>
        <w:tblW w:w="9878" w:type="dxa"/>
        <w:tblInd w:w="-176" w:type="dxa"/>
        <w:tblBorders>
          <w:top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678"/>
        <w:gridCol w:w="3498"/>
      </w:tblGrid>
      <w:tr w:rsidR="00D870E3" w:rsidRPr="00D870E3" w14:paraId="135DAF63" w14:textId="77777777" w:rsidTr="00FB2E9C">
        <w:trPr>
          <w:cantSplit/>
          <w:trHeight w:val="439"/>
          <w:tblHeader/>
        </w:trPr>
        <w:tc>
          <w:tcPr>
            <w:tcW w:w="1702" w:type="dxa"/>
          </w:tcPr>
          <w:p w14:paraId="7F775123" w14:textId="77777777" w:rsidR="00D870E3" w:rsidRPr="00D870E3" w:rsidRDefault="00D870E3" w:rsidP="003F51E5">
            <w:pPr>
              <w:rPr>
                <w:rFonts w:ascii="Arial" w:hAnsi="Arial" w:cs="Arial"/>
                <w:sz w:val="18"/>
                <w:szCs w:val="18"/>
              </w:rPr>
            </w:pPr>
            <w:r w:rsidRPr="00D870E3">
              <w:rPr>
                <w:rFonts w:ascii="Arial" w:hAnsi="Arial" w:cs="Arial"/>
                <w:sz w:val="18"/>
                <w:szCs w:val="18"/>
              </w:rPr>
              <w:t>Indication</w:t>
            </w:r>
          </w:p>
        </w:tc>
        <w:tc>
          <w:tcPr>
            <w:tcW w:w="4678" w:type="dxa"/>
          </w:tcPr>
          <w:p w14:paraId="1F70B150" w14:textId="77777777" w:rsidR="00D870E3" w:rsidRPr="00D870E3" w:rsidRDefault="00D870E3" w:rsidP="003F51E5">
            <w:pPr>
              <w:rPr>
                <w:rFonts w:ascii="Arial" w:hAnsi="Arial" w:cs="Arial"/>
                <w:sz w:val="18"/>
                <w:szCs w:val="18"/>
              </w:rPr>
            </w:pPr>
            <w:r w:rsidRPr="00D870E3">
              <w:rPr>
                <w:rFonts w:ascii="Arial" w:hAnsi="Arial" w:cs="Arial"/>
                <w:sz w:val="18"/>
                <w:szCs w:val="18"/>
              </w:rPr>
              <w:t>Population</w:t>
            </w:r>
          </w:p>
        </w:tc>
        <w:tc>
          <w:tcPr>
            <w:tcW w:w="3498" w:type="dxa"/>
          </w:tcPr>
          <w:p w14:paraId="414F1ECF" w14:textId="77777777" w:rsidR="00D870E3" w:rsidRPr="00D870E3" w:rsidRDefault="00D312F7" w:rsidP="003F51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Outcome/</w:t>
            </w:r>
            <w:r w:rsidR="00C31057">
              <w:rPr>
                <w:rFonts w:ascii="Arial" w:hAnsi="Arial" w:cs="Arial"/>
                <w:sz w:val="18"/>
                <w:szCs w:val="18"/>
              </w:rPr>
              <w:t>Endpoints</w:t>
            </w:r>
          </w:p>
        </w:tc>
      </w:tr>
      <w:tr w:rsidR="00D870E3" w:rsidRPr="00D870E3" w14:paraId="35E180FC" w14:textId="77777777" w:rsidTr="00FB2E9C">
        <w:trPr>
          <w:cantSplit/>
          <w:trHeight w:val="3834"/>
        </w:trPr>
        <w:tc>
          <w:tcPr>
            <w:tcW w:w="1702" w:type="dxa"/>
          </w:tcPr>
          <w:p w14:paraId="0C1E27AF" w14:textId="77777777" w:rsidR="00D870E3" w:rsidRPr="00FB2E9C" w:rsidRDefault="00626A14" w:rsidP="00FB2E9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all p</w:t>
            </w:r>
            <w:r w:rsidR="00576996">
              <w:rPr>
                <w:rFonts w:ascii="Arial" w:hAnsi="Arial" w:cs="Arial"/>
                <w:sz w:val="18"/>
                <w:szCs w:val="18"/>
              </w:rPr>
              <w:t>a</w:t>
            </w:r>
            <w:r w:rsidRPr="00FB2E9C">
              <w:rPr>
                <w:rFonts w:ascii="Arial" w:hAnsi="Arial" w:cs="Arial"/>
                <w:sz w:val="18"/>
                <w:szCs w:val="18"/>
              </w:rPr>
              <w:t>ediatric inflammatory rheumatic diseases (PiRD)</w:t>
            </w:r>
          </w:p>
        </w:tc>
        <w:tc>
          <w:tcPr>
            <w:tcW w:w="4678" w:type="dxa"/>
          </w:tcPr>
          <w:p w14:paraId="7BE51952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</w:tcPr>
          <w:p w14:paraId="1F095A33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P</w:t>
            </w:r>
            <w:r w:rsidR="00576996">
              <w:rPr>
                <w:rFonts w:ascii="Arial" w:hAnsi="Arial" w:cs="Arial"/>
                <w:sz w:val="18"/>
                <w:szCs w:val="18"/>
              </w:rPr>
              <w:t>a</w:t>
            </w:r>
            <w:r w:rsidRPr="00FB2E9C">
              <w:rPr>
                <w:rFonts w:ascii="Arial" w:hAnsi="Arial" w:cs="Arial"/>
                <w:sz w:val="18"/>
                <w:szCs w:val="18"/>
              </w:rPr>
              <w:t>ediatric Quality of Life Inventory (</w:t>
            </w:r>
            <w:proofErr w:type="spellStart"/>
            <w:r w:rsidRPr="00FB2E9C">
              <w:rPr>
                <w:rFonts w:ascii="Arial" w:hAnsi="Arial" w:cs="Arial"/>
                <w:sz w:val="18"/>
                <w:szCs w:val="18"/>
              </w:rPr>
              <w:t>PedsQoL</w:t>
            </w:r>
            <w:proofErr w:type="spellEnd"/>
            <w:r w:rsidRPr="00FB2E9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4D6104C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C-reactive protein</w:t>
            </w:r>
          </w:p>
          <w:p w14:paraId="633C0F2C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Blood sedimentation rate</w:t>
            </w:r>
          </w:p>
          <w:p w14:paraId="121EE37A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Kidney parameters (Proteinuria, Creatinine, eGFR)</w:t>
            </w:r>
          </w:p>
          <w:p w14:paraId="460986A7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S 100 proteins (S100A12, S100A9, S100A8)</w:t>
            </w:r>
          </w:p>
          <w:p w14:paraId="767F8B82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Blood count</w:t>
            </w:r>
          </w:p>
          <w:p w14:paraId="2E2EDF78" w14:textId="4D0E3334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B2E9C">
              <w:rPr>
                <w:rFonts w:ascii="Arial" w:hAnsi="Arial" w:cs="Arial"/>
                <w:sz w:val="18"/>
                <w:szCs w:val="18"/>
              </w:rPr>
              <w:t>Hepathopathy</w:t>
            </w:r>
            <w:proofErr w:type="spellEnd"/>
            <w:r w:rsidR="001F2971">
              <w:rPr>
                <w:rFonts w:ascii="Arial" w:hAnsi="Arial" w:cs="Arial"/>
                <w:sz w:val="18"/>
                <w:szCs w:val="18"/>
              </w:rPr>
              <w:t>/</w:t>
            </w:r>
            <w:r w:rsidRPr="00FB2E9C">
              <w:rPr>
                <w:rFonts w:ascii="Arial" w:hAnsi="Arial" w:cs="Arial"/>
                <w:sz w:val="18"/>
                <w:szCs w:val="18"/>
              </w:rPr>
              <w:t>Hepatosplenomegaly</w:t>
            </w:r>
          </w:p>
          <w:p w14:paraId="573FCBC5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 xml:space="preserve">Organ damage (lung, </w:t>
            </w:r>
            <w:proofErr w:type="spellStart"/>
            <w:r w:rsidRPr="00FB2E9C">
              <w:rPr>
                <w:rFonts w:ascii="Arial" w:hAnsi="Arial" w:cs="Arial"/>
                <w:sz w:val="18"/>
                <w:szCs w:val="18"/>
              </w:rPr>
              <w:t>esophagous</w:t>
            </w:r>
            <w:proofErr w:type="spellEnd"/>
            <w:r w:rsidRPr="00FB2E9C">
              <w:rPr>
                <w:rFonts w:ascii="Arial" w:hAnsi="Arial" w:cs="Arial"/>
                <w:sz w:val="18"/>
                <w:szCs w:val="18"/>
              </w:rPr>
              <w:t>, kidney)</w:t>
            </w:r>
          </w:p>
          <w:p w14:paraId="457921DA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Allergic reactions</w:t>
            </w:r>
          </w:p>
          <w:p w14:paraId="53148781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Kidney injury</w:t>
            </w:r>
          </w:p>
          <w:p w14:paraId="559F3B80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Infections</w:t>
            </w:r>
          </w:p>
          <w:p w14:paraId="58BA7CF5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Cancer</w:t>
            </w:r>
          </w:p>
          <w:p w14:paraId="0558AC95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Anti-drug-antibodies</w:t>
            </w:r>
          </w:p>
        </w:tc>
      </w:tr>
      <w:tr w:rsidR="00FB2E9C" w:rsidRPr="00D870E3" w14:paraId="300E1851" w14:textId="77777777" w:rsidTr="00C13E6B">
        <w:trPr>
          <w:cantSplit/>
          <w:trHeight w:val="3746"/>
        </w:trPr>
        <w:tc>
          <w:tcPr>
            <w:tcW w:w="1702" w:type="dxa"/>
          </w:tcPr>
          <w:p w14:paraId="271E0782" w14:textId="77777777" w:rsidR="00FB2E9C" w:rsidRPr="00FB2E9C" w:rsidRDefault="00FB2E9C" w:rsidP="00FB2E9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Juvenile idiopathic arthritis (JIA)</w:t>
            </w:r>
          </w:p>
        </w:tc>
        <w:tc>
          <w:tcPr>
            <w:tcW w:w="4678" w:type="dxa"/>
          </w:tcPr>
          <w:p w14:paraId="4612D666" w14:textId="77777777" w:rsid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Polyarticular rheumatoid factor positive/</w:t>
            </w:r>
          </w:p>
          <w:p w14:paraId="5BB7EE87" w14:textId="77777777" w:rsid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negative JIA (PJIA)</w:t>
            </w:r>
          </w:p>
          <w:p w14:paraId="3A46AB54" w14:textId="071057DF" w:rsidR="00FB2E9C" w:rsidRDefault="0048127E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Persistent</w:t>
            </w:r>
            <w:r w:rsidR="00FB2E9C" w:rsidRPr="00FB2E9C">
              <w:rPr>
                <w:rFonts w:ascii="Arial" w:hAnsi="Arial" w:cs="Arial"/>
                <w:sz w:val="18"/>
                <w:szCs w:val="18"/>
              </w:rPr>
              <w:t xml:space="preserve"> or extended oligoarticular JIA</w:t>
            </w:r>
            <w:r w:rsidR="00FB2E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2E9C" w:rsidRPr="00FB2E9C">
              <w:rPr>
                <w:rFonts w:ascii="Arial" w:hAnsi="Arial" w:cs="Arial"/>
                <w:sz w:val="18"/>
                <w:szCs w:val="18"/>
              </w:rPr>
              <w:t>(OJIA</w:t>
            </w:r>
            <w:r w:rsidR="00FB2E9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42779C6" w14:textId="77777777" w:rsid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Enthesitis-related juvenile arthritis and juvenile ankylosing spondylitis, including sacroiliitis (ERA)</w:t>
            </w:r>
          </w:p>
          <w:p w14:paraId="39778CFA" w14:textId="18891362" w:rsidR="00FB2E9C" w:rsidRPr="00FE108C" w:rsidRDefault="001F2971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E108C">
              <w:rPr>
                <w:rFonts w:ascii="Arial" w:hAnsi="Arial" w:cs="Arial"/>
                <w:color w:val="131413"/>
                <w:sz w:val="18"/>
                <w:szCs w:val="18"/>
              </w:rPr>
              <w:t>Psoriatic juvenile idiopathic arthritis;</w:t>
            </w:r>
            <w:r w:rsidR="00FB2E9C" w:rsidRPr="00FE108C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FE108C">
              <w:rPr>
                <w:rFonts w:ascii="Arial" w:hAnsi="Arial" w:cs="Arial"/>
                <w:color w:val="131413"/>
                <w:sz w:val="18"/>
                <w:szCs w:val="18"/>
              </w:rPr>
              <w:t xml:space="preserve"> PsA</w:t>
            </w:r>
            <w:r w:rsidR="00FB2E9C" w:rsidRPr="00FE108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A6829D0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E108C">
              <w:rPr>
                <w:rFonts w:ascii="Arial" w:hAnsi="Arial" w:cs="Arial"/>
                <w:sz w:val="18"/>
                <w:szCs w:val="18"/>
              </w:rPr>
              <w:t>Systemic JIA (SJIA</w:t>
            </w:r>
            <w:r w:rsidRPr="00FB2E9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98" w:type="dxa"/>
          </w:tcPr>
          <w:p w14:paraId="4918E5FB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it-CH"/>
              </w:rPr>
            </w:pPr>
            <w:r w:rsidRPr="00FB2E9C">
              <w:rPr>
                <w:rFonts w:ascii="Arial" w:hAnsi="Arial" w:cs="Arial"/>
                <w:sz w:val="18"/>
                <w:szCs w:val="18"/>
                <w:lang w:val="it-CH"/>
              </w:rPr>
              <w:t xml:space="preserve">ACR Pedi 30%/50%/70%/90% response criteria (ACR Pedi 30/50/70/90) </w:t>
            </w:r>
          </w:p>
          <w:p w14:paraId="1B113B33" w14:textId="29A923F0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Assessment</w:t>
            </w:r>
            <w:r w:rsidR="00FC14C3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="00FC14C3">
              <w:rPr>
                <w:rFonts w:ascii="Arial" w:hAnsi="Arial" w:cs="Arial"/>
                <w:sz w:val="18"/>
                <w:szCs w:val="18"/>
              </w:rPr>
              <w:t>Spondylarthritis</w:t>
            </w:r>
            <w:proofErr w:type="spellEnd"/>
            <w:r w:rsidR="00FC14C3">
              <w:rPr>
                <w:rFonts w:ascii="Arial" w:hAnsi="Arial" w:cs="Arial"/>
                <w:sz w:val="18"/>
                <w:szCs w:val="18"/>
              </w:rPr>
              <w:t xml:space="preserve"> International Society score (ASAS)</w:t>
            </w:r>
            <w:r w:rsidRPr="00FB2E9C">
              <w:rPr>
                <w:rFonts w:ascii="Arial" w:hAnsi="Arial" w:cs="Arial"/>
                <w:sz w:val="18"/>
                <w:szCs w:val="18"/>
              </w:rPr>
              <w:t>Childhood Health Assessment Questionnaire (CHAQ)</w:t>
            </w:r>
          </w:p>
          <w:p w14:paraId="7F18CBA5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 xml:space="preserve">Juvenile Arthritis Multidimensional Assessment Report (JAMAR) </w:t>
            </w:r>
          </w:p>
          <w:p w14:paraId="75497B04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Juvenile Arthritis Disease Activity Score (JADAS 10/27/71)</w:t>
            </w:r>
          </w:p>
          <w:p w14:paraId="1F012EE2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Juvenile Arthritis Damage Index (JADI)</w:t>
            </w:r>
          </w:p>
          <w:p w14:paraId="0B705345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Juvenile Arthritis Functional Assessment Report (JAFAR)</w:t>
            </w:r>
          </w:p>
          <w:p w14:paraId="6F373643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Radiographic Progression of the Disease (</w:t>
            </w:r>
            <w:proofErr w:type="spellStart"/>
            <w:r w:rsidRPr="00FB2E9C">
              <w:rPr>
                <w:rFonts w:ascii="Arial" w:hAnsi="Arial" w:cs="Arial"/>
                <w:sz w:val="18"/>
                <w:szCs w:val="18"/>
              </w:rPr>
              <w:t>Genant</w:t>
            </w:r>
            <w:proofErr w:type="spellEnd"/>
            <w:r w:rsidRPr="00FB2E9C">
              <w:rPr>
                <w:rFonts w:ascii="Arial" w:hAnsi="Arial" w:cs="Arial"/>
                <w:sz w:val="18"/>
                <w:szCs w:val="18"/>
              </w:rPr>
              <w:t xml:space="preserve"> or Modified Sharp Scores) </w:t>
            </w:r>
          </w:p>
          <w:p w14:paraId="34298B05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Morning stiffness</w:t>
            </w:r>
          </w:p>
          <w:p w14:paraId="38C72133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Physician Global assessment (PGA)</w:t>
            </w:r>
          </w:p>
          <w:p w14:paraId="4A5167F6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it-CH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Active joints</w:t>
            </w:r>
          </w:p>
        </w:tc>
      </w:tr>
      <w:tr w:rsidR="00FB2E9C" w:rsidRPr="00D870E3" w14:paraId="2FDE563A" w14:textId="77777777" w:rsidTr="00FB2E9C">
        <w:trPr>
          <w:cantSplit/>
          <w:trHeight w:val="1050"/>
        </w:trPr>
        <w:tc>
          <w:tcPr>
            <w:tcW w:w="1702" w:type="dxa"/>
          </w:tcPr>
          <w:p w14:paraId="27C7AE00" w14:textId="77777777" w:rsidR="00FB2E9C" w:rsidRPr="00FB2E9C" w:rsidRDefault="00FB2E9C" w:rsidP="00FB2E9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Uveitis</w:t>
            </w:r>
          </w:p>
        </w:tc>
        <w:tc>
          <w:tcPr>
            <w:tcW w:w="4678" w:type="dxa"/>
          </w:tcPr>
          <w:p w14:paraId="326AEFEC" w14:textId="77777777" w:rsidR="00FB2E9C" w:rsidRPr="00C31057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C31057">
              <w:rPr>
                <w:rFonts w:ascii="Arial" w:hAnsi="Arial" w:cs="Arial"/>
                <w:sz w:val="18"/>
                <w:szCs w:val="18"/>
                <w:lang w:val="fr-CH"/>
              </w:rPr>
              <w:t>JIA-</w:t>
            </w:r>
            <w:proofErr w:type="spellStart"/>
            <w:r w:rsidRPr="00C31057">
              <w:rPr>
                <w:rFonts w:ascii="Arial" w:hAnsi="Arial" w:cs="Arial"/>
                <w:sz w:val="18"/>
                <w:szCs w:val="18"/>
                <w:lang w:val="fr-CH"/>
              </w:rPr>
              <w:t>uveitis</w:t>
            </w:r>
            <w:proofErr w:type="spellEnd"/>
          </w:p>
          <w:p w14:paraId="4B82F3DF" w14:textId="77777777" w:rsidR="00FB2E9C" w:rsidRPr="00C31057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C31057">
              <w:rPr>
                <w:rFonts w:ascii="Arial" w:hAnsi="Arial" w:cs="Arial"/>
                <w:sz w:val="18"/>
                <w:szCs w:val="18"/>
                <w:lang w:val="fr-CH"/>
              </w:rPr>
              <w:t>non-</w:t>
            </w:r>
            <w:proofErr w:type="spellStart"/>
            <w:r w:rsidRPr="00C31057">
              <w:rPr>
                <w:rFonts w:ascii="Arial" w:hAnsi="Arial" w:cs="Arial"/>
                <w:sz w:val="18"/>
                <w:szCs w:val="18"/>
                <w:lang w:val="fr-CH"/>
              </w:rPr>
              <w:t>infectious</w:t>
            </w:r>
            <w:proofErr w:type="spellEnd"/>
            <w:r w:rsidRPr="00C31057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proofErr w:type="spellStart"/>
            <w:r w:rsidRPr="00C31057">
              <w:rPr>
                <w:rFonts w:ascii="Arial" w:hAnsi="Arial" w:cs="Arial"/>
                <w:sz w:val="18"/>
                <w:szCs w:val="18"/>
                <w:lang w:val="fr-CH"/>
              </w:rPr>
              <w:t>uveitis</w:t>
            </w:r>
            <w:proofErr w:type="spellEnd"/>
          </w:p>
        </w:tc>
        <w:tc>
          <w:tcPr>
            <w:tcW w:w="3498" w:type="dxa"/>
          </w:tcPr>
          <w:p w14:paraId="79D28242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Visual loss</w:t>
            </w:r>
          </w:p>
          <w:p w14:paraId="1BDC0C6C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Degree of Tyndall</w:t>
            </w:r>
          </w:p>
          <w:p w14:paraId="63D55B2E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Degree of Uveitis</w:t>
            </w:r>
          </w:p>
          <w:p w14:paraId="0B17ECA6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Improvement of Laser flare photometry (LFP)</w:t>
            </w:r>
          </w:p>
        </w:tc>
      </w:tr>
      <w:tr w:rsidR="00FB2E9C" w:rsidRPr="00D870E3" w14:paraId="15462043" w14:textId="77777777" w:rsidTr="00FB2E9C">
        <w:trPr>
          <w:cantSplit/>
          <w:trHeight w:val="5322"/>
        </w:trPr>
        <w:tc>
          <w:tcPr>
            <w:tcW w:w="1702" w:type="dxa"/>
          </w:tcPr>
          <w:p w14:paraId="7F9EB234" w14:textId="77777777" w:rsidR="00FB2E9C" w:rsidRPr="00FB2E9C" w:rsidRDefault="00FB2E9C" w:rsidP="00FB2E9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lastRenderedPageBreak/>
              <w:t>Autoinflammatory Diseases</w:t>
            </w:r>
          </w:p>
        </w:tc>
        <w:tc>
          <w:tcPr>
            <w:tcW w:w="4678" w:type="dxa"/>
          </w:tcPr>
          <w:p w14:paraId="06276B82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Familial Mediterranean Fever (FMF)</w:t>
            </w:r>
          </w:p>
          <w:p w14:paraId="3153FC05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TNF receptor</w:t>
            </w:r>
            <w:r w:rsidR="00576996">
              <w:rPr>
                <w:rFonts w:ascii="Arial" w:hAnsi="Arial" w:cs="Arial"/>
                <w:sz w:val="18"/>
                <w:szCs w:val="18"/>
              </w:rPr>
              <w:t>-1 associated periodic syndrome</w:t>
            </w:r>
            <w:r w:rsidRPr="00FB2E9C">
              <w:rPr>
                <w:rFonts w:ascii="Arial" w:hAnsi="Arial" w:cs="Arial"/>
                <w:sz w:val="18"/>
                <w:szCs w:val="18"/>
              </w:rPr>
              <w:t xml:space="preserve"> (TRAPS)</w:t>
            </w:r>
          </w:p>
          <w:p w14:paraId="7DF82294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Cryopyrin-associated periodic syndromes (CAPS)</w:t>
            </w:r>
          </w:p>
          <w:p w14:paraId="33539502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Mevalonate Kinase Deficiency (MKD) /Hyperimmunoglobulin D syndrome (HIDS)</w:t>
            </w:r>
          </w:p>
          <w:p w14:paraId="28883057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Unclassified periodic fever syndromes</w:t>
            </w:r>
          </w:p>
          <w:p w14:paraId="0BB33F71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Chronic recurrent multifocal osteomyelitis (CRMO)</w:t>
            </w:r>
          </w:p>
          <w:p w14:paraId="7695909D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Majeed syndrome</w:t>
            </w:r>
          </w:p>
          <w:p w14:paraId="62D9CA93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Deficiency of the interleukin-1 receptor antagonist (DIRA)</w:t>
            </w:r>
          </w:p>
          <w:p w14:paraId="583D46D6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A20 haploinsufficiency (HA20)</w:t>
            </w:r>
          </w:p>
          <w:p w14:paraId="41D36CFD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 xml:space="preserve">Sideroblastic anemia with B cell immunodeficiency, periodic fevers and developmental delay syndrome (SIFD) </w:t>
            </w:r>
          </w:p>
          <w:p w14:paraId="6708F94E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Pyogenic arthritis, pyoderma gangraenosum and acne (PAPA)</w:t>
            </w:r>
          </w:p>
          <w:p w14:paraId="5E51058B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 xml:space="preserve">Deficiency of the interleukin-36 receptor antagonist (DITRA) </w:t>
            </w:r>
          </w:p>
          <w:p w14:paraId="654E8806" w14:textId="77777777" w:rsidR="00FB2E9C" w:rsidRPr="00C31057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C31057">
              <w:rPr>
                <w:rFonts w:ascii="Arial" w:hAnsi="Arial" w:cs="Arial"/>
                <w:sz w:val="18"/>
                <w:szCs w:val="18"/>
                <w:lang w:val="de-DE"/>
              </w:rPr>
              <w:t>Palmar plantar pustulosis (PPP)</w:t>
            </w:r>
          </w:p>
          <w:p w14:paraId="10C548EA" w14:textId="77777777" w:rsidR="00FB2E9C" w:rsidRPr="00C31057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C31057">
              <w:rPr>
                <w:rFonts w:ascii="Arial" w:hAnsi="Arial" w:cs="Arial"/>
                <w:sz w:val="18"/>
                <w:szCs w:val="18"/>
                <w:lang w:val="de-DE"/>
              </w:rPr>
              <w:t>Pyoderma gangraenosum</w:t>
            </w:r>
          </w:p>
          <w:p w14:paraId="7B8B00B6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Chronic atypical neutrophilic dermatitis with lipodystrophy and elevated temperature (CANDLE)</w:t>
            </w:r>
          </w:p>
          <w:p w14:paraId="1EA73FCE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Stimulator of interferon genes (STING)-associated vasculopathy with onset in infancy (SAVI)</w:t>
            </w:r>
          </w:p>
        </w:tc>
        <w:tc>
          <w:tcPr>
            <w:tcW w:w="3498" w:type="dxa"/>
          </w:tcPr>
          <w:p w14:paraId="114774B7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 xml:space="preserve">Autoinflammatory Disease Activity Index (AIDAI) </w:t>
            </w:r>
          </w:p>
          <w:p w14:paraId="7D5550C4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Autoinflammatory Disease Damage Index (ADDI)</w:t>
            </w:r>
          </w:p>
          <w:p w14:paraId="4D086990" w14:textId="77777777" w:rsidR="00FB2E9C" w:rsidRPr="00C31057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fr-CH"/>
              </w:rPr>
            </w:pPr>
            <w:proofErr w:type="spellStart"/>
            <w:r w:rsidRPr="00C31057">
              <w:rPr>
                <w:rFonts w:ascii="Arial" w:hAnsi="Arial" w:cs="Arial"/>
                <w:sz w:val="18"/>
                <w:szCs w:val="18"/>
                <w:lang w:val="fr-CH"/>
              </w:rPr>
              <w:t>Serum</w:t>
            </w:r>
            <w:proofErr w:type="spellEnd"/>
            <w:r w:rsidRPr="00C31057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proofErr w:type="spellStart"/>
            <w:r w:rsidRPr="00C31057">
              <w:rPr>
                <w:rFonts w:ascii="Arial" w:hAnsi="Arial" w:cs="Arial"/>
                <w:sz w:val="18"/>
                <w:szCs w:val="18"/>
                <w:lang w:val="fr-CH"/>
              </w:rPr>
              <w:t>Amyloid</w:t>
            </w:r>
            <w:proofErr w:type="spellEnd"/>
            <w:r w:rsidRPr="00C31057">
              <w:rPr>
                <w:rFonts w:ascii="Arial" w:hAnsi="Arial" w:cs="Arial"/>
                <w:sz w:val="18"/>
                <w:szCs w:val="18"/>
                <w:lang w:val="fr-CH"/>
              </w:rPr>
              <w:t xml:space="preserve"> A (SAA)</w:t>
            </w:r>
          </w:p>
          <w:p w14:paraId="56C6849D" w14:textId="77777777" w:rsidR="00FB2E9C" w:rsidRPr="00C31057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C31057">
              <w:rPr>
                <w:rFonts w:ascii="Arial" w:hAnsi="Arial" w:cs="Arial"/>
                <w:sz w:val="18"/>
                <w:szCs w:val="18"/>
                <w:lang w:val="fr-CH"/>
              </w:rPr>
              <w:t>Interleukin-6 (IL-6)</w:t>
            </w:r>
          </w:p>
          <w:p w14:paraId="18DA69EF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Interleukin-1 (IL-1)</w:t>
            </w:r>
          </w:p>
          <w:p w14:paraId="0E1EA2B6" w14:textId="58D475E5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Amyloidos</w:t>
            </w:r>
            <w:r w:rsidR="00FC14C3">
              <w:rPr>
                <w:rFonts w:ascii="Arial" w:hAnsi="Arial" w:cs="Arial"/>
                <w:sz w:val="18"/>
                <w:szCs w:val="18"/>
              </w:rPr>
              <w:t>is</w:t>
            </w:r>
          </w:p>
          <w:p w14:paraId="4854CC06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Hearing loss</w:t>
            </w:r>
          </w:p>
          <w:p w14:paraId="7823ECF3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Physician Global assessment (PGA)</w:t>
            </w:r>
          </w:p>
        </w:tc>
      </w:tr>
      <w:tr w:rsidR="00FB2E9C" w:rsidRPr="00D870E3" w14:paraId="0F5AFADC" w14:textId="77777777" w:rsidTr="00FB2E9C">
        <w:trPr>
          <w:cantSplit/>
          <w:trHeight w:val="1981"/>
        </w:trPr>
        <w:tc>
          <w:tcPr>
            <w:tcW w:w="1702" w:type="dxa"/>
          </w:tcPr>
          <w:p w14:paraId="3E507917" w14:textId="77777777" w:rsidR="00FB2E9C" w:rsidRPr="00FB2E9C" w:rsidRDefault="00FB2E9C" w:rsidP="00FB2E9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Vasculitis</w:t>
            </w:r>
          </w:p>
        </w:tc>
        <w:tc>
          <w:tcPr>
            <w:tcW w:w="4678" w:type="dxa"/>
          </w:tcPr>
          <w:p w14:paraId="30423D86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Takayasu arteritis</w:t>
            </w:r>
          </w:p>
          <w:p w14:paraId="783F132B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Leucocytoclastic vasculitis</w:t>
            </w:r>
          </w:p>
          <w:p w14:paraId="26CF627E" w14:textId="77777777" w:rsidR="00576996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Granuloma</w:t>
            </w:r>
            <w:r w:rsidR="00576996">
              <w:rPr>
                <w:rFonts w:ascii="Arial" w:hAnsi="Arial" w:cs="Arial"/>
                <w:sz w:val="18"/>
                <w:szCs w:val="18"/>
              </w:rPr>
              <w:t>tosis with polyangiitis (GPA)</w:t>
            </w:r>
          </w:p>
          <w:p w14:paraId="7D0237A3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Wegener’s Granulomatosis</w:t>
            </w:r>
          </w:p>
          <w:p w14:paraId="591D6D70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Polyarteritis nodosa</w:t>
            </w:r>
          </w:p>
          <w:p w14:paraId="58FC3A07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Microscopic polyangiitis (MPA)</w:t>
            </w:r>
          </w:p>
          <w:p w14:paraId="5F4AFE4D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Eosinophilic granulomatosis with polyangiitis</w:t>
            </w:r>
          </w:p>
          <w:p w14:paraId="5B0AAF0E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Kawasaki Disease (KD)</w:t>
            </w:r>
          </w:p>
          <w:p w14:paraId="43EA992E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Behcet disease</w:t>
            </w:r>
          </w:p>
        </w:tc>
        <w:tc>
          <w:tcPr>
            <w:tcW w:w="3498" w:type="dxa"/>
          </w:tcPr>
          <w:p w14:paraId="1A036589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P</w:t>
            </w:r>
            <w:r w:rsidR="00576996">
              <w:rPr>
                <w:rFonts w:ascii="Arial" w:hAnsi="Arial" w:cs="Arial"/>
                <w:sz w:val="18"/>
                <w:szCs w:val="18"/>
              </w:rPr>
              <w:t>a</w:t>
            </w:r>
            <w:r w:rsidRPr="00FB2E9C">
              <w:rPr>
                <w:rFonts w:ascii="Arial" w:hAnsi="Arial" w:cs="Arial"/>
                <w:sz w:val="18"/>
                <w:szCs w:val="18"/>
              </w:rPr>
              <w:t>ediatric vasculitis activity score (PVAS)</w:t>
            </w:r>
          </w:p>
        </w:tc>
      </w:tr>
      <w:tr w:rsidR="00D870E3" w:rsidRPr="00D870E3" w14:paraId="4D2EB403" w14:textId="77777777" w:rsidTr="00FB2E9C">
        <w:trPr>
          <w:cantSplit/>
          <w:trHeight w:val="1556"/>
        </w:trPr>
        <w:tc>
          <w:tcPr>
            <w:tcW w:w="1702" w:type="dxa"/>
            <w:vMerge w:val="restart"/>
          </w:tcPr>
          <w:p w14:paraId="30568557" w14:textId="77777777" w:rsidR="00D870E3" w:rsidRPr="00FB2E9C" w:rsidRDefault="00D870E3" w:rsidP="00FB2E9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Connective Tissue Diseases</w:t>
            </w:r>
            <w:r w:rsidR="00626A14" w:rsidRPr="00FB2E9C">
              <w:rPr>
                <w:rFonts w:ascii="Arial" w:hAnsi="Arial" w:cs="Arial"/>
                <w:sz w:val="18"/>
                <w:szCs w:val="18"/>
              </w:rPr>
              <w:t xml:space="preserve"> (CTD)</w:t>
            </w:r>
          </w:p>
        </w:tc>
        <w:tc>
          <w:tcPr>
            <w:tcW w:w="4678" w:type="dxa"/>
          </w:tcPr>
          <w:p w14:paraId="02463606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Systemic Lupus Erythematosus (SLE)</w:t>
            </w:r>
          </w:p>
        </w:tc>
        <w:tc>
          <w:tcPr>
            <w:tcW w:w="3498" w:type="dxa"/>
          </w:tcPr>
          <w:p w14:paraId="5A93285E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 xml:space="preserve">Systemic Lupus International Collaborating Clinics (SLICC) </w:t>
            </w:r>
          </w:p>
          <w:p w14:paraId="5A809416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 xml:space="preserve">British Isles Lupus Assessment Group (BILAG) Index 2004 </w:t>
            </w:r>
          </w:p>
          <w:p w14:paraId="11BDFD17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B2E9C">
              <w:rPr>
                <w:rFonts w:ascii="Arial" w:hAnsi="Arial" w:cs="Arial"/>
                <w:sz w:val="18"/>
                <w:szCs w:val="18"/>
              </w:rPr>
              <w:t>Cytopenia</w:t>
            </w:r>
            <w:proofErr w:type="spellEnd"/>
          </w:p>
          <w:p w14:paraId="40A320D0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Systemic Lupus Erythematosus Response Index 4 (SRI4)</w:t>
            </w:r>
          </w:p>
        </w:tc>
      </w:tr>
      <w:tr w:rsidR="00D870E3" w:rsidRPr="00D870E3" w14:paraId="4FCEF383" w14:textId="77777777" w:rsidTr="00FB2E9C">
        <w:trPr>
          <w:cantSplit/>
          <w:trHeight w:val="861"/>
        </w:trPr>
        <w:tc>
          <w:tcPr>
            <w:tcW w:w="1702" w:type="dxa"/>
            <w:vMerge/>
          </w:tcPr>
          <w:p w14:paraId="13BCB8E0" w14:textId="77777777" w:rsidR="00D870E3" w:rsidRPr="00FB2E9C" w:rsidRDefault="00D870E3" w:rsidP="00FB2E9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4A0D1E6D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Juvenile Dermatomyositis (JDM)</w:t>
            </w:r>
          </w:p>
        </w:tc>
        <w:tc>
          <w:tcPr>
            <w:tcW w:w="3498" w:type="dxa"/>
          </w:tcPr>
          <w:p w14:paraId="74550626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 xml:space="preserve">Childhood Myositis Assessment Score (CMAS) </w:t>
            </w:r>
          </w:p>
          <w:p w14:paraId="7CD9D5BD" w14:textId="69BBA582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B2E9C">
              <w:rPr>
                <w:rFonts w:ascii="Arial" w:hAnsi="Arial" w:cs="Arial"/>
                <w:sz w:val="18"/>
                <w:szCs w:val="18"/>
              </w:rPr>
              <w:t>Creatin</w:t>
            </w:r>
            <w:r w:rsidR="00FC14C3">
              <w:rPr>
                <w:rFonts w:ascii="Arial" w:hAnsi="Arial" w:cs="Arial"/>
                <w:sz w:val="18"/>
                <w:szCs w:val="18"/>
              </w:rPr>
              <w:t>in</w:t>
            </w:r>
            <w:r w:rsidRPr="00FB2E9C">
              <w:rPr>
                <w:rFonts w:ascii="Arial" w:hAnsi="Arial" w:cs="Arial"/>
                <w:sz w:val="18"/>
                <w:szCs w:val="18"/>
              </w:rPr>
              <w:t>kinase</w:t>
            </w:r>
            <w:proofErr w:type="spellEnd"/>
          </w:p>
          <w:p w14:paraId="4BE9B044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Aldolase</w:t>
            </w:r>
          </w:p>
          <w:p w14:paraId="5F1BFD3D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Myositis</w:t>
            </w:r>
          </w:p>
        </w:tc>
      </w:tr>
      <w:tr w:rsidR="00FB2E9C" w:rsidRPr="00D870E3" w14:paraId="65ABF3A9" w14:textId="77777777" w:rsidTr="00FB2E9C">
        <w:trPr>
          <w:cantSplit/>
          <w:trHeight w:val="1210"/>
        </w:trPr>
        <w:tc>
          <w:tcPr>
            <w:tcW w:w="1702" w:type="dxa"/>
            <w:vMerge/>
          </w:tcPr>
          <w:p w14:paraId="5160C713" w14:textId="77777777" w:rsidR="00FB2E9C" w:rsidRPr="00FB2E9C" w:rsidRDefault="00FB2E9C" w:rsidP="00FB2E9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8C1FF9E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P</w:t>
            </w:r>
            <w:r w:rsidR="00576996">
              <w:rPr>
                <w:rFonts w:ascii="Arial" w:hAnsi="Arial" w:cs="Arial"/>
                <w:sz w:val="18"/>
                <w:szCs w:val="18"/>
              </w:rPr>
              <w:t>a</w:t>
            </w:r>
            <w:r w:rsidRPr="00FB2E9C">
              <w:rPr>
                <w:rFonts w:ascii="Arial" w:hAnsi="Arial" w:cs="Arial"/>
                <w:sz w:val="18"/>
                <w:szCs w:val="18"/>
              </w:rPr>
              <w:t>ediatric Sarcoidosis</w:t>
            </w:r>
          </w:p>
          <w:p w14:paraId="15781077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Systemic Scleroderma</w:t>
            </w:r>
          </w:p>
          <w:p w14:paraId="3A1C6452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Localized Scleroderma</w:t>
            </w:r>
          </w:p>
          <w:p w14:paraId="6E417561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Sjögren Syndrome</w:t>
            </w:r>
          </w:p>
          <w:p w14:paraId="6040F10A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Mixed connective tissue diseases (MCTD)</w:t>
            </w:r>
          </w:p>
        </w:tc>
        <w:tc>
          <w:tcPr>
            <w:tcW w:w="3498" w:type="dxa"/>
          </w:tcPr>
          <w:p w14:paraId="366BEE91" w14:textId="77777777" w:rsidR="00FB2E9C" w:rsidRPr="00FB2E9C" w:rsidRDefault="00FB2E9C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0E3" w:rsidRPr="00D870E3" w14:paraId="66E368EB" w14:textId="77777777" w:rsidTr="00FB2E9C">
        <w:trPr>
          <w:cantSplit/>
          <w:trHeight w:val="1059"/>
        </w:trPr>
        <w:tc>
          <w:tcPr>
            <w:tcW w:w="1702" w:type="dxa"/>
          </w:tcPr>
          <w:p w14:paraId="10AF8313" w14:textId="77777777" w:rsidR="00D870E3" w:rsidRPr="00FB2E9C" w:rsidRDefault="00D870E3" w:rsidP="00FB2E9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Macrophage activation syndrome</w:t>
            </w:r>
          </w:p>
        </w:tc>
        <w:tc>
          <w:tcPr>
            <w:tcW w:w="4678" w:type="dxa"/>
          </w:tcPr>
          <w:p w14:paraId="384419DD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</w:tcPr>
          <w:p w14:paraId="27A10256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0E3" w:rsidRPr="00D870E3" w14:paraId="2552F91B" w14:textId="77777777" w:rsidTr="00FB2E9C">
        <w:trPr>
          <w:cantSplit/>
          <w:trHeight w:val="439"/>
        </w:trPr>
        <w:tc>
          <w:tcPr>
            <w:tcW w:w="1702" w:type="dxa"/>
          </w:tcPr>
          <w:p w14:paraId="3D3CEABE" w14:textId="77777777" w:rsidR="00D870E3" w:rsidRPr="00FB2E9C" w:rsidRDefault="00D870E3" w:rsidP="00FB2E9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Psoriasis</w:t>
            </w:r>
          </w:p>
        </w:tc>
        <w:tc>
          <w:tcPr>
            <w:tcW w:w="4678" w:type="dxa"/>
          </w:tcPr>
          <w:p w14:paraId="65066006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</w:tcPr>
          <w:p w14:paraId="409EC0B0" w14:textId="77777777" w:rsidR="00D870E3" w:rsidRPr="00FB2E9C" w:rsidRDefault="00D870E3" w:rsidP="00FB2E9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FB2E9C">
              <w:rPr>
                <w:rFonts w:ascii="Arial" w:hAnsi="Arial" w:cs="Arial"/>
                <w:sz w:val="18"/>
                <w:szCs w:val="18"/>
              </w:rPr>
              <w:t>PASI (Psoriasis Area and Severity Index)</w:t>
            </w:r>
          </w:p>
        </w:tc>
      </w:tr>
    </w:tbl>
    <w:p w14:paraId="7B2B3A20" w14:textId="77777777" w:rsidR="0000183C" w:rsidRDefault="0021554D" w:rsidP="00FB2E9C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461DC1B" w14:textId="77777777" w:rsidR="00D870E3" w:rsidRPr="00D870E3" w:rsidRDefault="00D870E3" w:rsidP="00D870E3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D870E3" w:rsidRPr="00D870E3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2EA33" w14:textId="77777777" w:rsidR="0021554D" w:rsidRDefault="0021554D" w:rsidP="00FB2E9C">
      <w:pPr>
        <w:spacing w:after="0" w:line="240" w:lineRule="auto"/>
      </w:pPr>
      <w:r>
        <w:separator/>
      </w:r>
    </w:p>
  </w:endnote>
  <w:endnote w:type="continuationSeparator" w:id="0">
    <w:p w14:paraId="529F32E3" w14:textId="77777777" w:rsidR="0021554D" w:rsidRDefault="0021554D" w:rsidP="00FB2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1026446"/>
      <w:docPartObj>
        <w:docPartGallery w:val="Page Numbers (Bottom of Page)"/>
        <w:docPartUnique/>
      </w:docPartObj>
    </w:sdtPr>
    <w:sdtEndPr/>
    <w:sdtContent>
      <w:p w14:paraId="3CE5E565" w14:textId="67E7D41C" w:rsidR="00FB2E9C" w:rsidRDefault="00FB2E9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08C" w:rsidRPr="00FE108C">
          <w:rPr>
            <w:noProof/>
            <w:lang w:val="de-DE"/>
          </w:rPr>
          <w:t>1</w:t>
        </w:r>
        <w:r>
          <w:fldChar w:fldCharType="end"/>
        </w:r>
        <w:r w:rsidR="00C81971">
          <w:t>/6</w:t>
        </w:r>
      </w:p>
    </w:sdtContent>
  </w:sdt>
  <w:p w14:paraId="5A9E2A4F" w14:textId="77777777" w:rsidR="00FB2E9C" w:rsidRDefault="00FB2E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644E08" w14:textId="77777777" w:rsidR="0021554D" w:rsidRDefault="0021554D" w:rsidP="00FB2E9C">
      <w:pPr>
        <w:spacing w:after="0" w:line="240" w:lineRule="auto"/>
      </w:pPr>
      <w:r>
        <w:separator/>
      </w:r>
    </w:p>
  </w:footnote>
  <w:footnote w:type="continuationSeparator" w:id="0">
    <w:p w14:paraId="76384404" w14:textId="77777777" w:rsidR="0021554D" w:rsidRDefault="0021554D" w:rsidP="00FB2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C3AE8"/>
    <w:multiLevelType w:val="hybridMultilevel"/>
    <w:tmpl w:val="6B44A774"/>
    <w:lvl w:ilvl="0" w:tplc="E0F6EB4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F4FED"/>
    <w:multiLevelType w:val="hybridMultilevel"/>
    <w:tmpl w:val="7C8EE84E"/>
    <w:lvl w:ilvl="0" w:tplc="91700A44">
      <w:start w:val="1"/>
      <w:numFmt w:val="decimal"/>
      <w:lvlText w:val="%1."/>
      <w:lvlJc w:val="left"/>
      <w:pPr>
        <w:ind w:left="360" w:hanging="360"/>
      </w:pPr>
      <w:rPr>
        <w:rFonts w:ascii="Arial" w:eastAsia="SimSun" w:hAnsi="Arial" w:cs="Arial" w:hint="default"/>
        <w:b w:val="0"/>
        <w:color w:val="000000" w:themeColor="text1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081432"/>
    <w:multiLevelType w:val="hybridMultilevel"/>
    <w:tmpl w:val="747C2B56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9D0C87"/>
    <w:multiLevelType w:val="hybridMultilevel"/>
    <w:tmpl w:val="03EE0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D0444"/>
    <w:multiLevelType w:val="hybridMultilevel"/>
    <w:tmpl w:val="8B70F048"/>
    <w:lvl w:ilvl="0" w:tplc="4D18FF2C">
      <w:start w:val="1"/>
      <w:numFmt w:val="upp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5470E6"/>
    <w:multiLevelType w:val="multilevel"/>
    <w:tmpl w:val="F74CB0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2311EC1"/>
    <w:multiLevelType w:val="hybridMultilevel"/>
    <w:tmpl w:val="A80C67D8"/>
    <w:lvl w:ilvl="0" w:tplc="4D18FF2C">
      <w:start w:val="1"/>
      <w:numFmt w:val="upp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atjana Welzel">
    <w15:presenceInfo w15:providerId="None" w15:userId="Tatjana Welzel"/>
  </w15:person>
  <w15:person w15:author="Carolyn Winskill">
    <w15:presenceInfo w15:providerId="AD" w15:userId="S-1-5-21-3290713378-1251487440-3091856871-152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E3"/>
    <w:rsid w:val="00002AC8"/>
    <w:rsid w:val="00007AEE"/>
    <w:rsid w:val="000A72A1"/>
    <w:rsid w:val="000E24F3"/>
    <w:rsid w:val="001E3EB9"/>
    <w:rsid w:val="001F2971"/>
    <w:rsid w:val="0021554D"/>
    <w:rsid w:val="002A3982"/>
    <w:rsid w:val="002C1416"/>
    <w:rsid w:val="002E2249"/>
    <w:rsid w:val="00357458"/>
    <w:rsid w:val="003C419C"/>
    <w:rsid w:val="003E28B2"/>
    <w:rsid w:val="00437E30"/>
    <w:rsid w:val="0048127E"/>
    <w:rsid w:val="004B05FE"/>
    <w:rsid w:val="005500E2"/>
    <w:rsid w:val="00576996"/>
    <w:rsid w:val="00626A14"/>
    <w:rsid w:val="00672A89"/>
    <w:rsid w:val="00780D26"/>
    <w:rsid w:val="007B353C"/>
    <w:rsid w:val="0085394A"/>
    <w:rsid w:val="008B7C94"/>
    <w:rsid w:val="00902073"/>
    <w:rsid w:val="009B4B5A"/>
    <w:rsid w:val="00AB65BF"/>
    <w:rsid w:val="00B222EA"/>
    <w:rsid w:val="00BB0DC8"/>
    <w:rsid w:val="00BB39AC"/>
    <w:rsid w:val="00C02825"/>
    <w:rsid w:val="00C31057"/>
    <w:rsid w:val="00C81971"/>
    <w:rsid w:val="00D05085"/>
    <w:rsid w:val="00D312F7"/>
    <w:rsid w:val="00D32066"/>
    <w:rsid w:val="00D870E3"/>
    <w:rsid w:val="00F00CBE"/>
    <w:rsid w:val="00F550D6"/>
    <w:rsid w:val="00FB2E9C"/>
    <w:rsid w:val="00FC14C3"/>
    <w:rsid w:val="00FE108C"/>
    <w:rsid w:val="00FE61E2"/>
    <w:rsid w:val="00FF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511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0E3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0E3"/>
    <w:pPr>
      <w:ind w:left="720"/>
      <w:contextualSpacing/>
    </w:pPr>
  </w:style>
  <w:style w:type="table" w:styleId="TableGrid">
    <w:name w:val="Table Grid"/>
    <w:basedOn w:val="TableNormal"/>
    <w:uiPriority w:val="59"/>
    <w:rsid w:val="00D870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2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E9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2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E9C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22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2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24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249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249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rsid w:val="00C819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0E3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0E3"/>
    <w:pPr>
      <w:ind w:left="720"/>
      <w:contextualSpacing/>
    </w:pPr>
  </w:style>
  <w:style w:type="table" w:styleId="TableGrid">
    <w:name w:val="Table Grid"/>
    <w:basedOn w:val="TableNormal"/>
    <w:uiPriority w:val="59"/>
    <w:rsid w:val="00D870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2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E9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2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E9C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22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2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24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249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249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rsid w:val="00C819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inicaltrials.gov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linicaltrialsregister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1260</Words>
  <Characters>7186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Universitäts-Kinderspital beider Basel (UKBB)</Company>
  <LinksUpToDate>false</LinksUpToDate>
  <CharactersWithSpaces>8430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Welzel</dc:creator>
  <cp:lastModifiedBy>Soreño, Jeniezel</cp:lastModifiedBy>
  <cp:revision>2</cp:revision>
  <dcterms:created xsi:type="dcterms:W3CDTF">2021-03-21T03:35:00Z</dcterms:created>
  <dcterms:modified xsi:type="dcterms:W3CDTF">2021-03-21T03:35:00Z</dcterms:modified>
</cp:coreProperties>
</file>