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宋体"/>
          <w:color w:val="auto"/>
          <w:sz w:val="24"/>
          <w:lang w:eastAsia="zh-CN"/>
        </w:rPr>
      </w:pPr>
      <w:bookmarkStart w:id="0" w:name="OLE_LINK1"/>
      <w:r>
        <w:rPr>
          <w:rFonts w:hint="default" w:ascii="Times New Roman" w:hAnsi="Times New Roman" w:eastAsia="宋体"/>
          <w:color w:val="auto"/>
          <w:sz w:val="24"/>
          <w:lang w:eastAsia="zh-CN"/>
        </w:rPr>
        <w:t>S</w:t>
      </w:r>
      <w:r>
        <w:rPr>
          <w:rFonts w:hint="default" w:ascii="Times New Roman" w:hAnsi="Times New Roman" w:eastAsia="宋体"/>
          <w:color w:val="auto"/>
          <w:sz w:val="24"/>
          <w:lang w:val="en-US" w:eastAsia="zh-CN"/>
        </w:rPr>
        <w:t>upplementary table</w:t>
      </w:r>
      <w:bookmarkEnd w:id="0"/>
      <w:r>
        <w:rPr>
          <w:rFonts w:hint="default" w:ascii="Times New Roman" w:hAnsi="Times New Roman" w:eastAsia="宋体"/>
          <w:color w:val="auto"/>
          <w:sz w:val="24"/>
          <w:lang w:eastAsia="zh-CN"/>
        </w:rPr>
        <w:t xml:space="preserve"> 1 The Japanese diagnostic criteria of Sjögren’s Syndrome in children and adolescents (2018)</w:t>
      </w:r>
    </w:p>
    <w:tbl>
      <w:tblPr>
        <w:tblStyle w:val="4"/>
        <w:tblpPr w:leftFromText="180" w:rightFromText="180" w:vertAnchor="text" w:horzAnchor="page" w:tblpX="1806" w:tblpY="621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3"/>
        <w:gridCol w:w="4654"/>
        <w:gridCol w:w="10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S Score</w:t>
            </w:r>
          </w:p>
        </w:tc>
        <w:tc>
          <w:tcPr>
            <w:tcW w:w="465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Criteria</w:t>
            </w:r>
          </w:p>
        </w:tc>
        <w:tc>
          <w:tcPr>
            <w:tcW w:w="100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Score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3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IgG level</w:t>
            </w:r>
          </w:p>
        </w:tc>
        <w:tc>
          <w:tcPr>
            <w:tcW w:w="4654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Higher than 97.5 percentile in the corresponding age group</w:t>
            </w:r>
          </w:p>
        </w:tc>
        <w:tc>
          <w:tcPr>
            <w:tcW w:w="1005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3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Anti-nuclear antibody</w:t>
            </w:r>
          </w:p>
        </w:tc>
        <w:tc>
          <w:tcPr>
            <w:tcW w:w="465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1:40-1:80</w:t>
            </w:r>
          </w:p>
        </w:tc>
        <w:tc>
          <w:tcPr>
            <w:tcW w:w="1005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3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</w:pPr>
          </w:p>
        </w:tc>
        <w:tc>
          <w:tcPr>
            <w:tcW w:w="465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1:160</w:t>
            </w:r>
          </w:p>
        </w:tc>
        <w:tc>
          <w:tcPr>
            <w:tcW w:w="1005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3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</w:pPr>
          </w:p>
        </w:tc>
        <w:tc>
          <w:tcPr>
            <w:tcW w:w="465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≥1:320</w:t>
            </w:r>
          </w:p>
        </w:tc>
        <w:tc>
          <w:tcPr>
            <w:tcW w:w="1005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3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Rheumatoid factor</w:t>
            </w:r>
          </w:p>
        </w:tc>
        <w:tc>
          <w:tcPr>
            <w:tcW w:w="465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≥15.0 U/L</w:t>
            </w:r>
          </w:p>
        </w:tc>
        <w:tc>
          <w:tcPr>
            <w:tcW w:w="1005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Either anti-SS-A/Ro</w:t>
            </w:r>
          </w:p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antibody or anti-SS-B/La</w:t>
            </w:r>
          </w:p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antibody</w:t>
            </w:r>
          </w:p>
        </w:tc>
        <w:tc>
          <w:tcPr>
            <w:tcW w:w="4654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Result from the Ouchterlony method 1:1, higher than reference value by ELISA</w:t>
            </w:r>
          </w:p>
        </w:tc>
        <w:tc>
          <w:tcPr>
            <w:tcW w:w="1005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6</w:t>
            </w:r>
          </w:p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G Score</w:t>
            </w:r>
          </w:p>
        </w:tc>
        <w:tc>
          <w:tcPr>
            <w:tcW w:w="465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Criteria</w:t>
            </w:r>
          </w:p>
        </w:tc>
        <w:tc>
          <w:tcPr>
            <w:tcW w:w="100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Score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3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Labial minor salivary gland biopsy</w:t>
            </w:r>
          </w:p>
        </w:tc>
        <w:tc>
          <w:tcPr>
            <w:tcW w:w="4654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Cellular infiltration is apparent but focus (periductal infiltrate</w:t>
            </w:r>
          </w:p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of more than 50 mononuclear cells)</w:t>
            </w:r>
          </w:p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&lt; 1 focus / 4 mm</w:t>
            </w:r>
            <w:r>
              <w:rPr>
                <w:rFonts w:hint="default" w:ascii="Times New Roman" w:hAnsi="Times New Roman" w:eastAsia="宋体"/>
                <w:color w:val="auto"/>
                <w:sz w:val="24"/>
                <w:vertAlign w:val="superscript"/>
                <w:lang w:eastAsia="zh-CN"/>
              </w:rPr>
              <w:t>2</w:t>
            </w:r>
          </w:p>
        </w:tc>
        <w:tc>
          <w:tcPr>
            <w:tcW w:w="1005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3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</w:pPr>
          </w:p>
        </w:tc>
        <w:tc>
          <w:tcPr>
            <w:tcW w:w="465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&gt; 1 focus / 4 mm</w:t>
            </w:r>
            <w:r>
              <w:rPr>
                <w:rFonts w:hint="default" w:ascii="Times New Roman" w:hAnsi="Times New Roman" w:eastAsia="宋体"/>
                <w:color w:val="auto"/>
                <w:sz w:val="24"/>
                <w:vertAlign w:val="superscript"/>
                <w:lang w:eastAsia="zh-CN"/>
              </w:rPr>
              <w:t>2</w:t>
            </w:r>
          </w:p>
        </w:tc>
        <w:tc>
          <w:tcPr>
            <w:tcW w:w="1005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3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Parotid gland sialography</w:t>
            </w:r>
          </w:p>
        </w:tc>
        <w:tc>
          <w:tcPr>
            <w:tcW w:w="4654" w:type="dxa"/>
            <w:noWrap w:val="0"/>
            <w:vAlign w:val="top"/>
          </w:tcPr>
          <w:p>
            <w:pP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Stage in the Rubin-Holt Classification ≥1</w:t>
            </w:r>
          </w:p>
        </w:tc>
        <w:tc>
          <w:tcPr>
            <w:tcW w:w="1005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3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Salivary gland scintigraphy</w:t>
            </w:r>
          </w:p>
        </w:tc>
        <w:tc>
          <w:tcPr>
            <w:tcW w:w="465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 xml:space="preserve"> Reduction of uptake or secretion in any of the 4 major salivary glands</w:t>
            </w:r>
          </w:p>
        </w:tc>
        <w:tc>
          <w:tcPr>
            <w:tcW w:w="1005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3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Salivary secretion</w:t>
            </w:r>
          </w:p>
        </w:tc>
        <w:tc>
          <w:tcPr>
            <w:tcW w:w="465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Result of Saxon test  2.0 g / 2 minutes</w:t>
            </w:r>
          </w:p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or</w:t>
            </w:r>
          </w:p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Production rate of resting saliva  1.5 mL / 15 minutes</w:t>
            </w:r>
          </w:p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or</w:t>
            </w:r>
          </w:p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Result of chewing gum test  10 mL / 10 minutes</w:t>
            </w:r>
          </w:p>
        </w:tc>
        <w:tc>
          <w:tcPr>
            <w:tcW w:w="1005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3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 xml:space="preserve"> Lachrymal gland</w:t>
            </w:r>
          </w:p>
        </w:tc>
        <w:tc>
          <w:tcPr>
            <w:tcW w:w="465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Both Schirmer’s test</w:t>
            </w:r>
          </w:p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24"/>
                <w:lang w:eastAsia="zh-CN"/>
              </w:rPr>
              <w:t>≤</w:t>
            </w: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 xml:space="preserve">5 mm / 5 minutes and a positive rose bengal test (van Bijsterveld score ≥3) </w:t>
            </w:r>
          </w:p>
        </w:tc>
        <w:tc>
          <w:tcPr>
            <w:tcW w:w="1005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3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</w:pPr>
          </w:p>
        </w:tc>
        <w:tc>
          <w:tcPr>
            <w:tcW w:w="465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Both Schirmer’s test</w:t>
            </w:r>
          </w:p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24"/>
                <w:lang w:eastAsia="zh-CN"/>
              </w:rPr>
              <w:t>≤</w:t>
            </w: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5 mm / 5 minutes and positive fluorescein staining</w:t>
            </w:r>
          </w:p>
        </w:tc>
        <w:tc>
          <w:tcPr>
            <w:tcW w:w="1005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</w:pPr>
          </w:p>
        </w:tc>
        <w:tc>
          <w:tcPr>
            <w:tcW w:w="4654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ACR score (staining of cornea and conjunctiva)≥3</w:t>
            </w:r>
          </w:p>
        </w:tc>
        <w:tc>
          <w:tcPr>
            <w:tcW w:w="1005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2</w:t>
            </w:r>
          </w:p>
        </w:tc>
      </w:tr>
    </w:tbl>
    <w:p>
      <w:pPr>
        <w:rPr>
          <w:rFonts w:hint="default" w:ascii="Times New Roman" w:hAnsi="Times New Roman" w:eastAsia="宋体"/>
          <w:color w:val="auto"/>
          <w:sz w:val="24"/>
          <w:lang w:eastAsia="zh-CN"/>
        </w:rPr>
      </w:pPr>
      <w:r>
        <w:rPr>
          <w:rFonts w:hint="default" w:ascii="Times New Roman" w:hAnsi="Times New Roman" w:eastAsia="宋体"/>
          <w:color w:val="auto"/>
          <w:sz w:val="24"/>
          <w:lang w:eastAsia="zh-CN"/>
        </w:rPr>
        <w:t>1.1 The criteria of S Score and G Score</w:t>
      </w:r>
    </w:p>
    <w:p>
      <w:pPr>
        <w:rPr>
          <w:rFonts w:hint="default" w:ascii="Times New Roman" w:hAnsi="Times New Roman" w:eastAsia="宋体"/>
          <w:color w:val="auto"/>
          <w:sz w:val="24"/>
          <w:lang w:eastAsia="zh-CN"/>
        </w:rPr>
      </w:pPr>
    </w:p>
    <w:p>
      <w:pPr>
        <w:rPr>
          <w:rFonts w:hint="default" w:ascii="Times New Roman" w:hAnsi="Times New Roman" w:eastAsia="宋体"/>
          <w:color w:val="auto"/>
          <w:sz w:val="24"/>
          <w:lang w:eastAsia="zh-CN"/>
        </w:rPr>
      </w:pPr>
    </w:p>
    <w:p>
      <w:pPr>
        <w:rPr>
          <w:rFonts w:hint="default" w:ascii="Times New Roman" w:hAnsi="Times New Roman" w:eastAsia="宋体"/>
          <w:color w:val="auto"/>
          <w:sz w:val="24"/>
          <w:lang w:eastAsia="zh-CN"/>
        </w:rPr>
      </w:pPr>
    </w:p>
    <w:p>
      <w:pPr>
        <w:rPr>
          <w:rFonts w:hint="default" w:ascii="Times New Roman" w:hAnsi="Times New Roman" w:eastAsia="宋体"/>
          <w:color w:val="auto"/>
          <w:sz w:val="24"/>
          <w:lang w:eastAsia="zh-CN"/>
        </w:rPr>
      </w:pPr>
    </w:p>
    <w:p>
      <w:pPr>
        <w:rPr>
          <w:rFonts w:hint="default" w:ascii="Times New Roman" w:hAnsi="Times New Roman" w:eastAsia="宋体"/>
          <w:color w:val="auto"/>
          <w:sz w:val="24"/>
          <w:lang w:eastAsia="zh-CN"/>
        </w:rPr>
      </w:pPr>
    </w:p>
    <w:p>
      <w:pPr>
        <w:rPr>
          <w:rFonts w:hint="default" w:ascii="Times New Roman" w:hAnsi="Times New Roman" w:eastAsia="宋体"/>
          <w:color w:val="auto"/>
          <w:sz w:val="24"/>
          <w:lang w:eastAsia="zh-CN"/>
        </w:rPr>
      </w:pPr>
    </w:p>
    <w:p>
      <w:pPr>
        <w:rPr>
          <w:rFonts w:hint="default" w:ascii="Times New Roman" w:hAnsi="Times New Roman" w:eastAsia="宋体"/>
          <w:color w:val="auto"/>
          <w:sz w:val="24"/>
          <w:vertAlign w:val="baseline"/>
          <w:lang w:eastAsia="zh-CN"/>
        </w:rPr>
      </w:pPr>
      <w:r>
        <w:rPr>
          <w:rFonts w:hint="default" w:ascii="Times New Roman" w:hAnsi="Times New Roman" w:eastAsia="宋体"/>
          <w:color w:val="auto"/>
          <w:sz w:val="24"/>
          <w:lang w:eastAsia="zh-CN"/>
        </w:rPr>
        <w:t>1.2 The diagnostics guidance.</w:t>
      </w: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130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S Score</w:t>
            </w:r>
          </w:p>
        </w:tc>
        <w:tc>
          <w:tcPr>
            <w:tcW w:w="6392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G Score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</w:pPr>
          </w:p>
        </w:tc>
        <w:tc>
          <w:tcPr>
            <w:tcW w:w="213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≥2</w:t>
            </w:r>
          </w:p>
        </w:tc>
        <w:tc>
          <w:tcPr>
            <w:tcW w:w="213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  <w:t>1</w:t>
            </w:r>
          </w:p>
        </w:tc>
        <w:tc>
          <w:tcPr>
            <w:tcW w:w="213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≥6</w:t>
            </w:r>
          </w:p>
        </w:tc>
        <w:tc>
          <w:tcPr>
            <w:tcW w:w="2130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Definite</w:t>
            </w:r>
          </w:p>
        </w:tc>
        <w:tc>
          <w:tcPr>
            <w:tcW w:w="2131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probable</w:t>
            </w:r>
          </w:p>
        </w:tc>
        <w:tc>
          <w:tcPr>
            <w:tcW w:w="2131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possible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  <w:t>5</w:t>
            </w:r>
          </w:p>
        </w:tc>
        <w:tc>
          <w:tcPr>
            <w:tcW w:w="213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Probable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Probable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possible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  <w:t>4</w:t>
            </w:r>
          </w:p>
        </w:tc>
        <w:tc>
          <w:tcPr>
            <w:tcW w:w="213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1"/>
                <w:vertAlign w:val="baseline"/>
                <w:lang w:eastAsia="zh-CN" w:bidi="ar-SA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Probable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1"/>
                <w:vertAlign w:val="baseline"/>
                <w:lang w:eastAsia="zh-CN" w:bidi="ar-SA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Probable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1"/>
                <w:vertAlign w:val="baseline"/>
                <w:lang w:eastAsia="zh-CN" w:bidi="ar-SA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possible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  <w:t>3</w:t>
            </w:r>
          </w:p>
        </w:tc>
        <w:tc>
          <w:tcPr>
            <w:tcW w:w="213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Probable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possible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needs follow-up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  <w:t>2</w:t>
            </w:r>
          </w:p>
        </w:tc>
        <w:tc>
          <w:tcPr>
            <w:tcW w:w="213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Probable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1"/>
                <w:vertAlign w:val="baseline"/>
                <w:lang w:eastAsia="zh-CN" w:bidi="ar-SA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possible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1"/>
                <w:vertAlign w:val="baseline"/>
                <w:lang w:eastAsia="zh-CN" w:bidi="ar-SA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needs follow-up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  <w:t>1</w:t>
            </w:r>
          </w:p>
        </w:tc>
        <w:tc>
          <w:tcPr>
            <w:tcW w:w="213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possible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1"/>
                <w:vertAlign w:val="baseline"/>
                <w:lang w:eastAsia="zh-CN" w:bidi="ar-SA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possible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1"/>
                <w:vertAlign w:val="baseline"/>
                <w:lang w:eastAsia="zh-CN" w:bidi="ar-SA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needs follow-up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  <w:t>0</w:t>
            </w:r>
          </w:p>
        </w:tc>
        <w:tc>
          <w:tcPr>
            <w:tcW w:w="2130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1"/>
                <w:vertAlign w:val="baseline"/>
                <w:lang w:eastAsia="zh-CN" w:bidi="ar-SA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needs follow-up</w:t>
            </w:r>
          </w:p>
        </w:tc>
        <w:tc>
          <w:tcPr>
            <w:tcW w:w="2131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1"/>
                <w:vertAlign w:val="baseline"/>
                <w:lang w:eastAsia="zh-CN" w:bidi="ar-SA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needs follow-up</w:t>
            </w:r>
          </w:p>
        </w:tc>
        <w:tc>
          <w:tcPr>
            <w:tcW w:w="2131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lang w:eastAsia="zh-CN"/>
              </w:rPr>
              <w:t>possibly non-SS</w:t>
            </w:r>
          </w:p>
        </w:tc>
      </w:tr>
    </w:tbl>
    <w:p>
      <w:pPr>
        <w:rPr>
          <w:rFonts w:hint="default" w:ascii="Times New Roman" w:hAnsi="Times New Roman" w:eastAsia="宋体"/>
          <w:color w:val="auto"/>
          <w:sz w:val="24"/>
          <w:lang w:eastAsia="zh-CN"/>
        </w:rPr>
      </w:pPr>
      <w:r>
        <w:rPr>
          <w:rFonts w:hint="default" w:ascii="Times New Roman" w:hAnsi="Times New Roman" w:eastAsia="宋体"/>
          <w:color w:val="auto"/>
          <w:sz w:val="24"/>
          <w:lang w:eastAsia="zh-CN"/>
        </w:rPr>
        <w:t xml:space="preserve"> </w:t>
      </w:r>
    </w:p>
    <w:p>
      <w:pPr>
        <w:rPr>
          <w:rFonts w:hint="default" w:ascii="Times New Roman" w:hAnsi="Times New Roman" w:eastAsia="宋体"/>
          <w:color w:val="auto"/>
          <w:sz w:val="24"/>
          <w:lang w:eastAsia="zh-CN"/>
        </w:rPr>
      </w:pPr>
      <w:r>
        <w:rPr>
          <w:rFonts w:hint="default" w:ascii="Times New Roman" w:hAnsi="Times New Roman" w:eastAsia="宋体"/>
          <w:color w:val="auto"/>
          <w:sz w:val="24"/>
          <w:lang w:eastAsia="zh-CN"/>
        </w:rPr>
        <w:br w:type="page"/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/>
          <w:color w:val="auto"/>
          <w:sz w:val="24"/>
          <w:lang w:eastAsia="zh-CN"/>
        </w:rPr>
        <w:t>S</w:t>
      </w:r>
      <w:r>
        <w:rPr>
          <w:rFonts w:hint="default" w:ascii="Times New Roman" w:hAnsi="Times New Roman" w:eastAsia="宋体"/>
          <w:color w:val="auto"/>
          <w:sz w:val="24"/>
          <w:lang w:val="en-US" w:eastAsia="zh-CN"/>
        </w:rPr>
        <w:t>upplementary table</w:t>
      </w:r>
      <w:r>
        <w:rPr>
          <w:rFonts w:hint="default" w:ascii="Times New Roman" w:hAnsi="Times New Roman" w:eastAsia="宋体"/>
          <w:color w:val="auto"/>
          <w:sz w:val="24"/>
          <w:lang w:eastAsia="zh-CN"/>
        </w:rPr>
        <w:t xml:space="preserve"> 2</w:t>
      </w:r>
      <w:bookmarkStart w:id="1" w:name="_GoBack"/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Treatment of pediatric SS patients and classification results based on the 2018 Japanese diagnostic guidelines (n = 54)</w:t>
      </w:r>
      <w:bookmarkEnd w:id="1"/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1"/>
        <w:gridCol w:w="1565"/>
        <w:gridCol w:w="1565"/>
        <w:gridCol w:w="1565"/>
        <w:gridCol w:w="15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6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</w:p>
        </w:tc>
        <w:tc>
          <w:tcPr>
            <w:tcW w:w="156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No.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Hans"/>
              </w:rPr>
              <w:t>(n=54)</w:t>
            </w:r>
          </w:p>
        </w:tc>
        <w:tc>
          <w:tcPr>
            <w:tcW w:w="156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 xml:space="preserve">pSS 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Hans"/>
              </w:rPr>
              <w:t>(n=34)</w:t>
            </w:r>
          </w:p>
        </w:tc>
        <w:tc>
          <w:tcPr>
            <w:tcW w:w="156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sSS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Hans"/>
              </w:rPr>
              <w:t xml:space="preserve"> (n=20)</w:t>
            </w:r>
          </w:p>
        </w:tc>
        <w:tc>
          <w:tcPr>
            <w:tcW w:w="156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24"/>
                <w:szCs w:val="24"/>
                <w:lang w:eastAsia="zh-Hans"/>
              </w:rPr>
              <w:t>P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61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Steroid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Hans"/>
              </w:rPr>
              <w:t>%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65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48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88.9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65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30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88.2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65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18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90.0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66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1.000*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61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Hydroxychloroquine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Hans"/>
              </w:rPr>
              <w:t>%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65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50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92.6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65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30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88.2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65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20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100.0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66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0.285*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61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MMF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Hans"/>
              </w:rPr>
              <w:t>%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65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13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24.1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65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6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17.6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65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7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35.0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66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0.194*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61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Belimumab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Hans"/>
              </w:rPr>
              <w:t>%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65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4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7.4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65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2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5.9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65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2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10.0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66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0.622*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61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CTX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Hans"/>
              </w:rPr>
              <w:t>%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65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3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5.6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65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2.9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65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2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10.0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66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0.548*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61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LEF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Hans"/>
              </w:rPr>
              <w:t>%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65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1.9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65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2.9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65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0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0.0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66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1.000*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61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Japanese criteria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2018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65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</w:p>
        </w:tc>
        <w:tc>
          <w:tcPr>
            <w:tcW w:w="1565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</w:p>
        </w:tc>
        <w:tc>
          <w:tcPr>
            <w:tcW w:w="1565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</w:p>
        </w:tc>
        <w:tc>
          <w:tcPr>
            <w:tcW w:w="1566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61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Definite SS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Hans"/>
              </w:rPr>
              <w:t>%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65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5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9.3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65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4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11.8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65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5.0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66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0.640*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61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Probable SS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Hans"/>
              </w:rPr>
              <w:t>%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65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35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61.8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65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21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70.0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65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14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64.8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66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0.541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61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Possible SS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Hans"/>
              </w:rPr>
              <w:t>%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65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14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26.5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65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9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25.0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65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5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25.9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66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0.905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61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N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eeds follow-up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Hans"/>
              </w:rPr>
              <w:t>%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65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0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0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65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0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0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65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0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0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66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61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P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ossibly non-SS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Hans"/>
              </w:rPr>
              <w:t>%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65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0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0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65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0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0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65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0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0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66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61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Hans"/>
              </w:rPr>
              <w:t>AECG criteria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Hans"/>
              </w:rPr>
              <w:t>%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65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Hans"/>
              </w:rPr>
              <w:t>4</w:t>
            </w:r>
            <w:r>
              <w:rPr>
                <w:rFonts w:hint="eastAsia" w:ascii="Times New Roman" w:hAnsi="Times New Roman" w:cs="Times New Roman"/>
                <w:color w:val="FF0000"/>
                <w:sz w:val="24"/>
                <w:szCs w:val="24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Hans"/>
              </w:rPr>
              <w:t>7.4</w:t>
            </w:r>
            <w:r>
              <w:rPr>
                <w:rFonts w:hint="eastAsia" w:ascii="Times New Roman" w:hAnsi="Times New Roman" w:cs="Times New Roman"/>
                <w:color w:val="FF000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65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Hans"/>
              </w:rPr>
              <w:t>3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Hans"/>
              </w:rPr>
              <w:t>8.8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65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Hans"/>
              </w:rPr>
              <w:t>1</w:t>
            </w:r>
            <w:r>
              <w:rPr>
                <w:rFonts w:hint="eastAsia" w:ascii="Times New Roman" w:hAnsi="Times New Roman" w:cs="Times New Roman"/>
                <w:color w:val="FF0000"/>
                <w:sz w:val="24"/>
                <w:szCs w:val="24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Hans"/>
              </w:rPr>
              <w:t>5.0</w:t>
            </w:r>
            <w:r>
              <w:rPr>
                <w:rFonts w:hint="eastAsia" w:ascii="Times New Roman" w:hAnsi="Times New Roman" w:cs="Times New Roman"/>
                <w:color w:val="FF000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66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Hans"/>
              </w:rPr>
              <w:t>1.000*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61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Hans"/>
              </w:rPr>
              <w:t xml:space="preserve"> ACR/EULAR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Hans"/>
              </w:rPr>
              <w:t>%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65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Hans"/>
              </w:rPr>
            </w:pPr>
          </w:p>
        </w:tc>
        <w:tc>
          <w:tcPr>
            <w:tcW w:w="1565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Hans"/>
              </w:rPr>
              <w:t>5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Hans"/>
              </w:rPr>
              <w:t>14.7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65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Hans"/>
              </w:rPr>
            </w:pPr>
          </w:p>
        </w:tc>
        <w:tc>
          <w:tcPr>
            <w:tcW w:w="1566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Han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61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Hans"/>
              </w:rPr>
              <w:t>Proposal juvenile pSS criteria(1999)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Hans"/>
              </w:rPr>
              <w:t>%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65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Hans"/>
              </w:rPr>
            </w:pPr>
          </w:p>
        </w:tc>
        <w:tc>
          <w:tcPr>
            <w:tcW w:w="1565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Hans"/>
              </w:rPr>
              <w:t>18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Hans"/>
              </w:rPr>
              <w:t>52.9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65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Hans"/>
              </w:rPr>
            </w:pPr>
          </w:p>
        </w:tc>
        <w:tc>
          <w:tcPr>
            <w:tcW w:w="1566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eastAsia="zh-Hans"/>
              </w:rPr>
            </w:pPr>
          </w:p>
        </w:tc>
      </w:tr>
    </w:tbl>
    <w:p>
      <w:pPr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*Fisher's exact test</w:t>
      </w:r>
    </w:p>
    <w:p>
      <w:pPr>
        <w:spacing w:line="360" w:lineRule="auto"/>
        <w:rPr>
          <w:rFonts w:hint="default" w:ascii="Times New Roman" w:hAnsi="Times New Roman" w:eastAsia="宋体" w:cs="Times New Roman"/>
          <w:color w:val="auto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SS: Sjögren’s Syndrome,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eastAsia="zh-CN"/>
        </w:rPr>
        <w:t>MMF: Mycophenolate mofeti, CTX: Cyclophosphamide, LEF: Leflunomide</w:t>
      </w:r>
    </w:p>
    <w:p>
      <w:pPr>
        <w:spacing w:line="360" w:lineRule="auto"/>
        <w:rPr>
          <w:rFonts w:hint="default" w:ascii="Times New Roman" w:hAnsi="Times New Roman" w:eastAsia="宋体" w:cs="Times New Roman"/>
          <w:color w:val="auto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i/>
          <w:iCs/>
          <w:color w:val="FF0000"/>
          <w:sz w:val="24"/>
          <w:szCs w:val="24"/>
          <w:lang w:eastAsia="zh-Hans"/>
        </w:rPr>
        <w:t>P</w:t>
      </w:r>
      <w:r>
        <w:rPr>
          <w:rFonts w:hint="default" w:ascii="Times New Roman" w:hAnsi="Times New Roman" w:cs="Times New Roman"/>
          <w:color w:val="FF0000"/>
          <w:sz w:val="24"/>
          <w:szCs w:val="24"/>
          <w:lang w:eastAsia="zh-Hans"/>
        </w:rPr>
        <w:t>-value</w:t>
      </w:r>
      <w:r>
        <w:rPr>
          <w:rFonts w:hint="eastAsia" w:ascii="Times New Roman" w:hAnsi="Times New Roman" w:cs="Times New Roman"/>
          <w:color w:val="FF0000"/>
          <w:sz w:val="24"/>
          <w:szCs w:val="24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color w:val="FF0000"/>
          <w:sz w:val="24"/>
          <w:szCs w:val="24"/>
          <w:lang w:eastAsia="zh-Hans"/>
        </w:rPr>
        <w:t xml:space="preserve">pSS </w:t>
      </w:r>
      <w:r>
        <w:rPr>
          <w:rFonts w:hint="eastAsia" w:ascii="Times New Roman" w:hAnsi="Times New Roman" w:cs="Times New Roman"/>
          <w:color w:val="FF0000"/>
          <w:sz w:val="24"/>
          <w:szCs w:val="24"/>
          <w:lang w:val="en-US" w:eastAsia="zh-Hans"/>
        </w:rPr>
        <w:t>vs</w:t>
      </w:r>
      <w:r>
        <w:rPr>
          <w:rFonts w:hint="default" w:ascii="Times New Roman" w:hAnsi="Times New Roman" w:cs="Times New Roman"/>
          <w:color w:val="FF0000"/>
          <w:sz w:val="24"/>
          <w:szCs w:val="24"/>
          <w:lang w:eastAsia="zh-Hans"/>
        </w:rPr>
        <w:t xml:space="preserve"> sSS</w:t>
      </w:r>
    </w:p>
    <w:p>
      <w:pPr>
        <w:rPr>
          <w:color w:val="auto"/>
        </w:rPr>
      </w:pPr>
    </w:p>
    <w:p>
      <w:pPr>
        <w:rPr>
          <w:rFonts w:hint="default" w:ascii="Times New Roman" w:hAnsi="Times New Roman" w:eastAsia="宋体"/>
          <w:color w:val="auto"/>
          <w:sz w:val="24"/>
          <w:lang w:eastAsia="zh-CN"/>
        </w:rPr>
      </w:pPr>
      <w:r>
        <w:rPr>
          <w:rFonts w:hint="default" w:ascii="Times New Roman" w:hAnsi="Times New Roman" w:eastAsia="宋体"/>
          <w:color w:val="auto"/>
          <w:sz w:val="24"/>
          <w:lang w:eastAsia="zh-CN"/>
        </w:rPr>
        <w:br w:type="page"/>
      </w:r>
    </w:p>
    <w:p>
      <w:pPr>
        <w:jc w:val="center"/>
        <w:rPr>
          <w:rFonts w:hint="default" w:ascii="Times New Roman" w:hAnsi="Times New Roman" w:cs="Times New Roman"/>
          <w:color w:val="auto"/>
          <w:sz w:val="24"/>
          <w:szCs w:val="24"/>
          <w:lang w:eastAsia="zh-Hans"/>
        </w:rPr>
      </w:pPr>
      <w:r>
        <w:rPr>
          <w:rFonts w:hint="default" w:ascii="Times New Roman" w:hAnsi="Times New Roman" w:eastAsia="宋体"/>
          <w:color w:val="auto"/>
          <w:sz w:val="24"/>
          <w:lang w:eastAsia="zh-CN"/>
        </w:rPr>
        <w:t>S</w:t>
      </w:r>
      <w:r>
        <w:rPr>
          <w:rFonts w:hint="default" w:ascii="Times New Roman" w:hAnsi="Times New Roman" w:eastAsia="宋体"/>
          <w:color w:val="auto"/>
          <w:sz w:val="24"/>
          <w:lang w:val="en-US" w:eastAsia="zh-CN"/>
        </w:rPr>
        <w:t>upplementary table</w:t>
      </w:r>
      <w:r>
        <w:rPr>
          <w:rFonts w:hint="default" w:ascii="Times New Roman" w:hAnsi="Times New Roman" w:eastAsia="宋体"/>
          <w:color w:val="auto"/>
          <w:sz w:val="24"/>
          <w:lang w:eastAsia="zh-CN"/>
        </w:rPr>
        <w:t xml:space="preserve"> 3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Hans"/>
        </w:rPr>
        <w:t xml:space="preserve">  Symptoms at diagnosis and during disease evolution</w:t>
      </w:r>
    </w:p>
    <w:p>
      <w:pPr>
        <w:jc w:val="center"/>
        <w:rPr>
          <w:rFonts w:hint="default" w:ascii="Times New Roman" w:hAnsi="Times New Roman" w:cs="Times New Roman"/>
          <w:color w:val="auto"/>
          <w:sz w:val="24"/>
          <w:szCs w:val="24"/>
          <w:lang w:eastAsia="zh-Hans"/>
        </w:rPr>
      </w:pPr>
    </w:p>
    <w:tbl>
      <w:tblPr>
        <w:tblStyle w:val="4"/>
        <w:tblW w:w="86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4"/>
        <w:gridCol w:w="1437"/>
        <w:gridCol w:w="1098"/>
        <w:gridCol w:w="1347"/>
        <w:gridCol w:w="122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0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Symptoms</w:t>
            </w:r>
          </w:p>
        </w:tc>
        <w:tc>
          <w:tcPr>
            <w:tcW w:w="2535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eastAsia="zh-Han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at diagnosis (No.)</w:t>
            </w:r>
          </w:p>
        </w:tc>
        <w:tc>
          <w:tcPr>
            <w:tcW w:w="257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during disease evolution(No.)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04" w:type="dxa"/>
            <w:vMerge w:val="continue"/>
            <w:tcBorders>
              <w:bottom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</w:p>
        </w:tc>
        <w:tc>
          <w:tcPr>
            <w:tcW w:w="143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eastAsia="zh-Han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pSS(34)</w:t>
            </w:r>
          </w:p>
        </w:tc>
        <w:tc>
          <w:tcPr>
            <w:tcW w:w="10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eastAsia="zh-Han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sSS(20)</w:t>
            </w:r>
          </w:p>
        </w:tc>
        <w:tc>
          <w:tcPr>
            <w:tcW w:w="134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Han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pSS(34)</w:t>
            </w:r>
          </w:p>
        </w:tc>
        <w:tc>
          <w:tcPr>
            <w:tcW w:w="122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Han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sSS(20)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04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Dry mouth</w:t>
            </w:r>
          </w:p>
        </w:tc>
        <w:tc>
          <w:tcPr>
            <w:tcW w:w="1437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2</w:t>
            </w:r>
          </w:p>
        </w:tc>
        <w:tc>
          <w:tcPr>
            <w:tcW w:w="1098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5</w:t>
            </w:r>
          </w:p>
        </w:tc>
        <w:tc>
          <w:tcPr>
            <w:tcW w:w="1347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229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04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Dry eyes</w:t>
            </w:r>
          </w:p>
        </w:tc>
        <w:tc>
          <w:tcPr>
            <w:tcW w:w="1437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3</w:t>
            </w:r>
          </w:p>
        </w:tc>
        <w:tc>
          <w:tcPr>
            <w:tcW w:w="1098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2</w:t>
            </w:r>
          </w:p>
        </w:tc>
        <w:tc>
          <w:tcPr>
            <w:tcW w:w="1347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229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504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Fever</w:t>
            </w:r>
          </w:p>
        </w:tc>
        <w:tc>
          <w:tcPr>
            <w:tcW w:w="1437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19</w:t>
            </w:r>
          </w:p>
        </w:tc>
        <w:tc>
          <w:tcPr>
            <w:tcW w:w="1098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10</w:t>
            </w:r>
          </w:p>
        </w:tc>
        <w:tc>
          <w:tcPr>
            <w:tcW w:w="1347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29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04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Skin involvement</w:t>
            </w:r>
          </w:p>
        </w:tc>
        <w:tc>
          <w:tcPr>
            <w:tcW w:w="1437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14</w:t>
            </w:r>
          </w:p>
        </w:tc>
        <w:tc>
          <w:tcPr>
            <w:tcW w:w="1098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11</w:t>
            </w:r>
          </w:p>
        </w:tc>
        <w:tc>
          <w:tcPr>
            <w:tcW w:w="1347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229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04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Arthralgia</w:t>
            </w:r>
          </w:p>
        </w:tc>
        <w:tc>
          <w:tcPr>
            <w:tcW w:w="1437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4</w:t>
            </w:r>
          </w:p>
        </w:tc>
        <w:tc>
          <w:tcPr>
            <w:tcW w:w="1098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9</w:t>
            </w:r>
          </w:p>
        </w:tc>
        <w:tc>
          <w:tcPr>
            <w:tcW w:w="1347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29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04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Arthritis</w:t>
            </w:r>
          </w:p>
        </w:tc>
        <w:tc>
          <w:tcPr>
            <w:tcW w:w="1437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2</w:t>
            </w:r>
          </w:p>
        </w:tc>
        <w:tc>
          <w:tcPr>
            <w:tcW w:w="1098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5</w:t>
            </w:r>
          </w:p>
        </w:tc>
        <w:tc>
          <w:tcPr>
            <w:tcW w:w="1347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229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04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Fatigue</w:t>
            </w:r>
          </w:p>
        </w:tc>
        <w:tc>
          <w:tcPr>
            <w:tcW w:w="1437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4</w:t>
            </w:r>
          </w:p>
        </w:tc>
        <w:tc>
          <w:tcPr>
            <w:tcW w:w="1098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2</w:t>
            </w:r>
          </w:p>
        </w:tc>
        <w:tc>
          <w:tcPr>
            <w:tcW w:w="1347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29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04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Glandular enlargement</w:t>
            </w:r>
          </w:p>
        </w:tc>
        <w:tc>
          <w:tcPr>
            <w:tcW w:w="1437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1</w:t>
            </w:r>
          </w:p>
        </w:tc>
        <w:tc>
          <w:tcPr>
            <w:tcW w:w="1098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1</w:t>
            </w:r>
          </w:p>
        </w:tc>
        <w:tc>
          <w:tcPr>
            <w:tcW w:w="1347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29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04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Peripheral lymphadenopathies</w:t>
            </w:r>
          </w:p>
        </w:tc>
        <w:tc>
          <w:tcPr>
            <w:tcW w:w="1437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14</w:t>
            </w:r>
          </w:p>
        </w:tc>
        <w:tc>
          <w:tcPr>
            <w:tcW w:w="1098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7</w:t>
            </w:r>
          </w:p>
        </w:tc>
        <w:tc>
          <w:tcPr>
            <w:tcW w:w="1347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29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04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Cytopenias</w:t>
            </w:r>
          </w:p>
        </w:tc>
        <w:tc>
          <w:tcPr>
            <w:tcW w:w="1437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11</w:t>
            </w:r>
          </w:p>
        </w:tc>
        <w:tc>
          <w:tcPr>
            <w:tcW w:w="1098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5</w:t>
            </w:r>
          </w:p>
        </w:tc>
        <w:tc>
          <w:tcPr>
            <w:tcW w:w="1347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229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04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RTA</w:t>
            </w:r>
          </w:p>
        </w:tc>
        <w:tc>
          <w:tcPr>
            <w:tcW w:w="1437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5</w:t>
            </w:r>
          </w:p>
        </w:tc>
        <w:tc>
          <w:tcPr>
            <w:tcW w:w="1098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0</w:t>
            </w:r>
          </w:p>
        </w:tc>
        <w:tc>
          <w:tcPr>
            <w:tcW w:w="1347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229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04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Myalgias</w:t>
            </w:r>
          </w:p>
        </w:tc>
        <w:tc>
          <w:tcPr>
            <w:tcW w:w="1437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5</w:t>
            </w:r>
          </w:p>
        </w:tc>
        <w:tc>
          <w:tcPr>
            <w:tcW w:w="1098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1</w:t>
            </w:r>
          </w:p>
        </w:tc>
        <w:tc>
          <w:tcPr>
            <w:tcW w:w="1347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29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04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Seizure</w:t>
            </w:r>
          </w:p>
        </w:tc>
        <w:tc>
          <w:tcPr>
            <w:tcW w:w="1437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0</w:t>
            </w:r>
          </w:p>
        </w:tc>
        <w:tc>
          <w:tcPr>
            <w:tcW w:w="1098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0</w:t>
            </w:r>
          </w:p>
        </w:tc>
        <w:tc>
          <w:tcPr>
            <w:tcW w:w="1347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29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04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Neuromyelitis optica</w:t>
            </w:r>
          </w:p>
        </w:tc>
        <w:tc>
          <w:tcPr>
            <w:tcW w:w="1437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0</w:t>
            </w:r>
          </w:p>
        </w:tc>
        <w:tc>
          <w:tcPr>
            <w:tcW w:w="1098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0</w:t>
            </w:r>
          </w:p>
        </w:tc>
        <w:tc>
          <w:tcPr>
            <w:tcW w:w="1347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229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04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Hemiplegia</w:t>
            </w:r>
          </w:p>
        </w:tc>
        <w:tc>
          <w:tcPr>
            <w:tcW w:w="1437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0</w:t>
            </w:r>
          </w:p>
        </w:tc>
        <w:tc>
          <w:tcPr>
            <w:tcW w:w="1098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0</w:t>
            </w:r>
          </w:p>
        </w:tc>
        <w:tc>
          <w:tcPr>
            <w:tcW w:w="1347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229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Hans"/>
              </w:rPr>
              <w:t>0</w:t>
            </w:r>
          </w:p>
        </w:tc>
      </w:tr>
    </w:tbl>
    <w:p>
      <w:pPr>
        <w:spacing w:line="360" w:lineRule="auto"/>
        <w:rPr>
          <w:rFonts w:hint="default" w:ascii="Times New Roman" w:hAnsi="Times New Roman" w:eastAsia="宋体" w:cs="Times New Roman"/>
          <w:color w:val="auto"/>
          <w:sz w:val="24"/>
          <w:szCs w:val="24"/>
          <w:lang w:eastAsia="zh-Hans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NlNGVkMGFhODk5NWM1NWQ2MmM3MWRkZWJkNTExM2IifQ=="/>
  </w:docVars>
  <w:rsids>
    <w:rsidRoot w:val="00000000"/>
    <w:rsid w:val="17CC7BF7"/>
    <w:rsid w:val="2939668A"/>
    <w:rsid w:val="3F7118CE"/>
    <w:rsid w:val="4C461634"/>
    <w:rsid w:val="5DFF5D50"/>
    <w:rsid w:val="62756DA7"/>
    <w:rsid w:val="636D68DC"/>
    <w:rsid w:val="7BF35066"/>
    <w:rsid w:val="7F7BE212"/>
    <w:rsid w:val="BDFB337A"/>
    <w:rsid w:val="F1FD18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479</Words>
  <Characters>2452</Characters>
  <Lines>0</Lines>
  <Paragraphs>0</Paragraphs>
  <TotalTime>0</TotalTime>
  <ScaleCrop>false</ScaleCrop>
  <LinksUpToDate>false</LinksUpToDate>
  <CharactersWithSpaces>2693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2023-04-18T08:55:00Z</dcterms:created>
  <dc:creator>Administrator</dc:creator>
  <cp:lastModifiedBy>AngelSun</cp:lastModifiedBy>
  <dcterms:modified xsi:type="dcterms:W3CDTF">2023-09-18T02:17:01Z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6D60155714D74978A7B44C2CD6D66D4A_13</vt:lpwstr>
  </property>
</Properties>
</file>