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2D60" w14:textId="696FC501"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Professor Angelo Ravelli</w:t>
      </w:r>
    </w:p>
    <w:p w14:paraId="3822AFDD" w14:textId="77777777"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 xml:space="preserve">Professor Tadej </w:t>
      </w:r>
      <w:proofErr w:type="spellStart"/>
      <w:r w:rsidRPr="00CB7EBA">
        <w:rPr>
          <w:rFonts w:ascii="Times New Roman" w:hAnsi="Times New Roman" w:cs="Times New Roman"/>
          <w:sz w:val="22"/>
          <w:szCs w:val="24"/>
        </w:rPr>
        <w:t>Avčin</w:t>
      </w:r>
      <w:proofErr w:type="spellEnd"/>
    </w:p>
    <w:p w14:paraId="281E29C6" w14:textId="77777777"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 xml:space="preserve">Editors-in-Chief, </w:t>
      </w:r>
      <w:r w:rsidRPr="00CB7EBA">
        <w:rPr>
          <w:rFonts w:ascii="Times New Roman" w:hAnsi="Times New Roman" w:cs="Times New Roman"/>
          <w:i/>
          <w:iCs/>
          <w:sz w:val="22"/>
          <w:szCs w:val="24"/>
        </w:rPr>
        <w:t>Pediatric Rheumatology</w:t>
      </w:r>
    </w:p>
    <w:p w14:paraId="2542CB3E" w14:textId="75DB6129" w:rsidR="00CE1B0C" w:rsidRPr="00CB7EBA" w:rsidRDefault="00CE1B0C" w:rsidP="006C153C">
      <w:pPr>
        <w:rPr>
          <w:rFonts w:ascii="Times New Roman" w:hAnsi="Times New Roman" w:cs="Times New Roman"/>
          <w:sz w:val="22"/>
          <w:szCs w:val="24"/>
        </w:rPr>
      </w:pPr>
      <w:r w:rsidRPr="00CB7EBA">
        <w:rPr>
          <w:rFonts w:ascii="Times New Roman" w:hAnsi="Times New Roman" w:cs="Times New Roman"/>
          <w:sz w:val="22"/>
          <w:szCs w:val="24"/>
        </w:rPr>
        <w:t>Professor Christoph Kessel</w:t>
      </w:r>
    </w:p>
    <w:p w14:paraId="7579F12A" w14:textId="0AE5999D" w:rsidR="00CE1B0C" w:rsidRPr="00CB7EBA" w:rsidRDefault="00CE1B0C" w:rsidP="006C153C">
      <w:pPr>
        <w:rPr>
          <w:rFonts w:ascii="Times New Roman" w:hAnsi="Times New Roman" w:cs="Times New Roman"/>
          <w:sz w:val="22"/>
          <w:szCs w:val="24"/>
        </w:rPr>
      </w:pPr>
      <w:r w:rsidRPr="00CB7EBA">
        <w:rPr>
          <w:rFonts w:ascii="Times New Roman" w:hAnsi="Times New Roman" w:cs="Times New Roman"/>
          <w:sz w:val="22"/>
          <w:szCs w:val="24"/>
        </w:rPr>
        <w:t xml:space="preserve">Senior Editor, </w:t>
      </w:r>
      <w:r w:rsidRPr="00CB7EBA">
        <w:rPr>
          <w:rFonts w:ascii="Times New Roman" w:hAnsi="Times New Roman" w:cs="Times New Roman"/>
          <w:i/>
          <w:iCs/>
          <w:sz w:val="22"/>
          <w:szCs w:val="24"/>
        </w:rPr>
        <w:t>Pediatric Rheumatology</w:t>
      </w:r>
    </w:p>
    <w:p w14:paraId="4FF73735" w14:textId="52362C5B" w:rsidR="00F12592" w:rsidRPr="00CB7EBA" w:rsidRDefault="00CE1B0C" w:rsidP="006C153C">
      <w:pPr>
        <w:rPr>
          <w:rFonts w:ascii="Times New Roman" w:hAnsi="Times New Roman" w:cs="Times New Roman"/>
          <w:sz w:val="22"/>
          <w:szCs w:val="24"/>
        </w:rPr>
      </w:pPr>
      <w:r w:rsidRPr="00CB7EBA">
        <w:rPr>
          <w:rFonts w:ascii="Times New Roman" w:hAnsi="Times New Roman" w:cs="Times New Roman"/>
          <w:sz w:val="22"/>
          <w:szCs w:val="24"/>
        </w:rPr>
        <w:t>Febr</w:t>
      </w:r>
      <w:r w:rsidRPr="00CB7EBA">
        <w:rPr>
          <w:rFonts w:ascii="Times New Roman" w:hAnsi="Times New Roman" w:cs="Times New Roman"/>
          <w:color w:val="000000" w:themeColor="text1"/>
          <w:sz w:val="22"/>
          <w:szCs w:val="24"/>
        </w:rPr>
        <w:t xml:space="preserve">uary </w:t>
      </w:r>
      <w:r w:rsidR="00CB7EBA" w:rsidRPr="00CB7EBA">
        <w:rPr>
          <w:rFonts w:ascii="Times New Roman" w:hAnsi="Times New Roman" w:cs="Times New Roman"/>
          <w:color w:val="000000" w:themeColor="text1"/>
          <w:sz w:val="22"/>
          <w:szCs w:val="24"/>
        </w:rPr>
        <w:t>23</w:t>
      </w:r>
      <w:r w:rsidR="00F12592" w:rsidRPr="00CB7EBA">
        <w:rPr>
          <w:rFonts w:ascii="Times New Roman" w:hAnsi="Times New Roman" w:cs="Times New Roman" w:hint="eastAsia"/>
          <w:color w:val="000000" w:themeColor="text1"/>
          <w:sz w:val="22"/>
          <w:szCs w:val="24"/>
        </w:rPr>
        <w:t>,</w:t>
      </w:r>
      <w:r w:rsidR="00F12592" w:rsidRPr="00CB7EBA">
        <w:rPr>
          <w:rFonts w:ascii="Times New Roman" w:hAnsi="Times New Roman" w:cs="Times New Roman"/>
          <w:color w:val="000000" w:themeColor="text1"/>
          <w:sz w:val="22"/>
          <w:szCs w:val="24"/>
        </w:rPr>
        <w:t xml:space="preserve"> 202</w:t>
      </w:r>
      <w:r w:rsidRPr="00CB7EBA">
        <w:rPr>
          <w:rFonts w:ascii="Times New Roman" w:hAnsi="Times New Roman" w:cs="Times New Roman"/>
          <w:sz w:val="22"/>
          <w:szCs w:val="24"/>
        </w:rPr>
        <w:t>5</w:t>
      </w:r>
    </w:p>
    <w:p w14:paraId="5A0DD29B" w14:textId="77777777" w:rsidR="00F12592" w:rsidRPr="00CB7EBA" w:rsidRDefault="00F12592" w:rsidP="00F12592">
      <w:pPr>
        <w:rPr>
          <w:rFonts w:ascii="Times New Roman" w:hAnsi="Times New Roman" w:cs="Times New Roman"/>
          <w:sz w:val="22"/>
          <w:szCs w:val="24"/>
        </w:rPr>
      </w:pPr>
    </w:p>
    <w:p w14:paraId="5F5562CB" w14:textId="29778F59" w:rsidR="00F12592" w:rsidRPr="00CB7EBA" w:rsidRDefault="00F12592" w:rsidP="00F12592">
      <w:pPr>
        <w:rPr>
          <w:rFonts w:ascii="Times New Roman" w:hAnsi="Times New Roman" w:cs="Times New Roman"/>
          <w:sz w:val="22"/>
          <w:szCs w:val="24"/>
        </w:rPr>
      </w:pPr>
      <w:r w:rsidRPr="00CB7EBA">
        <w:rPr>
          <w:rFonts w:ascii="Times New Roman" w:hAnsi="Times New Roman" w:cs="Times New Roman"/>
          <w:sz w:val="22"/>
          <w:szCs w:val="24"/>
        </w:rPr>
        <w:t xml:space="preserve">Dear </w:t>
      </w:r>
      <w:r w:rsidR="006C153C" w:rsidRPr="00CB7EBA">
        <w:rPr>
          <w:rFonts w:ascii="Times New Roman" w:hAnsi="Times New Roman" w:cs="Times New Roman"/>
          <w:sz w:val="22"/>
          <w:szCs w:val="24"/>
        </w:rPr>
        <w:t>Professor Ravelli</w:t>
      </w:r>
      <w:r w:rsidR="00CE1B0C" w:rsidRPr="00CB7EBA">
        <w:rPr>
          <w:rFonts w:ascii="Times New Roman" w:hAnsi="Times New Roman" w:cs="Times New Roman"/>
          <w:sz w:val="22"/>
          <w:szCs w:val="24"/>
        </w:rPr>
        <w:t xml:space="preserve">, </w:t>
      </w:r>
      <w:r w:rsidR="00D86281" w:rsidRPr="00CB7EBA">
        <w:rPr>
          <w:rFonts w:ascii="Times New Roman" w:hAnsi="Times New Roman" w:cs="Times New Roman" w:hint="eastAsia"/>
          <w:sz w:val="22"/>
          <w:szCs w:val="24"/>
        </w:rPr>
        <w:t>Professor</w:t>
      </w:r>
      <w:r w:rsidR="006C153C" w:rsidRPr="00CB7EBA">
        <w:rPr>
          <w:rFonts w:ascii="Times New Roman" w:hAnsi="Times New Roman" w:cs="Times New Roman"/>
          <w:sz w:val="22"/>
          <w:szCs w:val="24"/>
        </w:rPr>
        <w:t xml:space="preserve"> </w:t>
      </w:r>
      <w:proofErr w:type="spellStart"/>
      <w:r w:rsidR="006C153C" w:rsidRPr="00CB7EBA">
        <w:rPr>
          <w:rFonts w:ascii="Times New Roman" w:hAnsi="Times New Roman" w:cs="Times New Roman"/>
          <w:sz w:val="22"/>
          <w:szCs w:val="24"/>
        </w:rPr>
        <w:t>Avčin</w:t>
      </w:r>
      <w:proofErr w:type="spellEnd"/>
      <w:r w:rsidR="00CE1B0C" w:rsidRPr="00CB7EBA">
        <w:rPr>
          <w:rFonts w:ascii="Times New Roman" w:hAnsi="Times New Roman" w:cs="Times New Roman"/>
          <w:sz w:val="22"/>
          <w:szCs w:val="24"/>
        </w:rPr>
        <w:t xml:space="preserve">, and </w:t>
      </w:r>
      <w:r w:rsidR="00D86281" w:rsidRPr="00CB7EBA">
        <w:rPr>
          <w:rFonts w:ascii="Times New Roman" w:hAnsi="Times New Roman" w:cs="Times New Roman" w:hint="eastAsia"/>
          <w:sz w:val="22"/>
          <w:szCs w:val="24"/>
        </w:rPr>
        <w:t>Professor</w:t>
      </w:r>
      <w:r w:rsidR="00CE1B0C" w:rsidRPr="00CB7EBA">
        <w:rPr>
          <w:rFonts w:ascii="Times New Roman" w:hAnsi="Times New Roman" w:cs="Times New Roman"/>
          <w:sz w:val="22"/>
          <w:szCs w:val="24"/>
        </w:rPr>
        <w:t xml:space="preserve"> Kessel</w:t>
      </w:r>
      <w:r w:rsidRPr="00CB7EBA">
        <w:rPr>
          <w:rFonts w:ascii="Times New Roman" w:hAnsi="Times New Roman" w:cs="Times New Roman"/>
          <w:sz w:val="22"/>
          <w:szCs w:val="24"/>
        </w:rPr>
        <w:t>:</w:t>
      </w:r>
    </w:p>
    <w:p w14:paraId="323AB4B8" w14:textId="77777777" w:rsidR="006C153C" w:rsidRPr="00CB7EBA" w:rsidRDefault="006C153C" w:rsidP="00F12592">
      <w:pPr>
        <w:rPr>
          <w:rFonts w:ascii="Times New Roman" w:hAnsi="Times New Roman" w:cs="Times New Roman"/>
          <w:sz w:val="22"/>
          <w:szCs w:val="24"/>
        </w:rPr>
      </w:pPr>
    </w:p>
    <w:p w14:paraId="69BBE175" w14:textId="234E5D2E" w:rsidR="00F12592" w:rsidRPr="00CB7EBA" w:rsidRDefault="00F12592" w:rsidP="00F12592">
      <w:pPr>
        <w:rPr>
          <w:rFonts w:ascii="Times New Roman" w:hAnsi="Times New Roman" w:cs="Times New Roman"/>
          <w:sz w:val="22"/>
          <w:szCs w:val="24"/>
        </w:rPr>
      </w:pPr>
      <w:r w:rsidRPr="00CB7EBA">
        <w:rPr>
          <w:rFonts w:ascii="Times New Roman" w:hAnsi="Times New Roman" w:cs="Times New Roman"/>
          <w:sz w:val="22"/>
          <w:szCs w:val="24"/>
        </w:rPr>
        <w:t xml:space="preserve">Re: </w:t>
      </w:r>
      <w:r w:rsidR="00CE1B0C" w:rsidRPr="00CB7EBA">
        <w:rPr>
          <w:rFonts w:ascii="Times New Roman" w:hAnsi="Times New Roman" w:cs="Times New Roman"/>
          <w:sz w:val="22"/>
          <w:szCs w:val="24"/>
        </w:rPr>
        <w:t>PROJ-D-24-00286R1</w:t>
      </w:r>
    </w:p>
    <w:p w14:paraId="11C0466F" w14:textId="7B0ACF38" w:rsidR="00B76E82" w:rsidRPr="00CB7EBA" w:rsidRDefault="00F12592" w:rsidP="00B76E82">
      <w:pPr>
        <w:rPr>
          <w:rFonts w:ascii="Times New Roman" w:hAnsi="Times New Roman" w:cs="Times New Roman"/>
          <w:sz w:val="22"/>
          <w:szCs w:val="24"/>
        </w:rPr>
      </w:pPr>
      <w:r w:rsidRPr="00CB7EBA">
        <w:rPr>
          <w:rFonts w:ascii="Times New Roman" w:hAnsi="Times New Roman" w:cs="Times New Roman"/>
          <w:sz w:val="22"/>
          <w:szCs w:val="24"/>
        </w:rPr>
        <w:t xml:space="preserve">Title: </w:t>
      </w:r>
      <w:r w:rsidR="00CE1B0C" w:rsidRPr="00CB7EBA">
        <w:rPr>
          <w:rFonts w:ascii="Times New Roman" w:hAnsi="Times New Roman" w:cs="Times New Roman"/>
          <w:sz w:val="22"/>
          <w:szCs w:val="24"/>
        </w:rPr>
        <w:t>Effect of additional intravenous immunoglobulin for infliximab-refractory Kawasaki disease: a cohort study</w:t>
      </w:r>
    </w:p>
    <w:p w14:paraId="12332EEB" w14:textId="77777777" w:rsidR="00F12592" w:rsidRPr="00CB7EBA" w:rsidRDefault="00F12592" w:rsidP="00F12592">
      <w:pPr>
        <w:rPr>
          <w:rFonts w:ascii="Times New Roman" w:hAnsi="Times New Roman" w:cs="Times New Roman"/>
          <w:sz w:val="22"/>
          <w:szCs w:val="24"/>
        </w:rPr>
      </w:pPr>
    </w:p>
    <w:p w14:paraId="2874B5D0" w14:textId="6EABB6F9" w:rsidR="008A0C9F" w:rsidRPr="00CB7EBA" w:rsidRDefault="00F12592" w:rsidP="00F12592">
      <w:pPr>
        <w:rPr>
          <w:rFonts w:ascii="Times New Roman" w:hAnsi="Times New Roman" w:cs="Times New Roman"/>
          <w:sz w:val="22"/>
          <w:szCs w:val="24"/>
        </w:rPr>
      </w:pPr>
      <w:r w:rsidRPr="00CB7EBA">
        <w:rPr>
          <w:rFonts w:ascii="Times New Roman" w:hAnsi="Times New Roman" w:cs="Times New Roman"/>
          <w:sz w:val="22"/>
          <w:szCs w:val="24"/>
        </w:rPr>
        <w:t xml:space="preserve">Thank you so much for the opportunity to submit a revised version of our manuscript. We are grateful to </w:t>
      </w:r>
      <w:r w:rsidR="007C4759" w:rsidRPr="00CB7EBA">
        <w:rPr>
          <w:rFonts w:ascii="Times New Roman" w:hAnsi="Times New Roman" w:cs="Times New Roman"/>
          <w:sz w:val="22"/>
          <w:szCs w:val="24"/>
        </w:rPr>
        <w:t xml:space="preserve">the </w:t>
      </w:r>
      <w:r w:rsidRPr="00CB7EBA">
        <w:rPr>
          <w:rFonts w:ascii="Times New Roman" w:hAnsi="Times New Roman" w:cs="Times New Roman"/>
          <w:sz w:val="22"/>
          <w:szCs w:val="24"/>
        </w:rPr>
        <w:t xml:space="preserve">editors and </w:t>
      </w:r>
      <w:r w:rsidR="001E1B6B" w:rsidRPr="00CB7EBA">
        <w:rPr>
          <w:rFonts w:ascii="Times New Roman" w:hAnsi="Times New Roman" w:cs="Times New Roman" w:hint="eastAsia"/>
          <w:sz w:val="22"/>
          <w:szCs w:val="24"/>
        </w:rPr>
        <w:t>reviewers</w:t>
      </w:r>
      <w:r w:rsidRPr="00CB7EBA">
        <w:rPr>
          <w:rFonts w:ascii="Times New Roman" w:hAnsi="Times New Roman" w:cs="Times New Roman"/>
          <w:sz w:val="22"/>
          <w:szCs w:val="24"/>
        </w:rPr>
        <w:t xml:space="preserve"> for the comments </w:t>
      </w:r>
      <w:r w:rsidR="00073D46" w:rsidRPr="00CB7EBA">
        <w:rPr>
          <w:rFonts w:ascii="Times New Roman" w:hAnsi="Times New Roman" w:cs="Times New Roman"/>
          <w:sz w:val="22"/>
          <w:szCs w:val="24"/>
        </w:rPr>
        <w:t xml:space="preserve">that helped us </w:t>
      </w:r>
      <w:r w:rsidR="00073D46" w:rsidRPr="00CB7EBA">
        <w:rPr>
          <w:rFonts w:ascii="Times New Roman" w:hAnsi="Times New Roman" w:cs="Times New Roman" w:hint="eastAsia"/>
          <w:sz w:val="22"/>
          <w:szCs w:val="24"/>
        </w:rPr>
        <w:t xml:space="preserve">to </w:t>
      </w:r>
      <w:r w:rsidR="00150088" w:rsidRPr="00CB7EBA">
        <w:rPr>
          <w:rFonts w:ascii="Times New Roman" w:hAnsi="Times New Roman" w:cs="Times New Roman" w:hint="eastAsia"/>
          <w:sz w:val="22"/>
          <w:szCs w:val="24"/>
        </w:rPr>
        <w:t>i</w:t>
      </w:r>
      <w:r w:rsidR="00150088" w:rsidRPr="00CB7EBA">
        <w:rPr>
          <w:rFonts w:ascii="Times New Roman" w:hAnsi="Times New Roman" w:cs="Times New Roman"/>
          <w:sz w:val="22"/>
          <w:szCs w:val="24"/>
        </w:rPr>
        <w:t xml:space="preserve">mprove </w:t>
      </w:r>
      <w:r w:rsidRPr="00CB7EBA">
        <w:rPr>
          <w:rFonts w:ascii="Times New Roman" w:hAnsi="Times New Roman" w:cs="Times New Roman"/>
          <w:sz w:val="22"/>
          <w:szCs w:val="24"/>
        </w:rPr>
        <w:t xml:space="preserve">our manuscript. We have </w:t>
      </w:r>
      <w:r w:rsidR="00CE1B0C" w:rsidRPr="00CB7EBA">
        <w:rPr>
          <w:rFonts w:ascii="Times New Roman" w:hAnsi="Times New Roman" w:cs="Times New Roman"/>
          <w:sz w:val="22"/>
          <w:szCs w:val="24"/>
        </w:rPr>
        <w:t>considered all advice for revision and</w:t>
      </w:r>
      <w:r w:rsidRPr="00CB7EBA">
        <w:rPr>
          <w:rFonts w:ascii="Times New Roman" w:hAnsi="Times New Roman" w:cs="Times New Roman"/>
          <w:sz w:val="22"/>
          <w:szCs w:val="24"/>
        </w:rPr>
        <w:t xml:space="preserve"> addressed all the comments of referees point by point as below. The revised parts of the manuscript are highlighted in </w:t>
      </w:r>
      <w:r w:rsidRPr="00CB7EBA">
        <w:rPr>
          <w:rFonts w:ascii="Times New Roman" w:hAnsi="Times New Roman" w:cs="Times New Roman"/>
          <w:color w:val="FF0000"/>
          <w:sz w:val="22"/>
          <w:szCs w:val="24"/>
        </w:rPr>
        <w:t>red font</w:t>
      </w:r>
      <w:r w:rsidRPr="00CB7EBA">
        <w:rPr>
          <w:rFonts w:ascii="Times New Roman" w:hAnsi="Times New Roman" w:cs="Times New Roman"/>
          <w:sz w:val="22"/>
          <w:szCs w:val="24"/>
        </w:rPr>
        <w:t>.</w:t>
      </w:r>
    </w:p>
    <w:p w14:paraId="18CB5DC0" w14:textId="77777777" w:rsidR="008A0C9F" w:rsidRPr="00CB7EBA" w:rsidRDefault="008A0C9F" w:rsidP="008A0C9F">
      <w:pPr>
        <w:rPr>
          <w:rFonts w:ascii="Times New Roman" w:hAnsi="Times New Roman" w:cs="Times New Roman"/>
          <w:sz w:val="22"/>
          <w:szCs w:val="24"/>
        </w:rPr>
      </w:pPr>
    </w:p>
    <w:p w14:paraId="53115B44" w14:textId="77777777" w:rsidR="00CE1B0C" w:rsidRPr="00CB7EBA" w:rsidRDefault="00CE1B0C" w:rsidP="008A0C9F">
      <w:pPr>
        <w:rPr>
          <w:rFonts w:ascii="Times New Roman" w:hAnsi="Times New Roman" w:cs="Times New Roman"/>
          <w:sz w:val="22"/>
          <w:szCs w:val="24"/>
        </w:rPr>
      </w:pPr>
    </w:p>
    <w:p w14:paraId="2DA8781E" w14:textId="460A6FD8" w:rsidR="00CE1B0C" w:rsidRPr="00CB7EBA" w:rsidRDefault="00CE1B0C" w:rsidP="008A0C9F">
      <w:pPr>
        <w:rPr>
          <w:rFonts w:ascii="Times New Roman" w:hAnsi="Times New Roman" w:cs="Times New Roman"/>
          <w:b/>
          <w:bCs/>
          <w:i/>
          <w:iCs/>
          <w:sz w:val="22"/>
          <w:szCs w:val="24"/>
        </w:rPr>
      </w:pPr>
      <w:r w:rsidRPr="00CB7EBA">
        <w:rPr>
          <w:rFonts w:ascii="Times New Roman" w:hAnsi="Times New Roman" w:cs="Times New Roman"/>
          <w:b/>
          <w:bCs/>
          <w:i/>
          <w:iCs/>
          <w:sz w:val="22"/>
          <w:szCs w:val="24"/>
        </w:rPr>
        <w:t>Reviewer reports:</w:t>
      </w:r>
    </w:p>
    <w:p w14:paraId="28D9860B" w14:textId="77777777" w:rsidR="00CE1B0C" w:rsidRPr="00CB7EBA" w:rsidRDefault="006C153C" w:rsidP="006C153C">
      <w:pPr>
        <w:rPr>
          <w:rFonts w:ascii="Times New Roman" w:hAnsi="Times New Roman" w:cs="Times New Roman"/>
          <w:i/>
          <w:iCs/>
          <w:sz w:val="22"/>
          <w:szCs w:val="24"/>
        </w:rPr>
      </w:pPr>
      <w:r w:rsidRPr="00CB7EBA">
        <w:rPr>
          <w:rFonts w:ascii="Times New Roman" w:hAnsi="Times New Roman" w:cs="Times New Roman"/>
          <w:b/>
          <w:bCs/>
          <w:i/>
          <w:iCs/>
          <w:sz w:val="22"/>
          <w:szCs w:val="24"/>
        </w:rPr>
        <w:t>Reviewer #1:</w:t>
      </w:r>
      <w:r w:rsidRPr="00CB7EBA">
        <w:rPr>
          <w:rFonts w:ascii="Times New Roman" w:hAnsi="Times New Roman" w:cs="Times New Roman"/>
          <w:i/>
          <w:iCs/>
          <w:sz w:val="22"/>
          <w:szCs w:val="24"/>
        </w:rPr>
        <w:t xml:space="preserve"> </w:t>
      </w:r>
    </w:p>
    <w:p w14:paraId="5A5A65CB" w14:textId="2ACA2AD2"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It is an interesting proposal for the treatment of IFX-resistant KD, it would be more interesting if the number of patients is expanded.</w:t>
      </w:r>
    </w:p>
    <w:p w14:paraId="54554DD9" w14:textId="174513C0" w:rsidR="004A1264" w:rsidRPr="00CB7EBA" w:rsidRDefault="004A1264" w:rsidP="006C153C">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138E6FB4" w14:textId="7A17C4EE" w:rsidR="00396E1B" w:rsidRPr="00CB7EBA" w:rsidRDefault="00396E1B" w:rsidP="006C153C">
      <w:pPr>
        <w:rPr>
          <w:rFonts w:ascii="Times New Roman" w:hAnsi="Times New Roman" w:cs="Times New Roman"/>
          <w:b/>
          <w:bCs/>
          <w:sz w:val="22"/>
          <w:szCs w:val="24"/>
        </w:rPr>
      </w:pPr>
      <w:r w:rsidRPr="00CB7EBA">
        <w:rPr>
          <w:rFonts w:ascii="Times New Roman" w:hAnsi="Times New Roman" w:cs="Times New Roman"/>
          <w:b/>
          <w:bCs/>
          <w:sz w:val="22"/>
          <w:szCs w:val="24"/>
        </w:rPr>
        <w:t xml:space="preserve">We appreciate your recognition of our proposal for IFX-resistant KD treatment. We fully agree that expanding the number of patients would strengthen our findings. </w:t>
      </w:r>
      <w:r w:rsidR="008C63BE" w:rsidRPr="00CB7EBA">
        <w:rPr>
          <w:rFonts w:ascii="Times New Roman" w:hAnsi="Times New Roman" w:cs="Times New Roman"/>
          <w:b/>
          <w:bCs/>
          <w:sz w:val="22"/>
          <w:szCs w:val="24"/>
        </w:rPr>
        <w:t>We will conduct further research on IFX-resistant KD, though the current sample size represents the maximum cases we could collect during our study period.</w:t>
      </w:r>
    </w:p>
    <w:p w14:paraId="6DBDB482" w14:textId="77777777" w:rsidR="006C153C" w:rsidRPr="00CB7EBA" w:rsidRDefault="006C153C" w:rsidP="006C153C">
      <w:pPr>
        <w:rPr>
          <w:rFonts w:ascii="Times New Roman" w:hAnsi="Times New Roman" w:cs="Times New Roman"/>
          <w:sz w:val="22"/>
          <w:szCs w:val="24"/>
        </w:rPr>
      </w:pPr>
    </w:p>
    <w:p w14:paraId="7DFF533B" w14:textId="77777777" w:rsidR="004A1264" w:rsidRPr="00CB7EBA" w:rsidRDefault="006C153C" w:rsidP="006C153C">
      <w:pPr>
        <w:rPr>
          <w:rFonts w:ascii="Times New Roman" w:hAnsi="Times New Roman" w:cs="Times New Roman"/>
          <w:b/>
          <w:bCs/>
          <w:i/>
          <w:iCs/>
          <w:sz w:val="22"/>
          <w:szCs w:val="24"/>
        </w:rPr>
      </w:pPr>
      <w:r w:rsidRPr="00CB7EBA">
        <w:rPr>
          <w:rFonts w:ascii="Times New Roman" w:hAnsi="Times New Roman" w:cs="Times New Roman"/>
          <w:b/>
          <w:bCs/>
          <w:i/>
          <w:iCs/>
          <w:sz w:val="22"/>
          <w:szCs w:val="24"/>
        </w:rPr>
        <w:t xml:space="preserve">Reviewer #2: </w:t>
      </w:r>
    </w:p>
    <w:p w14:paraId="21C2CF65" w14:textId="5C21211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The study „Effect of additional IVIG for infliximab-refractory KD: a cohort study" covers an important unmet need in the care of children with KD. The question of effectiveness of various drugs in treatment refractory cases is crucial to improve disease outcome and avoidance of CAL.</w:t>
      </w:r>
    </w:p>
    <w:p w14:paraId="38EDC9CC"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499B2C62" w14:textId="7C991088" w:rsidR="006C153C" w:rsidRPr="00CB7EBA" w:rsidRDefault="00586939" w:rsidP="006C153C">
      <w:pPr>
        <w:rPr>
          <w:rFonts w:ascii="Times New Roman" w:hAnsi="Times New Roman" w:cs="Times New Roman"/>
          <w:b/>
          <w:bCs/>
          <w:sz w:val="22"/>
          <w:szCs w:val="24"/>
        </w:rPr>
      </w:pPr>
      <w:r w:rsidRPr="00CB7EBA">
        <w:rPr>
          <w:rFonts w:ascii="Times New Roman" w:hAnsi="Times New Roman" w:cs="Times New Roman"/>
          <w:b/>
          <w:bCs/>
          <w:sz w:val="22"/>
          <w:szCs w:val="24"/>
        </w:rPr>
        <w:t xml:space="preserve">Thank you for highlighting the clinical significance of our study. We strongly agree that addressing the management of infliximab-refractory KD represents a critical unmet need </w:t>
      </w:r>
      <w:r w:rsidRPr="00CB7EBA">
        <w:rPr>
          <w:rFonts w:ascii="Times New Roman" w:hAnsi="Times New Roman" w:cs="Times New Roman"/>
          <w:b/>
          <w:bCs/>
          <w:sz w:val="22"/>
          <w:szCs w:val="24"/>
        </w:rPr>
        <w:lastRenderedPageBreak/>
        <w:t>in pediatric care. The prevention of CAL in treatment-resistant cases remains one of the most challenging aspects of KD management. Through this study, we aimed to provide evidence-based guidance for clinicians facing these difficult cases.</w:t>
      </w:r>
    </w:p>
    <w:p w14:paraId="525C45C7" w14:textId="77777777" w:rsidR="004A1264" w:rsidRPr="00CB7EBA" w:rsidRDefault="004A1264" w:rsidP="006C153C">
      <w:pPr>
        <w:rPr>
          <w:rFonts w:ascii="Times New Roman" w:hAnsi="Times New Roman" w:cs="Times New Roman"/>
          <w:i/>
          <w:iCs/>
          <w:sz w:val="22"/>
          <w:szCs w:val="24"/>
        </w:rPr>
      </w:pPr>
    </w:p>
    <w:p w14:paraId="61028B82"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Here are my specific comments.</w:t>
      </w:r>
    </w:p>
    <w:p w14:paraId="39AEE73F" w14:textId="77777777" w:rsidR="006C153C" w:rsidRPr="00CB7EBA" w:rsidRDefault="006C153C" w:rsidP="006C153C">
      <w:pPr>
        <w:rPr>
          <w:rFonts w:ascii="Times New Roman" w:hAnsi="Times New Roman" w:cs="Times New Roman"/>
          <w:i/>
          <w:iCs/>
          <w:sz w:val="22"/>
          <w:szCs w:val="24"/>
        </w:rPr>
      </w:pPr>
    </w:p>
    <w:p w14:paraId="05EA40BE"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Major concerns:</w:t>
      </w:r>
    </w:p>
    <w:p w14:paraId="06C27F3C"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Table 1 and figure 1 shows, that IFX was given as 2nd, 3rd, 4th or 5th line treatment. What other treatment were given in between? In my opinion it is difficult to group this heterogenous cohort together. What was the interval between diagnosis and IFX treatment? Did the second-IVIG group also receive other treatments in between?</w:t>
      </w:r>
    </w:p>
    <w:p w14:paraId="43906FDB" w14:textId="77777777" w:rsidR="00396E1B" w:rsidRPr="00CB7EBA" w:rsidRDefault="00396E1B" w:rsidP="00396E1B">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466A1BD3" w14:textId="4BEDE792" w:rsidR="00B0403D" w:rsidRPr="00CB7EBA" w:rsidRDefault="00B0403D" w:rsidP="009D2019">
      <w:pPr>
        <w:rPr>
          <w:rFonts w:ascii="Times New Roman" w:hAnsi="Times New Roman" w:cs="Times New Roman"/>
          <w:b/>
          <w:bCs/>
          <w:sz w:val="22"/>
          <w:szCs w:val="24"/>
        </w:rPr>
      </w:pPr>
      <w:r w:rsidRPr="00CB7EBA">
        <w:rPr>
          <w:rFonts w:ascii="Times New Roman" w:hAnsi="Times New Roman" w:cs="Times New Roman"/>
          <w:b/>
          <w:bCs/>
          <w:sz w:val="22"/>
          <w:szCs w:val="24"/>
        </w:rPr>
        <w:t xml:space="preserve">Thank you for these important questions regarding the treatment sequence and timing. </w:t>
      </w:r>
      <w:r w:rsidR="00DC728F" w:rsidRPr="00CB7EBA">
        <w:rPr>
          <w:rFonts w:ascii="Times New Roman" w:hAnsi="Times New Roman" w:cs="Times New Roman"/>
          <w:b/>
          <w:bCs/>
          <w:sz w:val="22"/>
          <w:szCs w:val="24"/>
        </w:rPr>
        <w:t xml:space="preserve">We apologize for any confusion caused by </w:t>
      </w:r>
      <w:r w:rsidR="008C63BE" w:rsidRPr="00CB7EBA">
        <w:rPr>
          <w:rFonts w:ascii="Times New Roman" w:hAnsi="Times New Roman" w:cs="Times New Roman"/>
          <w:b/>
          <w:bCs/>
          <w:sz w:val="22"/>
          <w:szCs w:val="24"/>
        </w:rPr>
        <w:t xml:space="preserve">the </w:t>
      </w:r>
      <w:r w:rsidR="009D2019" w:rsidRPr="00CB7EBA">
        <w:rPr>
          <w:rFonts w:ascii="Times New Roman" w:hAnsi="Times New Roman" w:cs="Times New Roman"/>
          <w:b/>
          <w:bCs/>
          <w:sz w:val="22"/>
          <w:szCs w:val="24"/>
        </w:rPr>
        <w:t>initial</w:t>
      </w:r>
      <w:r w:rsidR="008C63BE" w:rsidRPr="00CB7EBA">
        <w:rPr>
          <w:rFonts w:ascii="Times New Roman" w:hAnsi="Times New Roman" w:cs="Times New Roman"/>
          <w:b/>
          <w:bCs/>
          <w:sz w:val="22"/>
          <w:szCs w:val="24"/>
        </w:rPr>
        <w:t xml:space="preserve"> explanation</w:t>
      </w:r>
      <w:r w:rsidR="00DC728F" w:rsidRPr="00CB7EBA">
        <w:rPr>
          <w:rFonts w:ascii="Times New Roman" w:hAnsi="Times New Roman" w:cs="Times New Roman"/>
          <w:b/>
          <w:bCs/>
          <w:sz w:val="22"/>
          <w:szCs w:val="24"/>
        </w:rPr>
        <w:t xml:space="preserve"> and appreciate the opportunity to clarify this point. </w:t>
      </w:r>
      <w:r w:rsidR="009D2019" w:rsidRPr="00CB7EBA">
        <w:rPr>
          <w:rFonts w:ascii="Times New Roman" w:hAnsi="Times New Roman" w:cs="Times New Roman"/>
          <w:b/>
          <w:bCs/>
          <w:sz w:val="22"/>
          <w:szCs w:val="24"/>
        </w:rPr>
        <w:t>We considered the IVIG-after-IFX group a homogeneous cohort because the post-IFX treatment was identical (i.e., IVIG), despite the heterogeneity in pre-IFX treatments.</w:t>
      </w:r>
    </w:p>
    <w:p w14:paraId="77B14385" w14:textId="77777777" w:rsidR="00D356A5" w:rsidRPr="00CB7EBA" w:rsidRDefault="00D356A5" w:rsidP="00396E1B">
      <w:pPr>
        <w:rPr>
          <w:rFonts w:ascii="Times New Roman" w:hAnsi="Times New Roman" w:cs="Times New Roman"/>
          <w:sz w:val="22"/>
          <w:szCs w:val="24"/>
        </w:rPr>
      </w:pPr>
    </w:p>
    <w:p w14:paraId="7B3BB194" w14:textId="77777777" w:rsidR="001736F5" w:rsidRPr="00CB7EBA" w:rsidRDefault="001736F5" w:rsidP="001736F5">
      <w:pPr>
        <w:rPr>
          <w:rFonts w:ascii="Times New Roman" w:hAnsi="Times New Roman" w:cs="Times New Roman"/>
          <w:b/>
          <w:bCs/>
          <w:sz w:val="22"/>
          <w:szCs w:val="24"/>
        </w:rPr>
      </w:pPr>
      <w:r w:rsidRPr="00CB7EBA">
        <w:rPr>
          <w:rFonts w:ascii="Times New Roman" w:hAnsi="Times New Roman" w:cs="Times New Roman"/>
          <w:b/>
          <w:bCs/>
          <w:sz w:val="22"/>
          <w:szCs w:val="24"/>
        </w:rPr>
        <w:t>To clarify the treatment sequences:</w:t>
      </w:r>
    </w:p>
    <w:p w14:paraId="12DBE623" w14:textId="52C52DBF" w:rsidR="001736F5" w:rsidRPr="00CB7EBA" w:rsidRDefault="001736F5" w:rsidP="001736F5">
      <w:pPr>
        <w:rPr>
          <w:rFonts w:ascii="Times New Roman" w:hAnsi="Times New Roman" w:cs="Times New Roman"/>
          <w:b/>
          <w:bCs/>
          <w:sz w:val="22"/>
          <w:szCs w:val="24"/>
        </w:rPr>
      </w:pPr>
      <w:r w:rsidRPr="00CB7EBA">
        <w:rPr>
          <w:rFonts w:ascii="Times New Roman" w:hAnsi="Times New Roman" w:cs="Times New Roman"/>
          <w:b/>
          <w:bCs/>
          <w:sz w:val="22"/>
          <w:szCs w:val="24"/>
        </w:rPr>
        <w:t>Prior to IFX administration, patients received the following treatments:</w:t>
      </w:r>
    </w:p>
    <w:p w14:paraId="19189925" w14:textId="43C6C580" w:rsidR="001736F5" w:rsidRPr="00CB7EBA" w:rsidRDefault="00BC30BC" w:rsidP="001736F5">
      <w:pPr>
        <w:rPr>
          <w:rFonts w:ascii="Times New Roman" w:hAnsi="Times New Roman" w:cs="Times New Roman"/>
          <w:b/>
          <w:bCs/>
          <w:sz w:val="22"/>
          <w:szCs w:val="24"/>
        </w:rPr>
      </w:pPr>
      <w:r w:rsidRPr="00CB7EBA">
        <w:rPr>
          <w:rFonts w:ascii="Times New Roman" w:hAnsi="Times New Roman" w:cs="Times New Roman"/>
          <w:b/>
          <w:bCs/>
          <w:sz w:val="22"/>
          <w:szCs w:val="24"/>
        </w:rPr>
        <w:t>Patients who received IFX in the second line</w:t>
      </w:r>
      <w:r w:rsidR="001736F5" w:rsidRPr="00CB7EBA">
        <w:rPr>
          <w:rFonts w:ascii="Times New Roman" w:hAnsi="Times New Roman" w:cs="Times New Roman"/>
          <w:b/>
          <w:bCs/>
          <w:sz w:val="22"/>
          <w:szCs w:val="24"/>
        </w:rPr>
        <w:t xml:space="preserve"> (n=1): Initial IVIG </w:t>
      </w:r>
      <w:r w:rsidR="00453893" w:rsidRPr="00CB7EBA">
        <w:rPr>
          <w:rFonts w:ascii="Times New Roman" w:hAnsi="Times New Roman" w:cs="Times New Roman"/>
          <w:b/>
          <w:bCs/>
          <w:sz w:val="22"/>
          <w:szCs w:val="24"/>
        </w:rPr>
        <w:t>with</w:t>
      </w:r>
      <w:r w:rsidR="001736F5" w:rsidRPr="00CB7EBA">
        <w:rPr>
          <w:rFonts w:ascii="Times New Roman" w:hAnsi="Times New Roman" w:cs="Times New Roman"/>
          <w:b/>
          <w:bCs/>
          <w:sz w:val="22"/>
          <w:szCs w:val="24"/>
        </w:rPr>
        <w:t xml:space="preserve"> prednisolone</w:t>
      </w:r>
    </w:p>
    <w:p w14:paraId="5FB7DE68" w14:textId="3B93984A" w:rsidR="001736F5" w:rsidRPr="00CB7EBA" w:rsidRDefault="00BC30BC" w:rsidP="001736F5">
      <w:pPr>
        <w:rPr>
          <w:rFonts w:ascii="Times New Roman" w:hAnsi="Times New Roman" w:cs="Times New Roman"/>
          <w:b/>
          <w:bCs/>
          <w:sz w:val="22"/>
          <w:szCs w:val="24"/>
        </w:rPr>
      </w:pPr>
      <w:r w:rsidRPr="00CB7EBA">
        <w:rPr>
          <w:rFonts w:ascii="Times New Roman" w:hAnsi="Times New Roman" w:cs="Times New Roman"/>
          <w:b/>
          <w:bCs/>
          <w:sz w:val="22"/>
          <w:szCs w:val="24"/>
        </w:rPr>
        <w:t>Patients who received IFX in the third line</w:t>
      </w:r>
      <w:r w:rsidR="001736F5" w:rsidRPr="00CB7EBA">
        <w:rPr>
          <w:rFonts w:ascii="Times New Roman" w:hAnsi="Times New Roman" w:cs="Times New Roman"/>
          <w:b/>
          <w:bCs/>
          <w:sz w:val="22"/>
          <w:szCs w:val="24"/>
        </w:rPr>
        <w:t xml:space="preserve"> (n=21): Initial IVIG followed by second IVIG, with some patients receiving concurrent prednisolone</w:t>
      </w:r>
    </w:p>
    <w:p w14:paraId="2BDC1DF0" w14:textId="28463217" w:rsidR="001736F5" w:rsidRPr="00CB7EBA" w:rsidRDefault="00BC30BC" w:rsidP="001736F5">
      <w:pPr>
        <w:rPr>
          <w:rFonts w:ascii="Times New Roman" w:hAnsi="Times New Roman" w:cs="Times New Roman"/>
          <w:b/>
          <w:bCs/>
          <w:sz w:val="22"/>
          <w:szCs w:val="24"/>
        </w:rPr>
      </w:pPr>
      <w:r w:rsidRPr="00CB7EBA">
        <w:rPr>
          <w:rFonts w:ascii="Times New Roman" w:hAnsi="Times New Roman" w:cs="Times New Roman"/>
          <w:b/>
          <w:bCs/>
          <w:sz w:val="22"/>
          <w:szCs w:val="24"/>
        </w:rPr>
        <w:t>Patients who received IFX in the fourth line</w:t>
      </w:r>
      <w:r w:rsidR="001736F5" w:rsidRPr="00CB7EBA">
        <w:rPr>
          <w:rFonts w:ascii="Times New Roman" w:hAnsi="Times New Roman" w:cs="Times New Roman"/>
          <w:b/>
          <w:bCs/>
          <w:sz w:val="22"/>
          <w:szCs w:val="24"/>
        </w:rPr>
        <w:t xml:space="preserve"> (n=5): These patients received either:</w:t>
      </w:r>
    </w:p>
    <w:p w14:paraId="36755814" w14:textId="77777777" w:rsidR="001736F5" w:rsidRPr="00CB7EBA" w:rsidRDefault="001736F5" w:rsidP="001736F5">
      <w:pPr>
        <w:rPr>
          <w:rFonts w:ascii="Times New Roman" w:hAnsi="Times New Roman" w:cs="Times New Roman"/>
          <w:b/>
          <w:bCs/>
          <w:sz w:val="22"/>
          <w:szCs w:val="24"/>
        </w:rPr>
      </w:pPr>
      <w:r w:rsidRPr="00CB7EBA">
        <w:rPr>
          <w:rFonts w:ascii="Times New Roman" w:hAnsi="Times New Roman" w:cs="Times New Roman" w:hint="eastAsia"/>
          <w:b/>
          <w:bCs/>
          <w:sz w:val="22"/>
          <w:szCs w:val="24"/>
        </w:rPr>
        <w:t>•</w:t>
      </w:r>
      <w:r w:rsidRPr="00CB7EBA">
        <w:rPr>
          <w:rFonts w:ascii="Times New Roman" w:hAnsi="Times New Roman" w:cs="Times New Roman"/>
          <w:b/>
          <w:bCs/>
          <w:sz w:val="22"/>
          <w:szCs w:val="24"/>
        </w:rPr>
        <w:t xml:space="preserve"> Three courses of IVIG (n=1)</w:t>
      </w:r>
    </w:p>
    <w:p w14:paraId="1CBCF55B" w14:textId="00D9A7FB" w:rsidR="007372BD" w:rsidRPr="00CB7EBA" w:rsidRDefault="001736F5" w:rsidP="001736F5">
      <w:pPr>
        <w:rPr>
          <w:rFonts w:ascii="Times New Roman" w:hAnsi="Times New Roman" w:cs="Times New Roman"/>
          <w:b/>
          <w:bCs/>
          <w:sz w:val="22"/>
          <w:szCs w:val="24"/>
        </w:rPr>
      </w:pPr>
      <w:r w:rsidRPr="00CB7EBA">
        <w:rPr>
          <w:rFonts w:ascii="Times New Roman" w:hAnsi="Times New Roman" w:cs="Times New Roman" w:hint="eastAsia"/>
          <w:b/>
          <w:bCs/>
          <w:sz w:val="22"/>
          <w:szCs w:val="24"/>
        </w:rPr>
        <w:t>•</w:t>
      </w:r>
      <w:r w:rsidRPr="00CB7EBA">
        <w:rPr>
          <w:rFonts w:ascii="Times New Roman" w:hAnsi="Times New Roman" w:cs="Times New Roman"/>
          <w:b/>
          <w:bCs/>
          <w:sz w:val="22"/>
          <w:szCs w:val="24"/>
        </w:rPr>
        <w:t xml:space="preserve"> Two courses of IVIG plus methylprednisolone pulse therapy (n=4)</w:t>
      </w:r>
    </w:p>
    <w:p w14:paraId="7E419F30" w14:textId="77777777" w:rsidR="006A58DC" w:rsidRPr="00CB7EBA" w:rsidRDefault="006A58DC" w:rsidP="001736F5">
      <w:pPr>
        <w:rPr>
          <w:rFonts w:ascii="Times New Roman" w:hAnsi="Times New Roman" w:cs="Times New Roman"/>
          <w:sz w:val="22"/>
          <w:szCs w:val="24"/>
        </w:rPr>
      </w:pPr>
    </w:p>
    <w:p w14:paraId="263CA2A8" w14:textId="3A4764EB" w:rsidR="006A58DC" w:rsidRPr="00CB7EBA" w:rsidRDefault="006A58DC" w:rsidP="001736F5">
      <w:pPr>
        <w:rPr>
          <w:rFonts w:ascii="Times New Roman" w:hAnsi="Times New Roman" w:cs="Times New Roman"/>
          <w:b/>
          <w:bCs/>
          <w:sz w:val="22"/>
          <w:szCs w:val="24"/>
        </w:rPr>
      </w:pPr>
      <w:r w:rsidRPr="00CB7EBA">
        <w:rPr>
          <w:rFonts w:ascii="Times New Roman" w:hAnsi="Times New Roman" w:cs="Times New Roman"/>
          <w:b/>
          <w:bCs/>
          <w:sz w:val="22"/>
          <w:szCs w:val="24"/>
        </w:rPr>
        <w:t>(We apologize for the error in our initial manuscript regarding the treatment sequence data. After reviewing the clinical records, we found that IFX was administered as the third-line treatment in 21 cases (78%), with one case in the second line and five cases (not four as previously stated) in the fourth line. There were no fifth-line cases, contrary to our previous statement.)</w:t>
      </w:r>
    </w:p>
    <w:p w14:paraId="22028BF0" w14:textId="77777777" w:rsidR="001B2238" w:rsidRPr="00CB7EBA" w:rsidRDefault="001B2238" w:rsidP="00D356A5">
      <w:pPr>
        <w:rPr>
          <w:rFonts w:ascii="Times New Roman" w:hAnsi="Times New Roman" w:cs="Times New Roman"/>
          <w:sz w:val="22"/>
          <w:szCs w:val="24"/>
        </w:rPr>
      </w:pPr>
    </w:p>
    <w:p w14:paraId="4705F92C" w14:textId="41923FD7" w:rsidR="007372BD" w:rsidRPr="00CB7EBA" w:rsidRDefault="007372BD" w:rsidP="00D356A5">
      <w:pPr>
        <w:rPr>
          <w:rFonts w:ascii="Times New Roman" w:hAnsi="Times New Roman" w:cs="Times New Roman"/>
          <w:b/>
          <w:bCs/>
          <w:sz w:val="22"/>
          <w:szCs w:val="24"/>
        </w:rPr>
      </w:pPr>
      <w:r w:rsidRPr="00CB7EBA">
        <w:rPr>
          <w:rFonts w:ascii="Times New Roman" w:hAnsi="Times New Roman" w:cs="Times New Roman"/>
          <w:b/>
          <w:bCs/>
          <w:sz w:val="22"/>
          <w:szCs w:val="24"/>
        </w:rPr>
        <w:t xml:space="preserve">After IFX, they </w:t>
      </w:r>
      <w:r w:rsidR="001B799E" w:rsidRPr="00CB7EBA">
        <w:rPr>
          <w:rFonts w:ascii="Times New Roman" w:hAnsi="Times New Roman" w:cs="Times New Roman" w:hint="eastAsia"/>
          <w:b/>
          <w:bCs/>
          <w:sz w:val="22"/>
          <w:szCs w:val="24"/>
        </w:rPr>
        <w:t xml:space="preserve">all </w:t>
      </w:r>
      <w:r w:rsidRPr="00CB7EBA">
        <w:rPr>
          <w:rFonts w:ascii="Times New Roman" w:hAnsi="Times New Roman" w:cs="Times New Roman"/>
          <w:b/>
          <w:bCs/>
          <w:sz w:val="22"/>
          <w:szCs w:val="24"/>
        </w:rPr>
        <w:t>received IVIG, which we named IVIG-after-IFX</w:t>
      </w:r>
      <w:r w:rsidR="00EE745F" w:rsidRPr="00CB7EBA">
        <w:rPr>
          <w:rFonts w:ascii="Times New Roman" w:hAnsi="Times New Roman" w:cs="Times New Roman"/>
          <w:b/>
          <w:bCs/>
          <w:sz w:val="22"/>
          <w:szCs w:val="24"/>
        </w:rPr>
        <w:t>. If their fever remained persistent after IVIG-after-IFX, they received additional treatment.</w:t>
      </w:r>
    </w:p>
    <w:p w14:paraId="525AAB75" w14:textId="77777777" w:rsidR="007372BD" w:rsidRPr="00CB7EBA" w:rsidRDefault="007372BD" w:rsidP="00D356A5">
      <w:pPr>
        <w:rPr>
          <w:rFonts w:ascii="Times New Roman" w:hAnsi="Times New Roman" w:cs="Times New Roman"/>
          <w:sz w:val="22"/>
          <w:szCs w:val="24"/>
        </w:rPr>
      </w:pPr>
    </w:p>
    <w:p w14:paraId="1E826850" w14:textId="67C17C79" w:rsidR="001A6CD4" w:rsidRPr="00CB7EBA" w:rsidRDefault="007372BD" w:rsidP="00D356A5">
      <w:r w:rsidRPr="00CB7EBA">
        <w:rPr>
          <w:rFonts w:ascii="Times New Roman" w:hAnsi="Times New Roman" w:cs="Times New Roman"/>
          <w:b/>
          <w:bCs/>
          <w:sz w:val="22"/>
          <w:szCs w:val="24"/>
        </w:rPr>
        <w:lastRenderedPageBreak/>
        <w:t>In the second</w:t>
      </w:r>
      <w:r w:rsidR="001A6CD4" w:rsidRPr="00CB7EBA">
        <w:rPr>
          <w:rFonts w:ascii="Times New Roman" w:hAnsi="Times New Roman" w:cs="Times New Roman"/>
          <w:b/>
          <w:bCs/>
          <w:sz w:val="22"/>
          <w:szCs w:val="24"/>
        </w:rPr>
        <w:t>-</w:t>
      </w:r>
      <w:r w:rsidRPr="00CB7EBA">
        <w:rPr>
          <w:rFonts w:ascii="Times New Roman" w:hAnsi="Times New Roman" w:cs="Times New Roman"/>
          <w:b/>
          <w:bCs/>
          <w:sz w:val="22"/>
          <w:szCs w:val="24"/>
        </w:rPr>
        <w:t>IVIG group, these patients received the second-line IVIG after the initial IVIG failed. This group comprised all KD patients who received a second IVIG due to resistance to the initial IVIG treatment in 2016. Some of these patients received prednisolone in combination with IVIG.</w:t>
      </w:r>
    </w:p>
    <w:p w14:paraId="1149A3F7" w14:textId="7E93E66E" w:rsidR="008359A8" w:rsidRPr="00CB7EBA" w:rsidRDefault="001A6CD4" w:rsidP="00396E1B">
      <w:pPr>
        <w:rPr>
          <w:rFonts w:ascii="Times New Roman" w:hAnsi="Times New Roman" w:cs="Times New Roman"/>
          <w:b/>
          <w:bCs/>
          <w:sz w:val="22"/>
          <w:szCs w:val="24"/>
        </w:rPr>
      </w:pPr>
      <w:r w:rsidRPr="00CB7EBA">
        <w:rPr>
          <w:rFonts w:ascii="Times New Roman" w:hAnsi="Times New Roman" w:cs="Times New Roman"/>
          <w:b/>
          <w:bCs/>
          <w:sz w:val="22"/>
          <w:szCs w:val="24"/>
        </w:rPr>
        <w:t xml:space="preserve">(We apologize for the error in our initial manuscript. We have found that the second-IVIG group included </w:t>
      </w:r>
      <w:r w:rsidR="00A26A54" w:rsidRPr="00CB7EBA">
        <w:rPr>
          <w:rFonts w:ascii="Times New Roman" w:hAnsi="Times New Roman" w:cs="Times New Roman"/>
          <w:b/>
          <w:bCs/>
          <w:sz w:val="22"/>
          <w:szCs w:val="24"/>
        </w:rPr>
        <w:t xml:space="preserve">five </w:t>
      </w:r>
      <w:r w:rsidRPr="00CB7EBA">
        <w:rPr>
          <w:rFonts w:ascii="Times New Roman" w:hAnsi="Times New Roman" w:cs="Times New Roman"/>
          <w:b/>
          <w:bCs/>
          <w:sz w:val="22"/>
          <w:szCs w:val="24"/>
        </w:rPr>
        <w:t>patients who received prednisolone in combination with IVIG.)</w:t>
      </w:r>
      <w:r w:rsidR="00571795" w:rsidRPr="00CB7EBA">
        <w:rPr>
          <w:rFonts w:ascii="Times New Roman" w:hAnsi="Times New Roman" w:cs="Times New Roman" w:hint="eastAsia"/>
          <w:b/>
          <w:bCs/>
          <w:sz w:val="22"/>
          <w:szCs w:val="24"/>
        </w:rPr>
        <w:t xml:space="preserve"> Thus, these patients di</w:t>
      </w:r>
      <w:r w:rsidR="005E22AF" w:rsidRPr="00CB7EBA">
        <w:rPr>
          <w:rFonts w:ascii="Times New Roman" w:hAnsi="Times New Roman" w:cs="Times New Roman" w:hint="eastAsia"/>
          <w:b/>
          <w:bCs/>
          <w:sz w:val="22"/>
          <w:szCs w:val="24"/>
        </w:rPr>
        <w:t>dn</w:t>
      </w:r>
      <w:r w:rsidR="005E22AF" w:rsidRPr="00CB7EBA">
        <w:rPr>
          <w:rFonts w:ascii="Times New Roman" w:hAnsi="Times New Roman" w:cs="Times New Roman"/>
          <w:b/>
          <w:bCs/>
          <w:sz w:val="22"/>
          <w:szCs w:val="24"/>
        </w:rPr>
        <w:t>’</w:t>
      </w:r>
      <w:r w:rsidR="005E22AF" w:rsidRPr="00CB7EBA">
        <w:rPr>
          <w:rFonts w:ascii="Times New Roman" w:hAnsi="Times New Roman" w:cs="Times New Roman" w:hint="eastAsia"/>
          <w:b/>
          <w:bCs/>
          <w:sz w:val="22"/>
          <w:szCs w:val="24"/>
        </w:rPr>
        <w:t>t receive other treatments in between.</w:t>
      </w:r>
    </w:p>
    <w:p w14:paraId="1142F13D" w14:textId="632E46F4" w:rsidR="00FA1124" w:rsidRPr="00CB7EBA" w:rsidRDefault="00FA1124" w:rsidP="00396E1B">
      <w:pPr>
        <w:rPr>
          <w:rFonts w:ascii="Times New Roman" w:hAnsi="Times New Roman" w:cs="Times New Roman"/>
          <w:sz w:val="22"/>
          <w:szCs w:val="24"/>
        </w:rPr>
      </w:pPr>
    </w:p>
    <w:p w14:paraId="1ADDF64C" w14:textId="5C6CFDFF" w:rsidR="001A6CD4" w:rsidRPr="00CB7EBA" w:rsidRDefault="001A6CD4" w:rsidP="001A6CD4">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sentence </w:t>
      </w:r>
      <w:r w:rsidR="00A26A54" w:rsidRPr="00CB7EBA">
        <w:rPr>
          <w:rFonts w:ascii="Times New Roman" w:hAnsi="Times New Roman" w:cs="Times New Roman"/>
          <w:b/>
          <w:bCs/>
          <w:sz w:val="22"/>
          <w:szCs w:val="24"/>
        </w:rPr>
        <w:t xml:space="preserve">and Table 1 </w:t>
      </w:r>
      <w:r w:rsidRPr="00CB7EBA">
        <w:rPr>
          <w:rFonts w:ascii="Times New Roman" w:hAnsi="Times New Roman" w:cs="Times New Roman"/>
          <w:b/>
          <w:bCs/>
          <w:sz w:val="22"/>
          <w:szCs w:val="24"/>
        </w:rPr>
        <w:t>w</w:t>
      </w:r>
      <w:r w:rsidR="00A26A54" w:rsidRPr="00CB7EBA">
        <w:rPr>
          <w:rFonts w:ascii="Times New Roman" w:hAnsi="Times New Roman" w:cs="Times New Roman"/>
          <w:b/>
          <w:bCs/>
          <w:sz w:val="22"/>
          <w:szCs w:val="24"/>
        </w:rPr>
        <w:t>ere</w:t>
      </w:r>
      <w:r w:rsidRPr="00CB7EBA">
        <w:rPr>
          <w:rFonts w:ascii="Times New Roman" w:hAnsi="Times New Roman" w:cs="Times New Roman"/>
          <w:b/>
          <w:bCs/>
          <w:sz w:val="22"/>
          <w:szCs w:val="24"/>
        </w:rPr>
        <w:t xml:space="preserve"> corrected</w:t>
      </w:r>
      <w:r w:rsidR="00A26A54" w:rsidRPr="00CB7EBA">
        <w:rPr>
          <w:rFonts w:ascii="Times New Roman" w:hAnsi="Times New Roman" w:cs="Times New Roman"/>
          <w:b/>
          <w:bCs/>
          <w:sz w:val="22"/>
          <w:szCs w:val="24"/>
        </w:rPr>
        <w:t xml:space="preserve"> in the Results section</w:t>
      </w:r>
      <w:r w:rsidRPr="00CB7EBA">
        <w:rPr>
          <w:rFonts w:ascii="Times New Roman" w:hAnsi="Times New Roman" w:cs="Times New Roman"/>
          <w:b/>
          <w:bCs/>
          <w:sz w:val="22"/>
          <w:szCs w:val="24"/>
        </w:rPr>
        <w:t>:</w:t>
      </w:r>
    </w:p>
    <w:p w14:paraId="0D341875" w14:textId="225DBA6E" w:rsidR="001A6CD4" w:rsidRPr="00CB7EBA" w:rsidRDefault="001A6CD4" w:rsidP="001A6CD4">
      <w:pPr>
        <w:rPr>
          <w:rFonts w:ascii="Times New Roman" w:hAnsi="Times New Roman" w:cs="Times New Roman"/>
          <w:b/>
          <w:bCs/>
          <w:sz w:val="22"/>
          <w:szCs w:val="24"/>
        </w:rPr>
      </w:pPr>
      <w:r w:rsidRPr="00CB7EBA">
        <w:rPr>
          <w:rFonts w:ascii="Times New Roman" w:hAnsi="Times New Roman" w:cs="Times New Roman"/>
          <w:b/>
          <w:bCs/>
          <w:sz w:val="22"/>
          <w:szCs w:val="24"/>
        </w:rPr>
        <w:t xml:space="preserve">“Complete KD was diagnosed in all patients except one. IFX was administered as the third-line treatment in 21 cases (78%), with one case in the second line, </w:t>
      </w:r>
      <w:r w:rsidRPr="00CB7EBA">
        <w:rPr>
          <w:rFonts w:ascii="Times New Roman" w:hAnsi="Times New Roman" w:cs="Times New Roman"/>
          <w:b/>
          <w:bCs/>
          <w:color w:val="FF0000"/>
          <w:sz w:val="22"/>
          <w:szCs w:val="24"/>
        </w:rPr>
        <w:t xml:space="preserve">five </w:t>
      </w:r>
      <w:r w:rsidRPr="00CB7EBA">
        <w:rPr>
          <w:rFonts w:ascii="Times New Roman" w:hAnsi="Times New Roman" w:cs="Times New Roman"/>
          <w:b/>
          <w:bCs/>
          <w:sz w:val="22"/>
          <w:szCs w:val="24"/>
        </w:rPr>
        <w:t>in the fourth line.”</w:t>
      </w:r>
    </w:p>
    <w:p w14:paraId="58A367BA" w14:textId="77777777" w:rsidR="001A6CD4" w:rsidRPr="00CB7EBA" w:rsidRDefault="001A6CD4" w:rsidP="00396E1B">
      <w:pPr>
        <w:rPr>
          <w:rFonts w:ascii="Times New Roman" w:hAnsi="Times New Roman" w:cs="Times New Roman"/>
          <w:sz w:val="22"/>
          <w:szCs w:val="24"/>
        </w:rPr>
      </w:pPr>
    </w:p>
    <w:p w14:paraId="7FFDE663" w14:textId="63B19CEF" w:rsidR="008359A8" w:rsidRPr="00CB7EBA" w:rsidRDefault="008359A8" w:rsidP="008359A8">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w:t>
      </w:r>
      <w:r w:rsidR="00B21EC7" w:rsidRPr="00CB7EBA">
        <w:rPr>
          <w:rFonts w:ascii="Times New Roman" w:hAnsi="Times New Roman" w:cs="Times New Roman"/>
          <w:b/>
          <w:bCs/>
          <w:sz w:val="22"/>
          <w:szCs w:val="24"/>
        </w:rPr>
        <w:t xml:space="preserve">information </w:t>
      </w:r>
      <w:r w:rsidRPr="00CB7EBA">
        <w:rPr>
          <w:rFonts w:ascii="Times New Roman" w:hAnsi="Times New Roman" w:cs="Times New Roman"/>
          <w:b/>
          <w:bCs/>
          <w:sz w:val="22"/>
          <w:szCs w:val="24"/>
        </w:rPr>
        <w:t xml:space="preserve">was added </w:t>
      </w:r>
      <w:r w:rsidR="0042597B"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 xml:space="preserve">the </w:t>
      </w:r>
      <w:r w:rsidR="007911E2" w:rsidRPr="00CB7EBA">
        <w:rPr>
          <w:rFonts w:ascii="Times New Roman" w:hAnsi="Times New Roman" w:cs="Times New Roman"/>
          <w:b/>
          <w:bCs/>
          <w:sz w:val="22"/>
          <w:szCs w:val="24"/>
        </w:rPr>
        <w:t>footnote of Table 1</w:t>
      </w:r>
      <w:r w:rsidRPr="00CB7EBA">
        <w:rPr>
          <w:rFonts w:ascii="Times New Roman" w:hAnsi="Times New Roman" w:cs="Times New Roman"/>
          <w:b/>
          <w:bCs/>
          <w:sz w:val="22"/>
          <w:szCs w:val="24"/>
        </w:rPr>
        <w:t>:</w:t>
      </w:r>
    </w:p>
    <w:p w14:paraId="37FB30E6" w14:textId="77777777" w:rsidR="007911E2" w:rsidRPr="00CB7EBA" w:rsidRDefault="008359A8" w:rsidP="007911E2">
      <w:pPr>
        <w:rPr>
          <w:rFonts w:ascii="Times New Roman" w:hAnsi="Times New Roman" w:cs="Times New Roman"/>
          <w:b/>
          <w:bCs/>
          <w:color w:val="FF0000"/>
          <w:sz w:val="22"/>
          <w:szCs w:val="24"/>
        </w:rPr>
      </w:pPr>
      <w:r w:rsidRPr="00CB7EBA">
        <w:rPr>
          <w:rFonts w:ascii="Times New Roman" w:hAnsi="Times New Roman" w:cs="Times New Roman"/>
          <w:b/>
          <w:bCs/>
          <w:color w:val="FF0000"/>
          <w:sz w:val="22"/>
          <w:szCs w:val="24"/>
        </w:rPr>
        <w:t>“</w:t>
      </w:r>
      <w:r w:rsidR="007911E2" w:rsidRPr="00CB7EBA">
        <w:rPr>
          <w:rFonts w:ascii="Times New Roman" w:hAnsi="Times New Roman" w:cs="Times New Roman"/>
          <w:b/>
          <w:bCs/>
          <w:color w:val="FF0000"/>
          <w:sz w:val="22"/>
          <w:szCs w:val="24"/>
        </w:rPr>
        <w:t>Patients received the following treatments before IFX administration:</w:t>
      </w:r>
    </w:p>
    <w:p w14:paraId="3A8FC1EB"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Initial IVIG with prednisolone.</w:t>
      </w:r>
    </w:p>
    <w:p w14:paraId="380F3075"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Initial IVIG followed by a second dose of IVIG, with some patients also receiving prednisolone concurrently.</w:t>
      </w:r>
    </w:p>
    <w:p w14:paraId="6E93090F" w14:textId="210B5330" w:rsidR="0051703B"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Three courses of IVIG (n=1) or two courses of IVIG and methylprednisolone pulse (n=4).”</w:t>
      </w:r>
    </w:p>
    <w:p w14:paraId="16F08100" w14:textId="3041A3B6" w:rsidR="0097711A" w:rsidRPr="00CB7EBA" w:rsidRDefault="0097711A" w:rsidP="0097711A">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(Page 7</w:t>
      </w:r>
      <w:r w:rsidRPr="00CB7EBA">
        <w:rPr>
          <w:rFonts w:ascii="Times New Roman" w:hAnsi="Times New Roman" w:cs="Times New Roman"/>
          <w:b/>
          <w:bCs/>
          <w:color w:val="FF0000"/>
          <w:sz w:val="22"/>
          <w:szCs w:val="24"/>
        </w:rPr>
        <w:t>,</w:t>
      </w:r>
      <w:r w:rsidRPr="00CB7EBA">
        <w:rPr>
          <w:rFonts w:ascii="Times New Roman" w:hAnsi="Times New Roman" w:cs="Times New Roman" w:hint="eastAsia"/>
          <w:b/>
          <w:bCs/>
          <w:color w:val="FF0000"/>
          <w:sz w:val="22"/>
          <w:szCs w:val="24"/>
        </w:rPr>
        <w:t xml:space="preserve"> Lines 11</w:t>
      </w:r>
      <w:r w:rsidRPr="00CB7EBA">
        <w:rPr>
          <w:rFonts w:ascii="Times New Roman" w:hAnsi="Times New Roman" w:cs="Times New Roman"/>
          <w:b/>
          <w:bCs/>
          <w:color w:val="FF0000"/>
          <w:sz w:val="22"/>
          <w:szCs w:val="24"/>
        </w:rPr>
        <w:t>–1</w:t>
      </w:r>
      <w:r w:rsidRPr="00CB7EBA">
        <w:rPr>
          <w:rFonts w:ascii="Times New Roman" w:hAnsi="Times New Roman" w:cs="Times New Roman" w:hint="eastAsia"/>
          <w:b/>
          <w:bCs/>
          <w:color w:val="FF0000"/>
          <w:sz w:val="22"/>
          <w:szCs w:val="24"/>
        </w:rPr>
        <w:t xml:space="preserve">2 to Page </w:t>
      </w:r>
      <w:r w:rsidRPr="00CB7EBA">
        <w:rPr>
          <w:rFonts w:ascii="Times New Roman" w:hAnsi="Times New Roman" w:cs="Times New Roman"/>
          <w:b/>
          <w:bCs/>
          <w:color w:val="FF0000"/>
          <w:sz w:val="22"/>
          <w:szCs w:val="24"/>
        </w:rPr>
        <w:t>8</w:t>
      </w:r>
      <w:r w:rsidRPr="00CB7EBA">
        <w:rPr>
          <w:rFonts w:ascii="Times New Roman" w:hAnsi="Times New Roman" w:cs="Times New Roman" w:hint="eastAsia"/>
          <w:b/>
          <w:bCs/>
          <w:color w:val="FF0000"/>
          <w:sz w:val="22"/>
          <w:szCs w:val="24"/>
        </w:rPr>
        <w:t>, Lines 1</w:t>
      </w:r>
      <w:r w:rsidRPr="00CB7EBA">
        <w:rPr>
          <w:rFonts w:ascii="Times New Roman" w:hAnsi="Times New Roman" w:cs="Times New Roman"/>
          <w:b/>
          <w:bCs/>
          <w:color w:val="FF0000"/>
          <w:sz w:val="22"/>
          <w:szCs w:val="24"/>
        </w:rPr>
        <w:t>–</w:t>
      </w:r>
      <w:r w:rsidR="009B398D" w:rsidRPr="00CB7EBA">
        <w:rPr>
          <w:rFonts w:ascii="Times New Roman" w:hAnsi="Times New Roman" w:cs="Times New Roman"/>
          <w:b/>
          <w:bCs/>
          <w:color w:val="FF0000"/>
          <w:sz w:val="22"/>
          <w:szCs w:val="24"/>
        </w:rPr>
        <w:t>3</w:t>
      </w:r>
      <w:r w:rsidRPr="00CB7EBA">
        <w:rPr>
          <w:rFonts w:ascii="Times New Roman" w:hAnsi="Times New Roman" w:cs="Times New Roman" w:hint="eastAsia"/>
          <w:b/>
          <w:bCs/>
          <w:color w:val="FF0000"/>
          <w:sz w:val="22"/>
          <w:szCs w:val="24"/>
        </w:rPr>
        <w:t>)</w:t>
      </w:r>
    </w:p>
    <w:p w14:paraId="5B7A52C3" w14:textId="77777777" w:rsidR="007911E2" w:rsidRPr="00CB7EBA" w:rsidRDefault="007911E2" w:rsidP="0051703B">
      <w:pPr>
        <w:rPr>
          <w:rFonts w:ascii="Times New Roman" w:hAnsi="Times New Roman" w:cs="Times New Roman"/>
          <w:sz w:val="22"/>
          <w:szCs w:val="24"/>
        </w:rPr>
      </w:pPr>
    </w:p>
    <w:p w14:paraId="40B33174" w14:textId="237F089E" w:rsidR="0051703B" w:rsidRPr="00CB7EBA" w:rsidRDefault="0051703B" w:rsidP="0051703B">
      <w:pPr>
        <w:rPr>
          <w:rFonts w:ascii="Times New Roman" w:hAnsi="Times New Roman" w:cs="Times New Roman"/>
          <w:b/>
          <w:bCs/>
          <w:sz w:val="22"/>
          <w:szCs w:val="24"/>
        </w:rPr>
      </w:pPr>
      <w:r w:rsidRPr="00CB7EBA">
        <w:rPr>
          <w:rFonts w:ascii="Times New Roman" w:hAnsi="Times New Roman" w:cs="Times New Roman"/>
          <w:b/>
          <w:bCs/>
          <w:sz w:val="22"/>
          <w:szCs w:val="24"/>
        </w:rPr>
        <w:t>We also modified Fig. 1:</w:t>
      </w:r>
    </w:p>
    <w:p w14:paraId="00DED4B1" w14:textId="4263109B" w:rsidR="0051703B" w:rsidRPr="00CB7EBA" w:rsidRDefault="0051703B" w:rsidP="0051703B">
      <w:pPr>
        <w:rPr>
          <w:rFonts w:ascii="Times New Roman" w:hAnsi="Times New Roman" w:cs="Times New Roman"/>
          <w:b/>
          <w:bCs/>
          <w:sz w:val="22"/>
          <w:szCs w:val="24"/>
        </w:rPr>
      </w:pPr>
      <w:r w:rsidRPr="00CB7EBA">
        <w:rPr>
          <w:rFonts w:ascii="Times New Roman" w:hAnsi="Times New Roman" w:cs="Times New Roman"/>
          <w:b/>
          <w:bCs/>
          <w:sz w:val="22"/>
          <w:szCs w:val="24"/>
        </w:rPr>
        <w:t>We</w:t>
      </w:r>
      <w:r w:rsidRPr="00CB7EBA">
        <w:rPr>
          <w:rFonts w:ascii="Times New Roman" w:hAnsi="Times New Roman" w:cs="Times New Roman" w:hint="eastAsia"/>
          <w:b/>
          <w:bCs/>
          <w:sz w:val="22"/>
          <w:szCs w:val="24"/>
        </w:rPr>
        <w:t xml:space="preserve"> </w:t>
      </w:r>
      <w:r w:rsidRPr="00CB7EBA">
        <w:rPr>
          <w:rFonts w:ascii="Times New Roman" w:hAnsi="Times New Roman" w:cs="Times New Roman"/>
          <w:b/>
          <w:bCs/>
          <w:sz w:val="22"/>
          <w:szCs w:val="24"/>
        </w:rPr>
        <w:t>tried to make the treatment sequence clearer and added the treatment sequence for the second IVIG.</w:t>
      </w:r>
    </w:p>
    <w:p w14:paraId="41255B7C" w14:textId="77777777" w:rsidR="00B21EC7" w:rsidRPr="00CB7EBA" w:rsidRDefault="00B21EC7" w:rsidP="0051703B">
      <w:pPr>
        <w:rPr>
          <w:rFonts w:ascii="Times New Roman" w:hAnsi="Times New Roman" w:cs="Times New Roman"/>
          <w:sz w:val="22"/>
          <w:szCs w:val="24"/>
        </w:rPr>
      </w:pPr>
    </w:p>
    <w:p w14:paraId="5BDACC71" w14:textId="2316C015" w:rsidR="0051703B" w:rsidRPr="00CB7EBA" w:rsidRDefault="0051703B" w:rsidP="0051703B">
      <w:pPr>
        <w:rPr>
          <w:rFonts w:ascii="Times New Roman" w:hAnsi="Times New Roman" w:cs="Times New Roman"/>
          <w:b/>
          <w:bCs/>
          <w:sz w:val="22"/>
          <w:szCs w:val="24"/>
        </w:rPr>
      </w:pPr>
      <w:r w:rsidRPr="00CB7EBA">
        <w:rPr>
          <w:rFonts w:ascii="Times New Roman" w:hAnsi="Times New Roman" w:cs="Times New Roman"/>
          <w:b/>
          <w:bCs/>
          <w:noProof/>
          <w:sz w:val="22"/>
          <w:szCs w:val="24"/>
        </w:rPr>
        <w:lastRenderedPageBreak/>
        <w:drawing>
          <wp:inline distT="0" distB="0" distL="0" distR="0" wp14:anchorId="3AD3B401" wp14:editId="44283044">
            <wp:extent cx="5400040" cy="4319905"/>
            <wp:effectExtent l="0" t="0" r="0" b="0"/>
            <wp:docPr id="1535311252" name="図 2"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11252" name="図 2" descr="ダイアグラム&#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809F655" w14:textId="50613BEA" w:rsidR="0051703B" w:rsidRPr="00CB7EBA" w:rsidRDefault="0051703B" w:rsidP="0051703B">
      <w:pPr>
        <w:rPr>
          <w:rFonts w:ascii="Times New Roman" w:hAnsi="Times New Roman" w:cs="Times New Roman"/>
          <w:sz w:val="22"/>
          <w:szCs w:val="24"/>
        </w:rPr>
      </w:pPr>
    </w:p>
    <w:p w14:paraId="6FED3425" w14:textId="77777777" w:rsidR="0051703B" w:rsidRPr="00CB7EBA" w:rsidRDefault="0051703B" w:rsidP="0051703B">
      <w:pPr>
        <w:rPr>
          <w:rFonts w:ascii="Times New Roman" w:hAnsi="Times New Roman" w:cs="Times New Roman"/>
          <w:sz w:val="22"/>
          <w:szCs w:val="24"/>
        </w:rPr>
      </w:pPr>
    </w:p>
    <w:p w14:paraId="6E97DBD6"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Figure 2 shows the Kaplan-Meyer curve of fever resolution after initiation of IFX or another IVIG. It would be interesting to see the time to fever resolution from the start of treatment in general. Does this differ between the groups? It also could be that the natural disease history leads to fever resolution after a long disease duration.</w:t>
      </w:r>
    </w:p>
    <w:p w14:paraId="15635D2C"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6A7D3DC7" w14:textId="39B669A1" w:rsidR="009941AF" w:rsidRPr="00CB7EBA" w:rsidRDefault="009941AF" w:rsidP="004A1264">
      <w:pPr>
        <w:rPr>
          <w:rFonts w:ascii="Times New Roman" w:hAnsi="Times New Roman" w:cs="Times New Roman"/>
          <w:b/>
          <w:bCs/>
          <w:sz w:val="22"/>
          <w:szCs w:val="24"/>
        </w:rPr>
      </w:pPr>
      <w:r w:rsidRPr="00CB7EBA">
        <w:rPr>
          <w:rFonts w:ascii="Times New Roman" w:hAnsi="Times New Roman" w:cs="Times New Roman"/>
          <w:b/>
          <w:bCs/>
          <w:sz w:val="22"/>
          <w:szCs w:val="24"/>
        </w:rPr>
        <w:t xml:space="preserve">Thank you for these important points regarding the </w:t>
      </w:r>
      <w:r w:rsidR="00073D46" w:rsidRPr="00CB7EBA">
        <w:rPr>
          <w:rFonts w:ascii="Times New Roman" w:hAnsi="Times New Roman" w:cs="Times New Roman"/>
          <w:b/>
          <w:bCs/>
          <w:sz w:val="22"/>
          <w:szCs w:val="24"/>
        </w:rPr>
        <w:t>timing of the fever resolution</w:t>
      </w:r>
      <w:r w:rsidRPr="00CB7EBA">
        <w:rPr>
          <w:rFonts w:ascii="Times New Roman" w:hAnsi="Times New Roman" w:cs="Times New Roman"/>
          <w:b/>
          <w:bCs/>
          <w:sz w:val="22"/>
          <w:szCs w:val="24"/>
        </w:rPr>
        <w:t xml:space="preserve">. We apologize for any confusion our previous </w:t>
      </w:r>
      <w:r w:rsidR="006A58DC" w:rsidRPr="00CB7EBA">
        <w:rPr>
          <w:rFonts w:ascii="Times New Roman" w:hAnsi="Times New Roman" w:cs="Times New Roman"/>
          <w:b/>
          <w:bCs/>
          <w:sz w:val="22"/>
          <w:szCs w:val="24"/>
        </w:rPr>
        <w:t>explanation</w:t>
      </w:r>
      <w:r w:rsidRPr="00CB7EBA">
        <w:rPr>
          <w:rFonts w:ascii="Times New Roman" w:hAnsi="Times New Roman" w:cs="Times New Roman"/>
          <w:b/>
          <w:bCs/>
          <w:sz w:val="22"/>
          <w:szCs w:val="24"/>
        </w:rPr>
        <w:t xml:space="preserve"> may have caused and would like to clarify several key aspects of our study design and findings.</w:t>
      </w:r>
    </w:p>
    <w:p w14:paraId="1208631D" w14:textId="6F75B794" w:rsidR="00742DA3" w:rsidRPr="00CB7EBA" w:rsidRDefault="009941AF" w:rsidP="009941AF">
      <w:pPr>
        <w:rPr>
          <w:rFonts w:ascii="Times New Roman" w:hAnsi="Times New Roman" w:cs="Times New Roman"/>
          <w:b/>
          <w:bCs/>
          <w:sz w:val="22"/>
          <w:szCs w:val="24"/>
        </w:rPr>
      </w:pPr>
      <w:r w:rsidRPr="00CB7EBA">
        <w:rPr>
          <w:rFonts w:ascii="Times New Roman" w:hAnsi="Times New Roman" w:cs="Times New Roman"/>
          <w:b/>
          <w:bCs/>
          <w:sz w:val="22"/>
          <w:szCs w:val="24"/>
        </w:rPr>
        <w:t xml:space="preserve">This study aimed to assess the therapeutic effect of IVIG treatment added after IFX, and we named it IVIG-after-IFX. </w:t>
      </w:r>
      <w:r w:rsidR="00742DA3" w:rsidRPr="00CB7EBA">
        <w:rPr>
          <w:rFonts w:ascii="Times New Roman" w:hAnsi="Times New Roman" w:cs="Times New Roman"/>
          <w:b/>
          <w:bCs/>
          <w:sz w:val="22"/>
          <w:szCs w:val="24"/>
        </w:rPr>
        <w:t>Therefore, the Kaplan-Meier plot showed febrile time after initiation of both additional IVIG, i.e. the solid line representing IVIG-after-IFX and the dotted line representing second</w:t>
      </w:r>
      <w:r w:rsidR="001962F1" w:rsidRPr="00CB7EBA">
        <w:rPr>
          <w:rFonts w:ascii="Times New Roman" w:hAnsi="Times New Roman" w:cs="Times New Roman"/>
          <w:b/>
          <w:bCs/>
          <w:sz w:val="22"/>
          <w:szCs w:val="24"/>
        </w:rPr>
        <w:t>-</w:t>
      </w:r>
      <w:r w:rsidR="00742DA3" w:rsidRPr="00CB7EBA">
        <w:rPr>
          <w:rFonts w:ascii="Times New Roman" w:hAnsi="Times New Roman" w:cs="Times New Roman"/>
          <w:b/>
          <w:bCs/>
          <w:sz w:val="22"/>
          <w:szCs w:val="24"/>
        </w:rPr>
        <w:t>IVIG.</w:t>
      </w:r>
    </w:p>
    <w:p w14:paraId="06D3AA8D" w14:textId="4E3E6FEA" w:rsidR="00F42243" w:rsidRPr="00CB7EBA" w:rsidRDefault="00F42243" w:rsidP="009941AF">
      <w:pPr>
        <w:rPr>
          <w:rFonts w:ascii="Times New Roman" w:hAnsi="Times New Roman" w:cs="Times New Roman"/>
          <w:b/>
          <w:bCs/>
          <w:sz w:val="22"/>
          <w:szCs w:val="24"/>
        </w:rPr>
      </w:pPr>
      <w:r w:rsidRPr="00CB7EBA">
        <w:rPr>
          <w:rFonts w:ascii="Times New Roman" w:hAnsi="Times New Roman" w:cs="Times New Roman"/>
          <w:b/>
          <w:bCs/>
          <w:sz w:val="22"/>
          <w:szCs w:val="24"/>
        </w:rPr>
        <w:t>The total duration of fever from initial treatment to resolution w</w:t>
      </w:r>
      <w:r w:rsidRPr="00CB7EBA">
        <w:rPr>
          <w:rFonts w:ascii="Times New Roman" w:hAnsi="Times New Roman" w:cs="Times New Roman"/>
          <w:b/>
          <w:bCs/>
          <w:color w:val="000000" w:themeColor="text1"/>
          <w:sz w:val="22"/>
          <w:szCs w:val="24"/>
        </w:rPr>
        <w:t>as</w:t>
      </w:r>
      <w:r w:rsidR="00233F79" w:rsidRPr="00CB7EBA">
        <w:rPr>
          <w:rFonts w:ascii="Times New Roman" w:hAnsi="Times New Roman" w:cs="Times New Roman"/>
          <w:b/>
          <w:bCs/>
          <w:color w:val="000000" w:themeColor="text1"/>
          <w:sz w:val="22"/>
          <w:szCs w:val="24"/>
        </w:rPr>
        <w:t xml:space="preserve"> </w:t>
      </w:r>
      <w:r w:rsidR="00233F79" w:rsidRPr="00CB7EBA">
        <w:rPr>
          <w:rFonts w:ascii="Times New Roman" w:hAnsi="Times New Roman" w:cs="Times New Roman"/>
          <w:b/>
          <w:bCs/>
          <w:sz w:val="22"/>
          <w:szCs w:val="24"/>
        </w:rPr>
        <w:t>a median of</w:t>
      </w:r>
      <w:r w:rsidRPr="00CB7EBA">
        <w:rPr>
          <w:rFonts w:ascii="Times New Roman" w:hAnsi="Times New Roman" w:cs="Times New Roman"/>
          <w:b/>
          <w:bCs/>
          <w:color w:val="000000" w:themeColor="text1"/>
          <w:sz w:val="22"/>
          <w:szCs w:val="24"/>
        </w:rPr>
        <w:t xml:space="preserve"> </w:t>
      </w:r>
      <w:r w:rsidR="00E537A8" w:rsidRPr="00CB7EBA">
        <w:rPr>
          <w:rFonts w:ascii="Times New Roman" w:hAnsi="Times New Roman" w:cs="Times New Roman"/>
          <w:b/>
          <w:bCs/>
          <w:color w:val="000000" w:themeColor="text1"/>
          <w:sz w:val="22"/>
          <w:szCs w:val="24"/>
        </w:rPr>
        <w:t>8.0 days (</w:t>
      </w:r>
      <w:r w:rsidR="00233F79" w:rsidRPr="00CB7EBA">
        <w:rPr>
          <w:rFonts w:ascii="Times New Roman" w:hAnsi="Times New Roman" w:cs="Times New Roman"/>
          <w:b/>
          <w:bCs/>
          <w:color w:val="000000" w:themeColor="text1"/>
          <w:sz w:val="22"/>
          <w:szCs w:val="24"/>
        </w:rPr>
        <w:t>range</w:t>
      </w:r>
      <w:r w:rsidR="00E537A8" w:rsidRPr="00CB7EBA">
        <w:rPr>
          <w:rFonts w:ascii="Times New Roman" w:hAnsi="Times New Roman" w:cs="Times New Roman"/>
          <w:b/>
          <w:bCs/>
          <w:color w:val="000000" w:themeColor="text1"/>
          <w:sz w:val="22"/>
          <w:szCs w:val="24"/>
        </w:rPr>
        <w:t xml:space="preserve"> 6</w:t>
      </w:r>
      <w:r w:rsidR="00254588" w:rsidRPr="00CB7EBA">
        <w:rPr>
          <w:rFonts w:ascii="Times New Roman" w:hAnsi="Times New Roman" w:cs="Times New Roman"/>
          <w:b/>
          <w:bCs/>
          <w:color w:val="000000" w:themeColor="text1"/>
          <w:sz w:val="22"/>
          <w:szCs w:val="24"/>
        </w:rPr>
        <w:t>.0</w:t>
      </w:r>
      <w:r w:rsidR="00E537A8" w:rsidRPr="00CB7EBA">
        <w:rPr>
          <w:rFonts w:ascii="Times New Roman" w:hAnsi="Times New Roman" w:cs="Times New Roman"/>
          <w:b/>
          <w:bCs/>
          <w:color w:val="000000" w:themeColor="text1"/>
          <w:sz w:val="22"/>
          <w:szCs w:val="24"/>
        </w:rPr>
        <w:t>–</w:t>
      </w:r>
      <w:r w:rsidR="00254588" w:rsidRPr="00CB7EBA">
        <w:rPr>
          <w:rFonts w:ascii="Times New Roman" w:hAnsi="Times New Roman" w:cs="Times New Roman"/>
          <w:b/>
          <w:bCs/>
          <w:color w:val="000000" w:themeColor="text1"/>
          <w:sz w:val="22"/>
          <w:szCs w:val="24"/>
        </w:rPr>
        <w:t>30</w:t>
      </w:r>
      <w:r w:rsidR="00E537A8" w:rsidRPr="00CB7EBA">
        <w:rPr>
          <w:rFonts w:ascii="Times New Roman" w:hAnsi="Times New Roman" w:cs="Times New Roman"/>
          <w:b/>
          <w:bCs/>
          <w:color w:val="000000" w:themeColor="text1"/>
          <w:sz w:val="22"/>
          <w:szCs w:val="24"/>
        </w:rPr>
        <w:t>)</w:t>
      </w:r>
      <w:r w:rsidRPr="00CB7EBA">
        <w:rPr>
          <w:rFonts w:ascii="Times New Roman" w:hAnsi="Times New Roman" w:cs="Times New Roman"/>
          <w:b/>
          <w:bCs/>
          <w:color w:val="000000" w:themeColor="text1"/>
          <w:sz w:val="22"/>
          <w:szCs w:val="24"/>
        </w:rPr>
        <w:t xml:space="preserve"> </w:t>
      </w:r>
      <w:r w:rsidRPr="00CB7EBA">
        <w:rPr>
          <w:rFonts w:ascii="Times New Roman" w:hAnsi="Times New Roman" w:cs="Times New Roman"/>
          <w:b/>
          <w:bCs/>
          <w:sz w:val="22"/>
          <w:szCs w:val="24"/>
        </w:rPr>
        <w:t>in the IVIG-after-IFX group. As expected, this duration was longer than in the second</w:t>
      </w:r>
      <w:r w:rsidR="00567514" w:rsidRPr="00CB7EBA">
        <w:rPr>
          <w:rFonts w:ascii="Times New Roman" w:hAnsi="Times New Roman" w:cs="Times New Roman"/>
          <w:b/>
          <w:bCs/>
          <w:sz w:val="22"/>
          <w:szCs w:val="24"/>
        </w:rPr>
        <w:t>-</w:t>
      </w:r>
      <w:r w:rsidRPr="00CB7EBA">
        <w:rPr>
          <w:rFonts w:ascii="Times New Roman" w:hAnsi="Times New Roman" w:cs="Times New Roman"/>
          <w:b/>
          <w:bCs/>
          <w:sz w:val="22"/>
          <w:szCs w:val="24"/>
        </w:rPr>
        <w:t>IVIG group</w:t>
      </w:r>
      <w:r w:rsidR="00567514" w:rsidRPr="00CB7EBA">
        <w:rPr>
          <w:rFonts w:ascii="Times New Roman" w:hAnsi="Times New Roman" w:cs="Times New Roman"/>
          <w:b/>
          <w:bCs/>
          <w:sz w:val="22"/>
          <w:szCs w:val="24"/>
        </w:rPr>
        <w:t>, with</w:t>
      </w:r>
      <w:r w:rsidR="006D5523" w:rsidRPr="00CB7EBA">
        <w:rPr>
          <w:rFonts w:ascii="Times New Roman" w:hAnsi="Times New Roman" w:cs="Times New Roman"/>
          <w:b/>
          <w:bCs/>
          <w:sz w:val="22"/>
          <w:szCs w:val="24"/>
        </w:rPr>
        <w:t xml:space="preserve"> </w:t>
      </w:r>
      <w:r w:rsidR="00567514" w:rsidRPr="00CB7EBA">
        <w:rPr>
          <w:rFonts w:ascii="Times New Roman" w:hAnsi="Times New Roman" w:cs="Times New Roman"/>
          <w:b/>
          <w:bCs/>
          <w:sz w:val="22"/>
          <w:szCs w:val="24"/>
        </w:rPr>
        <w:t>a median of</w:t>
      </w:r>
      <w:r w:rsidR="00567514" w:rsidRPr="00CB7EBA">
        <w:rPr>
          <w:rFonts w:ascii="Times New Roman" w:hAnsi="Times New Roman" w:cs="Times New Roman"/>
          <w:b/>
          <w:bCs/>
          <w:color w:val="000000" w:themeColor="text1"/>
          <w:sz w:val="22"/>
          <w:szCs w:val="24"/>
        </w:rPr>
        <w:t xml:space="preserve"> </w:t>
      </w:r>
      <w:r w:rsidR="001962F1" w:rsidRPr="00CB7EBA">
        <w:rPr>
          <w:rFonts w:ascii="Times New Roman" w:hAnsi="Times New Roman" w:cs="Times New Roman"/>
          <w:b/>
          <w:bCs/>
          <w:color w:val="000000" w:themeColor="text1"/>
          <w:sz w:val="22"/>
          <w:szCs w:val="24"/>
        </w:rPr>
        <w:t>4.5</w:t>
      </w:r>
      <w:r w:rsidR="00567514" w:rsidRPr="00CB7EBA">
        <w:rPr>
          <w:rFonts w:ascii="Times New Roman" w:hAnsi="Times New Roman" w:cs="Times New Roman"/>
          <w:b/>
          <w:bCs/>
          <w:color w:val="000000" w:themeColor="text1"/>
          <w:sz w:val="22"/>
          <w:szCs w:val="24"/>
        </w:rPr>
        <w:t xml:space="preserve"> days (range </w:t>
      </w:r>
      <w:r w:rsidR="00254588" w:rsidRPr="00CB7EBA">
        <w:rPr>
          <w:rFonts w:ascii="Times New Roman" w:hAnsi="Times New Roman" w:cs="Times New Roman"/>
          <w:b/>
          <w:bCs/>
          <w:color w:val="000000" w:themeColor="text1"/>
          <w:sz w:val="22"/>
          <w:szCs w:val="24"/>
        </w:rPr>
        <w:t>2</w:t>
      </w:r>
      <w:r w:rsidR="00567514" w:rsidRPr="00CB7EBA">
        <w:rPr>
          <w:rFonts w:ascii="Times New Roman" w:hAnsi="Times New Roman" w:cs="Times New Roman"/>
          <w:b/>
          <w:bCs/>
          <w:color w:val="000000" w:themeColor="text1"/>
          <w:sz w:val="22"/>
          <w:szCs w:val="24"/>
        </w:rPr>
        <w:t>.5–</w:t>
      </w:r>
      <w:r w:rsidR="00254588" w:rsidRPr="00CB7EBA">
        <w:rPr>
          <w:rFonts w:ascii="Times New Roman" w:hAnsi="Times New Roman" w:cs="Times New Roman"/>
          <w:b/>
          <w:bCs/>
          <w:color w:val="000000" w:themeColor="text1"/>
          <w:sz w:val="22"/>
          <w:szCs w:val="24"/>
        </w:rPr>
        <w:t>19</w:t>
      </w:r>
      <w:r w:rsidR="00567514" w:rsidRPr="00CB7EBA">
        <w:rPr>
          <w:rFonts w:ascii="Times New Roman" w:hAnsi="Times New Roman" w:cs="Times New Roman"/>
          <w:b/>
          <w:bCs/>
          <w:color w:val="000000" w:themeColor="text1"/>
          <w:sz w:val="22"/>
          <w:szCs w:val="24"/>
        </w:rPr>
        <w:t xml:space="preserve">). </w:t>
      </w:r>
      <w:r w:rsidR="006D5523" w:rsidRPr="00CB7EBA">
        <w:rPr>
          <w:rFonts w:ascii="Times New Roman" w:hAnsi="Times New Roman" w:cs="Times New Roman"/>
          <w:b/>
          <w:bCs/>
          <w:sz w:val="22"/>
          <w:szCs w:val="24"/>
        </w:rPr>
        <w:t>This</w:t>
      </w:r>
      <w:r w:rsidR="00567514" w:rsidRPr="00CB7EBA">
        <w:rPr>
          <w:rFonts w:ascii="Times New Roman" w:hAnsi="Times New Roman" w:cs="Times New Roman"/>
          <w:b/>
          <w:bCs/>
          <w:sz w:val="22"/>
          <w:szCs w:val="24"/>
        </w:rPr>
        <w:t xml:space="preserve"> difference</w:t>
      </w:r>
      <w:r w:rsidRPr="00CB7EBA">
        <w:rPr>
          <w:rFonts w:ascii="Times New Roman" w:hAnsi="Times New Roman" w:cs="Times New Roman"/>
          <w:b/>
          <w:bCs/>
          <w:sz w:val="22"/>
          <w:szCs w:val="24"/>
        </w:rPr>
        <w:t xml:space="preserve"> reflects </w:t>
      </w:r>
      <w:r w:rsidRPr="00CB7EBA">
        <w:rPr>
          <w:rFonts w:ascii="Times New Roman" w:hAnsi="Times New Roman" w:cs="Times New Roman"/>
          <w:b/>
          <w:bCs/>
          <w:sz w:val="22"/>
          <w:szCs w:val="24"/>
        </w:rPr>
        <w:lastRenderedPageBreak/>
        <w:t xml:space="preserve">the inherent </w:t>
      </w:r>
      <w:r w:rsidR="00567514" w:rsidRPr="00CB7EBA">
        <w:rPr>
          <w:rFonts w:ascii="Times New Roman" w:hAnsi="Times New Roman" w:cs="Times New Roman"/>
          <w:b/>
          <w:bCs/>
          <w:sz w:val="22"/>
          <w:szCs w:val="24"/>
        </w:rPr>
        <w:t xml:space="preserve">distinction </w:t>
      </w:r>
      <w:r w:rsidRPr="00CB7EBA">
        <w:rPr>
          <w:rFonts w:ascii="Times New Roman" w:hAnsi="Times New Roman" w:cs="Times New Roman"/>
          <w:b/>
          <w:bCs/>
          <w:sz w:val="22"/>
          <w:szCs w:val="24"/>
        </w:rPr>
        <w:t>in treatment stages</w:t>
      </w:r>
      <w:r w:rsidR="00567514" w:rsidRPr="00CB7EBA">
        <w:rPr>
          <w:rFonts w:ascii="Times New Roman" w:hAnsi="Times New Roman" w:cs="Times New Roman"/>
          <w:b/>
          <w:bCs/>
          <w:sz w:val="22"/>
          <w:szCs w:val="24"/>
        </w:rPr>
        <w:t xml:space="preserve">, as </w:t>
      </w:r>
      <w:r w:rsidRPr="00CB7EBA">
        <w:rPr>
          <w:rFonts w:ascii="Times New Roman" w:hAnsi="Times New Roman" w:cs="Times New Roman"/>
          <w:b/>
          <w:bCs/>
          <w:sz w:val="22"/>
          <w:szCs w:val="24"/>
        </w:rPr>
        <w:t xml:space="preserve">the IVIG-after-IFX group </w:t>
      </w:r>
      <w:r w:rsidR="00567514" w:rsidRPr="00CB7EBA">
        <w:rPr>
          <w:rFonts w:ascii="Times New Roman" w:hAnsi="Times New Roman" w:cs="Times New Roman"/>
          <w:b/>
          <w:bCs/>
          <w:sz w:val="22"/>
          <w:szCs w:val="24"/>
        </w:rPr>
        <w:t xml:space="preserve">represents </w:t>
      </w:r>
      <w:r w:rsidRPr="00CB7EBA">
        <w:rPr>
          <w:rFonts w:ascii="Times New Roman" w:hAnsi="Times New Roman" w:cs="Times New Roman"/>
          <w:b/>
          <w:bCs/>
          <w:sz w:val="22"/>
          <w:szCs w:val="24"/>
        </w:rPr>
        <w:t>more treatment-resistant cases</w:t>
      </w:r>
      <w:r w:rsidR="00567514" w:rsidRPr="00CB7EBA">
        <w:rPr>
          <w:rFonts w:ascii="Times New Roman" w:hAnsi="Times New Roman" w:cs="Times New Roman"/>
          <w:b/>
          <w:bCs/>
          <w:sz w:val="22"/>
          <w:szCs w:val="24"/>
        </w:rPr>
        <w:t xml:space="preserve"> that</w:t>
      </w:r>
      <w:r w:rsidRPr="00CB7EBA">
        <w:rPr>
          <w:rFonts w:ascii="Times New Roman" w:hAnsi="Times New Roman" w:cs="Times New Roman"/>
          <w:b/>
          <w:bCs/>
          <w:sz w:val="22"/>
          <w:szCs w:val="24"/>
        </w:rPr>
        <w:t xml:space="preserve"> </w:t>
      </w:r>
      <w:r w:rsidR="00567514" w:rsidRPr="00CB7EBA">
        <w:rPr>
          <w:rFonts w:ascii="Times New Roman" w:hAnsi="Times New Roman" w:cs="Times New Roman"/>
          <w:b/>
          <w:bCs/>
          <w:sz w:val="22"/>
          <w:szCs w:val="24"/>
        </w:rPr>
        <w:t xml:space="preserve">required </w:t>
      </w:r>
      <w:r w:rsidRPr="00CB7EBA">
        <w:rPr>
          <w:rFonts w:ascii="Times New Roman" w:hAnsi="Times New Roman" w:cs="Times New Roman"/>
          <w:b/>
          <w:bCs/>
          <w:sz w:val="22"/>
          <w:szCs w:val="24"/>
        </w:rPr>
        <w:t>multiple interventions before IFX.</w:t>
      </w:r>
    </w:p>
    <w:p w14:paraId="0B8E884D" w14:textId="046D9E7A" w:rsidR="009941AF" w:rsidRPr="00CB7EBA" w:rsidRDefault="0085134D" w:rsidP="0085134D">
      <w:pPr>
        <w:rPr>
          <w:rFonts w:ascii="Times New Roman" w:hAnsi="Times New Roman" w:cs="Times New Roman"/>
          <w:b/>
          <w:bCs/>
          <w:sz w:val="22"/>
          <w:szCs w:val="24"/>
        </w:rPr>
      </w:pPr>
      <w:r w:rsidRPr="00CB7EBA">
        <w:rPr>
          <w:rFonts w:ascii="Times New Roman" w:hAnsi="Times New Roman" w:cs="Times New Roman"/>
          <w:b/>
          <w:bCs/>
          <w:sz w:val="22"/>
          <w:szCs w:val="24"/>
        </w:rPr>
        <w:t xml:space="preserve">Fever resolution as part of the natural disease course is always </w:t>
      </w:r>
      <w:r w:rsidR="00073D46" w:rsidRPr="00CB7EBA">
        <w:rPr>
          <w:rFonts w:ascii="Times New Roman" w:hAnsi="Times New Roman" w:cs="Times New Roman"/>
          <w:b/>
          <w:bCs/>
          <w:sz w:val="22"/>
          <w:szCs w:val="24"/>
        </w:rPr>
        <w:t>discussed</w:t>
      </w:r>
      <w:r w:rsidRPr="00CB7EBA">
        <w:rPr>
          <w:rFonts w:ascii="Times New Roman" w:hAnsi="Times New Roman" w:cs="Times New Roman"/>
          <w:b/>
          <w:bCs/>
          <w:sz w:val="22"/>
          <w:szCs w:val="24"/>
        </w:rPr>
        <w:t xml:space="preserve"> in KD treatment. The </w:t>
      </w:r>
      <w:proofErr w:type="gramStart"/>
      <w:r w:rsidRPr="00CB7EBA">
        <w:rPr>
          <w:rFonts w:ascii="Times New Roman" w:hAnsi="Times New Roman" w:cs="Times New Roman"/>
          <w:b/>
          <w:bCs/>
          <w:sz w:val="22"/>
          <w:szCs w:val="24"/>
        </w:rPr>
        <w:t>ultimate goal</w:t>
      </w:r>
      <w:proofErr w:type="gramEnd"/>
      <w:r w:rsidRPr="00CB7EBA">
        <w:rPr>
          <w:rFonts w:ascii="Times New Roman" w:hAnsi="Times New Roman" w:cs="Times New Roman"/>
          <w:b/>
          <w:bCs/>
          <w:sz w:val="22"/>
          <w:szCs w:val="24"/>
        </w:rPr>
        <w:t xml:space="preserve"> of KD treatment should be to prevent the development of CALs through inflammation suppression. The power to detect CAL suppression in this study is insufficient. We have stated this limitation in the manuscript</w:t>
      </w:r>
      <w:r w:rsidR="00F42243" w:rsidRPr="00CB7EBA">
        <w:rPr>
          <w:rFonts w:ascii="Times New Roman" w:hAnsi="Times New Roman" w:cs="Times New Roman"/>
          <w:b/>
          <w:bCs/>
          <w:sz w:val="22"/>
          <w:szCs w:val="24"/>
        </w:rPr>
        <w:t>.</w:t>
      </w:r>
    </w:p>
    <w:p w14:paraId="7EF6D6D9" w14:textId="77777777" w:rsidR="008359A8" w:rsidRPr="00CB7EBA" w:rsidRDefault="008359A8" w:rsidP="004A1264">
      <w:pPr>
        <w:rPr>
          <w:rFonts w:ascii="Times New Roman" w:hAnsi="Times New Roman" w:cs="Times New Roman"/>
          <w:sz w:val="22"/>
          <w:szCs w:val="24"/>
        </w:rPr>
      </w:pPr>
    </w:p>
    <w:p w14:paraId="70F50EA4" w14:textId="2FDE5CF5" w:rsidR="008359A8" w:rsidRPr="00CB7EBA" w:rsidRDefault="008359A8" w:rsidP="008359A8">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sentence was added </w:t>
      </w:r>
      <w:r w:rsidR="0042597B"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 xml:space="preserve">the </w:t>
      </w:r>
      <w:r w:rsidR="001962F1" w:rsidRPr="00CB7EBA">
        <w:rPr>
          <w:rFonts w:ascii="Times New Roman" w:hAnsi="Times New Roman" w:cs="Times New Roman"/>
          <w:b/>
          <w:bCs/>
          <w:sz w:val="22"/>
          <w:szCs w:val="24"/>
        </w:rPr>
        <w:t>Results</w:t>
      </w:r>
      <w:r w:rsidRPr="00CB7EBA">
        <w:rPr>
          <w:rFonts w:ascii="Times New Roman" w:hAnsi="Times New Roman" w:cs="Times New Roman"/>
          <w:b/>
          <w:bCs/>
          <w:sz w:val="22"/>
          <w:szCs w:val="24"/>
        </w:rPr>
        <w:t xml:space="preserve"> section:</w:t>
      </w:r>
    </w:p>
    <w:p w14:paraId="4EF6E67C" w14:textId="254271F0" w:rsidR="008359A8" w:rsidRPr="00CB7EBA" w:rsidRDefault="008359A8" w:rsidP="004A1264">
      <w:pPr>
        <w:rPr>
          <w:rFonts w:ascii="Times New Roman" w:hAnsi="Times New Roman" w:cs="Times New Roman"/>
          <w:b/>
          <w:bCs/>
          <w:color w:val="FF0000"/>
          <w:sz w:val="22"/>
          <w:szCs w:val="24"/>
        </w:rPr>
      </w:pPr>
      <w:r w:rsidRPr="00CB7EBA">
        <w:rPr>
          <w:rFonts w:ascii="Times New Roman" w:hAnsi="Times New Roman" w:cs="Times New Roman"/>
          <w:b/>
          <w:bCs/>
          <w:color w:val="FF0000"/>
          <w:sz w:val="22"/>
          <w:szCs w:val="24"/>
        </w:rPr>
        <w:t>“</w:t>
      </w:r>
      <w:r w:rsidR="001962F1" w:rsidRPr="00CB7EBA">
        <w:rPr>
          <w:rFonts w:ascii="Times New Roman" w:hAnsi="Times New Roman" w:cs="Times New Roman"/>
          <w:b/>
          <w:bCs/>
          <w:color w:val="FF0000"/>
          <w:sz w:val="22"/>
          <w:szCs w:val="24"/>
        </w:rPr>
        <w:t>The total duration of fever from initial treatment to resolution was a median of 8.0 days (range 6.</w:t>
      </w:r>
      <w:r w:rsidR="00254588" w:rsidRPr="00CB7EBA">
        <w:rPr>
          <w:rFonts w:ascii="Times New Roman" w:hAnsi="Times New Roman" w:cs="Times New Roman"/>
          <w:b/>
          <w:bCs/>
          <w:color w:val="FF0000"/>
          <w:sz w:val="22"/>
          <w:szCs w:val="24"/>
        </w:rPr>
        <w:t>0</w:t>
      </w:r>
      <w:r w:rsidR="001962F1" w:rsidRPr="00CB7EBA">
        <w:rPr>
          <w:rFonts w:ascii="Times New Roman" w:hAnsi="Times New Roman" w:cs="Times New Roman"/>
          <w:b/>
          <w:bCs/>
          <w:color w:val="FF0000"/>
          <w:sz w:val="22"/>
          <w:szCs w:val="24"/>
        </w:rPr>
        <w:t>–</w:t>
      </w:r>
      <w:r w:rsidR="00254588" w:rsidRPr="00CB7EBA">
        <w:rPr>
          <w:rFonts w:ascii="Times New Roman" w:hAnsi="Times New Roman" w:cs="Times New Roman"/>
          <w:b/>
          <w:bCs/>
          <w:color w:val="FF0000"/>
          <w:sz w:val="22"/>
          <w:szCs w:val="24"/>
        </w:rPr>
        <w:t>30</w:t>
      </w:r>
      <w:r w:rsidR="001962F1" w:rsidRPr="00CB7EBA">
        <w:rPr>
          <w:rFonts w:ascii="Times New Roman" w:hAnsi="Times New Roman" w:cs="Times New Roman"/>
          <w:b/>
          <w:bCs/>
          <w:color w:val="FF0000"/>
          <w:sz w:val="22"/>
          <w:szCs w:val="24"/>
        </w:rPr>
        <w:t xml:space="preserve">) in the IVIG-after-IFX group, which was longer than in the second-IVIG group, with a median of 4.5 days (range </w:t>
      </w:r>
      <w:r w:rsidR="00254588" w:rsidRPr="00CB7EBA">
        <w:rPr>
          <w:rFonts w:ascii="Times New Roman" w:hAnsi="Times New Roman" w:cs="Times New Roman"/>
          <w:b/>
          <w:bCs/>
          <w:color w:val="FF0000"/>
          <w:sz w:val="22"/>
          <w:szCs w:val="24"/>
        </w:rPr>
        <w:t>2</w:t>
      </w:r>
      <w:r w:rsidR="001962F1" w:rsidRPr="00CB7EBA">
        <w:rPr>
          <w:rFonts w:ascii="Times New Roman" w:hAnsi="Times New Roman" w:cs="Times New Roman"/>
          <w:b/>
          <w:bCs/>
          <w:color w:val="FF0000"/>
          <w:sz w:val="22"/>
          <w:szCs w:val="24"/>
        </w:rPr>
        <w:t>.5–</w:t>
      </w:r>
      <w:r w:rsidR="00254588" w:rsidRPr="00CB7EBA">
        <w:rPr>
          <w:rFonts w:ascii="Times New Roman" w:hAnsi="Times New Roman" w:cs="Times New Roman"/>
          <w:b/>
          <w:bCs/>
          <w:color w:val="FF0000"/>
          <w:sz w:val="22"/>
          <w:szCs w:val="24"/>
        </w:rPr>
        <w:t>19</w:t>
      </w:r>
      <w:r w:rsidR="001962F1" w:rsidRPr="00CB7EBA">
        <w:rPr>
          <w:rFonts w:ascii="Times New Roman" w:hAnsi="Times New Roman" w:cs="Times New Roman"/>
          <w:b/>
          <w:bCs/>
          <w:color w:val="FF0000"/>
          <w:sz w:val="22"/>
          <w:szCs w:val="24"/>
        </w:rPr>
        <w:t>).</w:t>
      </w:r>
      <w:r w:rsidRPr="00CB7EBA">
        <w:rPr>
          <w:rFonts w:ascii="Times New Roman" w:hAnsi="Times New Roman" w:cs="Times New Roman"/>
          <w:b/>
          <w:bCs/>
          <w:color w:val="FF0000"/>
          <w:sz w:val="22"/>
          <w:szCs w:val="24"/>
        </w:rPr>
        <w:t>”</w:t>
      </w:r>
      <w:r w:rsidR="00073D46" w:rsidRPr="00CB7EBA">
        <w:rPr>
          <w:rFonts w:ascii="Times New Roman" w:hAnsi="Times New Roman" w:cs="Times New Roman" w:hint="eastAsia"/>
          <w:b/>
          <w:bCs/>
          <w:color w:val="FF0000"/>
          <w:sz w:val="22"/>
          <w:szCs w:val="24"/>
        </w:rPr>
        <w:t xml:space="preserve"> (Page 8, Lines 15</w:t>
      </w:r>
      <w:r w:rsidR="00073D46" w:rsidRPr="00CB7EBA">
        <w:rPr>
          <w:rFonts w:ascii="Times New Roman" w:hAnsi="Times New Roman" w:cs="Times New Roman"/>
          <w:b/>
          <w:bCs/>
          <w:color w:val="FF0000"/>
          <w:sz w:val="22"/>
          <w:szCs w:val="24"/>
        </w:rPr>
        <w:t>–1</w:t>
      </w:r>
      <w:r w:rsidR="00073D46" w:rsidRPr="00CB7EBA">
        <w:rPr>
          <w:rFonts w:ascii="Times New Roman" w:hAnsi="Times New Roman" w:cs="Times New Roman" w:hint="eastAsia"/>
          <w:b/>
          <w:bCs/>
          <w:color w:val="FF0000"/>
          <w:sz w:val="22"/>
          <w:szCs w:val="24"/>
        </w:rPr>
        <w:t>7)</w:t>
      </w:r>
    </w:p>
    <w:p w14:paraId="7B0ED9B7" w14:textId="77777777" w:rsidR="001962F1" w:rsidRPr="00CB7EBA" w:rsidRDefault="001962F1" w:rsidP="004A1264">
      <w:pPr>
        <w:rPr>
          <w:rFonts w:ascii="Times New Roman" w:hAnsi="Times New Roman" w:cs="Times New Roman"/>
          <w:sz w:val="22"/>
          <w:szCs w:val="24"/>
        </w:rPr>
      </w:pPr>
    </w:p>
    <w:p w14:paraId="0E76EB39" w14:textId="74620DF3" w:rsidR="001962F1" w:rsidRPr="00CB7EBA" w:rsidRDefault="001962F1" w:rsidP="001962F1">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w:t>
      </w:r>
      <w:r w:rsidR="00CA2070" w:rsidRPr="00CB7EBA">
        <w:rPr>
          <w:rFonts w:ascii="Times New Roman" w:hAnsi="Times New Roman" w:cs="Times New Roman"/>
          <w:b/>
          <w:bCs/>
          <w:sz w:val="22"/>
          <w:szCs w:val="24"/>
        </w:rPr>
        <w:t xml:space="preserve">sentences were </w:t>
      </w:r>
      <w:r w:rsidRPr="00CB7EBA">
        <w:rPr>
          <w:rFonts w:ascii="Times New Roman" w:hAnsi="Times New Roman" w:cs="Times New Roman"/>
          <w:b/>
          <w:bCs/>
          <w:sz w:val="22"/>
          <w:szCs w:val="24"/>
        </w:rPr>
        <w:t xml:space="preserve">added </w:t>
      </w:r>
      <w:r w:rsidR="0042597B"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the Discussion section:</w:t>
      </w:r>
    </w:p>
    <w:p w14:paraId="032A9EE9" w14:textId="5DD2C24D" w:rsidR="001962F1" w:rsidRPr="00CB7EBA" w:rsidRDefault="001962F1" w:rsidP="001962F1">
      <w:pPr>
        <w:rPr>
          <w:rFonts w:ascii="Times New Roman" w:hAnsi="Times New Roman" w:cs="Times New Roman"/>
          <w:color w:val="FF0000"/>
          <w:sz w:val="22"/>
          <w:szCs w:val="24"/>
        </w:rPr>
      </w:pPr>
      <w:r w:rsidRPr="00CB7EBA">
        <w:rPr>
          <w:rFonts w:ascii="Times New Roman" w:hAnsi="Times New Roman" w:cs="Times New Roman"/>
          <w:b/>
          <w:bCs/>
          <w:color w:val="FF0000"/>
          <w:sz w:val="22"/>
          <w:szCs w:val="24"/>
        </w:rPr>
        <w:t>“</w:t>
      </w:r>
      <w:r w:rsidR="00B62352" w:rsidRPr="00CB7EBA">
        <w:rPr>
          <w:rFonts w:ascii="Times New Roman" w:hAnsi="Times New Roman" w:cs="Times New Roman"/>
          <w:b/>
          <w:bCs/>
          <w:color w:val="FF0000"/>
          <w:sz w:val="22"/>
          <w:szCs w:val="24"/>
        </w:rPr>
        <w:t xml:space="preserve">We acknowledge the possibility that natural disease history could lead to fever resolution after a prolonged duration. Fever resolution as part of the natural disease course is always </w:t>
      </w:r>
      <w:r w:rsidR="00073D46" w:rsidRPr="00CB7EBA">
        <w:rPr>
          <w:rFonts w:ascii="Times New Roman" w:hAnsi="Times New Roman" w:cs="Times New Roman" w:hint="eastAsia"/>
          <w:b/>
          <w:bCs/>
          <w:color w:val="FF0000"/>
          <w:sz w:val="22"/>
          <w:szCs w:val="24"/>
        </w:rPr>
        <w:t>discussed</w:t>
      </w:r>
      <w:r w:rsidR="00B62352" w:rsidRPr="00CB7EBA">
        <w:rPr>
          <w:rFonts w:ascii="Times New Roman" w:hAnsi="Times New Roman" w:cs="Times New Roman"/>
          <w:b/>
          <w:bCs/>
          <w:color w:val="FF0000"/>
          <w:sz w:val="22"/>
          <w:szCs w:val="24"/>
        </w:rPr>
        <w:t xml:space="preserve"> in KD treatment. The </w:t>
      </w:r>
      <w:proofErr w:type="gramStart"/>
      <w:r w:rsidR="00B62352" w:rsidRPr="00CB7EBA">
        <w:rPr>
          <w:rFonts w:ascii="Times New Roman" w:hAnsi="Times New Roman" w:cs="Times New Roman"/>
          <w:b/>
          <w:bCs/>
          <w:color w:val="FF0000"/>
          <w:sz w:val="22"/>
          <w:szCs w:val="24"/>
        </w:rPr>
        <w:t>ultimate goal</w:t>
      </w:r>
      <w:proofErr w:type="gramEnd"/>
      <w:r w:rsidR="00B62352" w:rsidRPr="00CB7EBA">
        <w:rPr>
          <w:rFonts w:ascii="Times New Roman" w:hAnsi="Times New Roman" w:cs="Times New Roman"/>
          <w:b/>
          <w:bCs/>
          <w:color w:val="FF0000"/>
          <w:sz w:val="22"/>
          <w:szCs w:val="24"/>
        </w:rPr>
        <w:t xml:space="preserve"> of KD treatment should be to prevent the development of CALs through inflammation suppression. The power to detect CAL suppression in this study </w:t>
      </w:r>
      <w:r w:rsidR="00C33188" w:rsidRPr="00CB7EBA">
        <w:rPr>
          <w:rFonts w:ascii="Times New Roman" w:hAnsi="Times New Roman" w:cs="Times New Roman" w:hint="eastAsia"/>
          <w:b/>
          <w:bCs/>
          <w:color w:val="FF0000"/>
          <w:sz w:val="22"/>
          <w:szCs w:val="24"/>
        </w:rPr>
        <w:t>was</w:t>
      </w:r>
      <w:r w:rsidR="00B62352" w:rsidRPr="00CB7EBA">
        <w:rPr>
          <w:rFonts w:ascii="Times New Roman" w:hAnsi="Times New Roman" w:cs="Times New Roman"/>
          <w:b/>
          <w:bCs/>
          <w:color w:val="FF0000"/>
          <w:sz w:val="22"/>
          <w:szCs w:val="24"/>
        </w:rPr>
        <w:t xml:space="preserve"> insufficient</w:t>
      </w:r>
      <w:r w:rsidR="008D357A" w:rsidRPr="00CB7EBA">
        <w:rPr>
          <w:rFonts w:ascii="Times New Roman" w:hAnsi="Times New Roman" w:cs="Times New Roman" w:hint="eastAsia"/>
          <w:b/>
          <w:bCs/>
          <w:color w:val="FF0000"/>
          <w:sz w:val="22"/>
          <w:szCs w:val="24"/>
        </w:rPr>
        <w:t xml:space="preserve"> </w:t>
      </w:r>
      <w:r w:rsidR="00DC5D9C" w:rsidRPr="00CB7EBA">
        <w:rPr>
          <w:rFonts w:ascii="Times New Roman" w:hAnsi="Times New Roman" w:cs="Times New Roman"/>
          <w:b/>
          <w:bCs/>
          <w:color w:val="FF0000"/>
          <w:sz w:val="22"/>
          <w:szCs w:val="24"/>
        </w:rPr>
        <w:t>due to the rarity of IFX-refractory KD and CAL</w:t>
      </w:r>
      <w:r w:rsidR="00813463" w:rsidRPr="00CB7EBA">
        <w:rPr>
          <w:rFonts w:ascii="Times New Roman" w:hAnsi="Times New Roman" w:cs="Times New Roman"/>
          <w:b/>
          <w:bCs/>
          <w:color w:val="FF0000"/>
          <w:sz w:val="22"/>
          <w:szCs w:val="24"/>
        </w:rPr>
        <w:t>s</w:t>
      </w:r>
      <w:r w:rsidR="00B62352" w:rsidRPr="00CB7EBA">
        <w:rPr>
          <w:rFonts w:ascii="Times New Roman" w:hAnsi="Times New Roman" w:cs="Times New Roman"/>
          <w:b/>
          <w:bCs/>
          <w:color w:val="FF0000"/>
          <w:sz w:val="22"/>
          <w:szCs w:val="24"/>
        </w:rPr>
        <w:t>.</w:t>
      </w:r>
      <w:r w:rsidRPr="00CB7EBA">
        <w:rPr>
          <w:rFonts w:ascii="Times New Roman" w:hAnsi="Times New Roman" w:cs="Times New Roman"/>
          <w:b/>
          <w:bCs/>
          <w:color w:val="FF0000"/>
          <w:sz w:val="22"/>
          <w:szCs w:val="24"/>
        </w:rPr>
        <w:t>”</w:t>
      </w:r>
      <w:r w:rsidR="00073D46" w:rsidRPr="00CB7EBA">
        <w:rPr>
          <w:rFonts w:ascii="Times New Roman" w:hAnsi="Times New Roman" w:cs="Times New Roman" w:hint="eastAsia"/>
          <w:b/>
          <w:bCs/>
          <w:color w:val="FF0000"/>
          <w:sz w:val="22"/>
          <w:szCs w:val="24"/>
        </w:rPr>
        <w:t xml:space="preserve"> (Page 13, Lines 1</w:t>
      </w:r>
      <w:r w:rsidR="009B398D" w:rsidRPr="00CB7EBA">
        <w:rPr>
          <w:rFonts w:ascii="Times New Roman" w:hAnsi="Times New Roman" w:cs="Times New Roman"/>
          <w:b/>
          <w:bCs/>
          <w:color w:val="FF0000"/>
          <w:sz w:val="22"/>
          <w:szCs w:val="24"/>
        </w:rPr>
        <w:t>6</w:t>
      </w:r>
      <w:r w:rsidR="00073D46" w:rsidRPr="00CB7EBA">
        <w:rPr>
          <w:rFonts w:ascii="Times New Roman" w:hAnsi="Times New Roman" w:cs="Times New Roman"/>
          <w:b/>
          <w:bCs/>
          <w:color w:val="FF0000"/>
          <w:sz w:val="22"/>
          <w:szCs w:val="24"/>
        </w:rPr>
        <w:t>–2</w:t>
      </w:r>
      <w:r w:rsidR="00073D46" w:rsidRPr="00CB7EBA">
        <w:rPr>
          <w:rFonts w:ascii="Times New Roman" w:hAnsi="Times New Roman" w:cs="Times New Roman" w:hint="eastAsia"/>
          <w:b/>
          <w:bCs/>
          <w:color w:val="FF0000"/>
          <w:sz w:val="22"/>
          <w:szCs w:val="24"/>
        </w:rPr>
        <w:t>1)</w:t>
      </w:r>
    </w:p>
    <w:p w14:paraId="1BA2E9F7" w14:textId="77777777" w:rsidR="004A1264" w:rsidRPr="00CB7EBA" w:rsidRDefault="004A1264" w:rsidP="006C153C">
      <w:pPr>
        <w:rPr>
          <w:rFonts w:ascii="Times New Roman" w:hAnsi="Times New Roman" w:cs="Times New Roman"/>
          <w:sz w:val="22"/>
          <w:szCs w:val="24"/>
        </w:rPr>
      </w:pPr>
    </w:p>
    <w:p w14:paraId="52D9A60A" w14:textId="70BE2BF2" w:rsidR="006C153C" w:rsidRPr="00CB7EBA" w:rsidRDefault="006C153C" w:rsidP="00CD00A5">
      <w:pPr>
        <w:tabs>
          <w:tab w:val="left" w:pos="3536"/>
        </w:tabs>
        <w:rPr>
          <w:rFonts w:ascii="Times New Roman" w:hAnsi="Times New Roman" w:cs="Times New Roman"/>
          <w:sz w:val="22"/>
          <w:szCs w:val="24"/>
        </w:rPr>
      </w:pPr>
    </w:p>
    <w:p w14:paraId="02C3ACDF"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Minor concerns:</w:t>
      </w:r>
    </w:p>
    <w:p w14:paraId="27CB9552"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I am missing the frequency of CALs in the second-IVIG group in figure 3.</w:t>
      </w:r>
    </w:p>
    <w:p w14:paraId="06F292D2"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6F882545" w14:textId="4AA8C8BE" w:rsidR="0043793E" w:rsidRPr="00CB7EBA" w:rsidRDefault="002949E3" w:rsidP="002949E3">
      <w:pPr>
        <w:rPr>
          <w:rFonts w:ascii="Times New Roman" w:hAnsi="Times New Roman" w:cs="Times New Roman"/>
          <w:b/>
          <w:bCs/>
          <w:sz w:val="22"/>
          <w:szCs w:val="24"/>
        </w:rPr>
      </w:pPr>
      <w:r w:rsidRPr="00CB7EBA">
        <w:rPr>
          <w:rFonts w:ascii="Times New Roman" w:hAnsi="Times New Roman" w:cs="Times New Roman"/>
          <w:b/>
          <w:bCs/>
          <w:sz w:val="22"/>
          <w:szCs w:val="24"/>
        </w:rPr>
        <w:t>CALs were not identified in any case at diagnosis i</w:t>
      </w:r>
      <w:r w:rsidRPr="00CB7EBA">
        <w:rPr>
          <w:rFonts w:ascii="Times New Roman" w:hAnsi="Times New Roman" w:cs="Times New Roman" w:hint="eastAsia"/>
          <w:b/>
          <w:bCs/>
          <w:sz w:val="22"/>
          <w:szCs w:val="24"/>
        </w:rPr>
        <w:t>n</w:t>
      </w:r>
      <w:r w:rsidRPr="00CB7EBA">
        <w:rPr>
          <w:rFonts w:ascii="Times New Roman" w:hAnsi="Times New Roman" w:cs="Times New Roman"/>
          <w:b/>
          <w:bCs/>
          <w:sz w:val="22"/>
          <w:szCs w:val="24"/>
        </w:rPr>
        <w:t xml:space="preserve"> the second-IVIG group. Two cases (5%) developed CALs before initiating the second IVIG, and these did not improve within one month after diagnosis.</w:t>
      </w:r>
    </w:p>
    <w:p w14:paraId="56B4EB10" w14:textId="77777777" w:rsidR="008359A8" w:rsidRPr="00CB7EBA" w:rsidRDefault="008359A8" w:rsidP="004A1264">
      <w:pPr>
        <w:rPr>
          <w:rFonts w:ascii="Times New Roman" w:hAnsi="Times New Roman" w:cs="Times New Roman"/>
          <w:sz w:val="22"/>
          <w:szCs w:val="24"/>
        </w:rPr>
      </w:pPr>
    </w:p>
    <w:p w14:paraId="321E3F1E" w14:textId="3BFB3DB4" w:rsidR="008359A8" w:rsidRPr="00CB7EBA" w:rsidRDefault="008359A8" w:rsidP="008359A8">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w:t>
      </w:r>
      <w:r w:rsidR="00B21EC7" w:rsidRPr="00CB7EBA">
        <w:rPr>
          <w:rFonts w:ascii="Times New Roman" w:hAnsi="Times New Roman" w:cs="Times New Roman"/>
          <w:b/>
          <w:bCs/>
          <w:sz w:val="22"/>
          <w:szCs w:val="24"/>
        </w:rPr>
        <w:t xml:space="preserve">sentences were </w:t>
      </w:r>
      <w:r w:rsidRPr="00CB7EBA">
        <w:rPr>
          <w:rFonts w:ascii="Times New Roman" w:hAnsi="Times New Roman" w:cs="Times New Roman"/>
          <w:b/>
          <w:bCs/>
          <w:sz w:val="22"/>
          <w:szCs w:val="24"/>
        </w:rPr>
        <w:t xml:space="preserve">added </w:t>
      </w:r>
      <w:r w:rsidR="00813463"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 xml:space="preserve">the </w:t>
      </w:r>
      <w:r w:rsidR="00B62352" w:rsidRPr="00CB7EBA">
        <w:rPr>
          <w:rFonts w:ascii="Times New Roman" w:hAnsi="Times New Roman" w:cs="Times New Roman"/>
          <w:b/>
          <w:bCs/>
          <w:sz w:val="22"/>
          <w:szCs w:val="24"/>
        </w:rPr>
        <w:t>Results</w:t>
      </w:r>
      <w:r w:rsidR="00A6635F" w:rsidRPr="00CB7EBA">
        <w:rPr>
          <w:rFonts w:ascii="Times New Roman" w:hAnsi="Times New Roman" w:cs="Times New Roman"/>
          <w:b/>
          <w:bCs/>
          <w:sz w:val="22"/>
          <w:szCs w:val="24"/>
        </w:rPr>
        <w:t xml:space="preserve"> </w:t>
      </w:r>
      <w:r w:rsidRPr="00CB7EBA">
        <w:rPr>
          <w:rFonts w:ascii="Times New Roman" w:hAnsi="Times New Roman" w:cs="Times New Roman" w:hint="eastAsia"/>
          <w:b/>
          <w:bCs/>
          <w:sz w:val="22"/>
          <w:szCs w:val="24"/>
        </w:rPr>
        <w:t>s</w:t>
      </w:r>
      <w:r w:rsidRPr="00CB7EBA">
        <w:rPr>
          <w:rFonts w:ascii="Times New Roman" w:hAnsi="Times New Roman" w:cs="Times New Roman"/>
          <w:b/>
          <w:bCs/>
          <w:sz w:val="22"/>
          <w:szCs w:val="24"/>
        </w:rPr>
        <w:t>ection:</w:t>
      </w:r>
    </w:p>
    <w:p w14:paraId="2CF44595" w14:textId="640882F2" w:rsidR="008359A8" w:rsidRPr="00CB7EBA" w:rsidRDefault="008359A8" w:rsidP="004A1264">
      <w:pPr>
        <w:rPr>
          <w:rFonts w:ascii="Times New Roman" w:hAnsi="Times New Roman" w:cs="Times New Roman"/>
          <w:color w:val="FF0000"/>
          <w:sz w:val="22"/>
          <w:szCs w:val="24"/>
        </w:rPr>
      </w:pPr>
      <w:r w:rsidRPr="00CB7EBA">
        <w:rPr>
          <w:rFonts w:ascii="Times New Roman" w:hAnsi="Times New Roman" w:cs="Times New Roman"/>
          <w:b/>
          <w:bCs/>
          <w:color w:val="FF0000"/>
          <w:sz w:val="22"/>
          <w:szCs w:val="24"/>
        </w:rPr>
        <w:t>“</w:t>
      </w:r>
      <w:r w:rsidR="00B62352" w:rsidRPr="00CB7EBA">
        <w:rPr>
          <w:rFonts w:ascii="Times New Roman" w:hAnsi="Times New Roman" w:cs="Times New Roman"/>
          <w:b/>
          <w:bCs/>
          <w:color w:val="FF0000"/>
          <w:sz w:val="22"/>
          <w:szCs w:val="24"/>
        </w:rPr>
        <w:t>CALs were not identified in any case at diagnosis in the second-IVIG group. Two cases (5%) developed CALs before initiating the second IVIG, and these did not improve within one month after diagnosis.</w:t>
      </w:r>
      <w:r w:rsidRPr="00CB7EBA">
        <w:rPr>
          <w:rFonts w:ascii="Times New Roman" w:hAnsi="Times New Roman" w:cs="Times New Roman"/>
          <w:b/>
          <w:bCs/>
          <w:color w:val="FF0000"/>
          <w:sz w:val="22"/>
          <w:szCs w:val="24"/>
        </w:rPr>
        <w:t>”</w:t>
      </w:r>
      <w:r w:rsidR="00073D46" w:rsidRPr="00CB7EBA">
        <w:rPr>
          <w:rFonts w:ascii="Times New Roman" w:hAnsi="Times New Roman" w:cs="Times New Roman" w:hint="eastAsia"/>
          <w:b/>
          <w:bCs/>
          <w:color w:val="FF0000"/>
          <w:sz w:val="22"/>
          <w:szCs w:val="24"/>
        </w:rPr>
        <w:t xml:space="preserve"> (Page 9, Lines </w:t>
      </w:r>
      <w:r w:rsidR="009B398D" w:rsidRPr="00CB7EBA">
        <w:rPr>
          <w:rFonts w:ascii="Times New Roman" w:hAnsi="Times New Roman" w:cs="Times New Roman"/>
          <w:b/>
          <w:bCs/>
          <w:color w:val="FF0000"/>
          <w:sz w:val="22"/>
          <w:szCs w:val="24"/>
        </w:rPr>
        <w:t>6</w:t>
      </w:r>
      <w:r w:rsidR="00073D46" w:rsidRPr="00CB7EBA">
        <w:rPr>
          <w:rFonts w:ascii="Times New Roman" w:hAnsi="Times New Roman" w:cs="Times New Roman"/>
          <w:b/>
          <w:bCs/>
          <w:color w:val="FF0000"/>
          <w:sz w:val="22"/>
          <w:szCs w:val="24"/>
        </w:rPr>
        <w:t>–</w:t>
      </w:r>
      <w:r w:rsidR="009B398D" w:rsidRPr="00CB7EBA">
        <w:rPr>
          <w:rFonts w:ascii="Times New Roman" w:hAnsi="Times New Roman" w:cs="Times New Roman"/>
          <w:b/>
          <w:bCs/>
          <w:color w:val="FF0000"/>
          <w:sz w:val="22"/>
          <w:szCs w:val="24"/>
        </w:rPr>
        <w:t>8</w:t>
      </w:r>
      <w:r w:rsidR="00073D46" w:rsidRPr="00CB7EBA">
        <w:rPr>
          <w:rFonts w:ascii="Times New Roman" w:hAnsi="Times New Roman" w:cs="Times New Roman" w:hint="eastAsia"/>
          <w:b/>
          <w:bCs/>
          <w:color w:val="FF0000"/>
          <w:sz w:val="22"/>
          <w:szCs w:val="24"/>
        </w:rPr>
        <w:t>)</w:t>
      </w:r>
    </w:p>
    <w:p w14:paraId="56FB6F88" w14:textId="77777777" w:rsidR="004A1264" w:rsidRPr="00CB7EBA" w:rsidRDefault="004A1264" w:rsidP="006C153C">
      <w:pPr>
        <w:rPr>
          <w:rFonts w:ascii="Times New Roman" w:hAnsi="Times New Roman" w:cs="Times New Roman"/>
          <w:sz w:val="22"/>
          <w:szCs w:val="24"/>
        </w:rPr>
      </w:pPr>
    </w:p>
    <w:p w14:paraId="482C2802"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How does the corticoid group differ from the group not receiving cs? Can you identify predictors for the use of cs? Have they additional risk factors?</w:t>
      </w:r>
    </w:p>
    <w:p w14:paraId="73275732"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775D0B43" w14:textId="3F0D6924" w:rsidR="00BE70D2" w:rsidRPr="00CB7EBA" w:rsidRDefault="00DE4876" w:rsidP="004841FF">
      <w:pPr>
        <w:rPr>
          <w:rFonts w:ascii="Times New Roman" w:hAnsi="Times New Roman" w:cs="Times New Roman"/>
          <w:b/>
          <w:bCs/>
          <w:sz w:val="22"/>
          <w:szCs w:val="24"/>
        </w:rPr>
      </w:pPr>
      <w:r w:rsidRPr="00CB7EBA">
        <w:rPr>
          <w:rFonts w:ascii="Times New Roman" w:hAnsi="Times New Roman" w:cs="Times New Roman"/>
          <w:b/>
          <w:bCs/>
          <w:sz w:val="22"/>
          <w:szCs w:val="24"/>
        </w:rPr>
        <w:lastRenderedPageBreak/>
        <w:t xml:space="preserve">In our hospital, we do not routinely use corticosteroids in the initial treatment of KD, considering the ongoing debate regarding their effectiveness and potential risks. All patients who received corticosteroids in this study were referral cases from surrounding medical facilities, as our hospital serves as a tertiary referral center for treatment-resistant KD in our region. </w:t>
      </w:r>
      <w:r w:rsidR="004841FF" w:rsidRPr="00CB7EBA">
        <w:rPr>
          <w:rFonts w:ascii="Times New Roman" w:hAnsi="Times New Roman" w:cs="Times New Roman"/>
          <w:b/>
          <w:bCs/>
          <w:sz w:val="22"/>
          <w:szCs w:val="24"/>
        </w:rPr>
        <w:t xml:space="preserve">These patients had Kobayashi scores of 5 or higher, indicating a predicted risk of IVIG resistance as specified in </w:t>
      </w:r>
      <w:r w:rsidR="00C73D79" w:rsidRPr="00CB7EBA">
        <w:rPr>
          <w:rFonts w:ascii="Times New Roman" w:hAnsi="Times New Roman" w:cs="Times New Roman"/>
          <w:b/>
          <w:bCs/>
          <w:sz w:val="22"/>
          <w:szCs w:val="24"/>
        </w:rPr>
        <w:t>t</w:t>
      </w:r>
      <w:r w:rsidR="004841FF" w:rsidRPr="00CB7EBA">
        <w:rPr>
          <w:rFonts w:ascii="Times New Roman" w:hAnsi="Times New Roman" w:cs="Times New Roman"/>
          <w:b/>
          <w:bCs/>
          <w:sz w:val="22"/>
          <w:szCs w:val="24"/>
        </w:rPr>
        <w:t>he Japanese guidelines for KD treatment, which recommends corticosteroids as a therapeutic option for such high-risk cases.</w:t>
      </w:r>
      <w:r w:rsidR="007A0CD5" w:rsidRPr="00CB7EBA">
        <w:rPr>
          <w:rFonts w:ascii="Times New Roman" w:hAnsi="Times New Roman" w:cs="Times New Roman" w:hint="eastAsia"/>
          <w:b/>
          <w:bCs/>
          <w:sz w:val="22"/>
          <w:szCs w:val="24"/>
        </w:rPr>
        <w:t xml:space="preserve"> Therefore, </w:t>
      </w:r>
      <w:r w:rsidR="001440AC" w:rsidRPr="00CB7EBA">
        <w:rPr>
          <w:rFonts w:ascii="Times New Roman" w:hAnsi="Times New Roman" w:cs="Times New Roman"/>
          <w:b/>
          <w:bCs/>
          <w:sz w:val="22"/>
          <w:szCs w:val="24"/>
        </w:rPr>
        <w:t xml:space="preserve">a </w:t>
      </w:r>
      <w:r w:rsidR="00BB3460" w:rsidRPr="00CB7EBA">
        <w:rPr>
          <w:rFonts w:ascii="Times New Roman" w:hAnsi="Times New Roman" w:cs="Times New Roman"/>
          <w:b/>
          <w:bCs/>
          <w:sz w:val="22"/>
          <w:szCs w:val="24"/>
        </w:rPr>
        <w:t>referral</w:t>
      </w:r>
      <w:r w:rsidR="00BB3460" w:rsidRPr="00CB7EBA">
        <w:rPr>
          <w:rFonts w:ascii="Times New Roman" w:hAnsi="Times New Roman" w:cs="Times New Roman" w:hint="eastAsia"/>
          <w:b/>
          <w:bCs/>
          <w:sz w:val="22"/>
          <w:szCs w:val="24"/>
        </w:rPr>
        <w:t xml:space="preserve"> from another hospital was </w:t>
      </w:r>
      <w:r w:rsidR="001440AC" w:rsidRPr="00CB7EBA">
        <w:rPr>
          <w:rFonts w:ascii="Times New Roman" w:hAnsi="Times New Roman" w:cs="Times New Roman" w:hint="eastAsia"/>
          <w:b/>
          <w:bCs/>
          <w:sz w:val="22"/>
          <w:szCs w:val="24"/>
        </w:rPr>
        <w:t>the predictor.</w:t>
      </w:r>
    </w:p>
    <w:p w14:paraId="4BFDAA29" w14:textId="77777777" w:rsidR="001B2238" w:rsidRPr="00CB7EBA" w:rsidRDefault="001B2238" w:rsidP="004841FF">
      <w:pPr>
        <w:rPr>
          <w:rFonts w:ascii="Times New Roman" w:hAnsi="Times New Roman" w:cs="Times New Roman"/>
          <w:sz w:val="22"/>
          <w:szCs w:val="24"/>
        </w:rPr>
      </w:pPr>
    </w:p>
    <w:p w14:paraId="4043EF4F" w14:textId="214DA2B7" w:rsidR="008359A8" w:rsidRPr="00CB7EBA" w:rsidRDefault="008359A8" w:rsidP="004841FF">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w:t>
      </w:r>
      <w:r w:rsidR="00B21EC7" w:rsidRPr="00CB7EBA">
        <w:rPr>
          <w:rFonts w:ascii="Times New Roman" w:hAnsi="Times New Roman" w:cs="Times New Roman"/>
          <w:b/>
          <w:bCs/>
          <w:sz w:val="22"/>
          <w:szCs w:val="24"/>
        </w:rPr>
        <w:t xml:space="preserve">sentences were </w:t>
      </w:r>
      <w:r w:rsidRPr="00CB7EBA">
        <w:rPr>
          <w:rFonts w:ascii="Times New Roman" w:hAnsi="Times New Roman" w:cs="Times New Roman"/>
          <w:b/>
          <w:bCs/>
          <w:sz w:val="22"/>
          <w:szCs w:val="24"/>
        </w:rPr>
        <w:t xml:space="preserve">added </w:t>
      </w:r>
      <w:r w:rsidR="00813463"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 xml:space="preserve">the </w:t>
      </w:r>
      <w:r w:rsidR="00B62352" w:rsidRPr="00CB7EBA">
        <w:rPr>
          <w:rFonts w:ascii="Times New Roman" w:hAnsi="Times New Roman" w:cs="Times New Roman"/>
          <w:b/>
          <w:bCs/>
          <w:sz w:val="22"/>
          <w:szCs w:val="24"/>
        </w:rPr>
        <w:t>Discussion</w:t>
      </w:r>
      <w:r w:rsidRPr="00CB7EBA">
        <w:rPr>
          <w:rFonts w:ascii="Times New Roman" w:hAnsi="Times New Roman" w:cs="Times New Roman"/>
          <w:b/>
          <w:bCs/>
          <w:sz w:val="22"/>
          <w:szCs w:val="24"/>
        </w:rPr>
        <w:t xml:space="preserve"> section:</w:t>
      </w:r>
    </w:p>
    <w:p w14:paraId="3BFD4140" w14:textId="645370A7" w:rsidR="008359A8" w:rsidRPr="00CB7EBA" w:rsidRDefault="008359A8" w:rsidP="004841FF">
      <w:pPr>
        <w:rPr>
          <w:rFonts w:ascii="Times New Roman" w:hAnsi="Times New Roman" w:cs="Times New Roman"/>
          <w:color w:val="FF0000"/>
          <w:sz w:val="22"/>
          <w:szCs w:val="24"/>
        </w:rPr>
      </w:pPr>
      <w:r w:rsidRPr="00CB7EBA">
        <w:rPr>
          <w:rFonts w:ascii="Times New Roman" w:hAnsi="Times New Roman" w:cs="Times New Roman"/>
          <w:b/>
          <w:bCs/>
          <w:color w:val="FF0000"/>
          <w:sz w:val="22"/>
          <w:szCs w:val="24"/>
        </w:rPr>
        <w:t>“</w:t>
      </w:r>
      <w:r w:rsidR="00615833" w:rsidRPr="00CB7EBA">
        <w:rPr>
          <w:rFonts w:ascii="Times New Roman" w:hAnsi="Times New Roman" w:cs="Times New Roman"/>
          <w:b/>
          <w:bCs/>
          <w:color w:val="FF0000"/>
          <w:sz w:val="22"/>
          <w:szCs w:val="24"/>
        </w:rPr>
        <w:t>Therefore, we do not routinely use corticosteroids in the initial treatment of KD. All patients who received corticosteroids in this study were referral cases from surrounding medical facilities, as our hospital serves as a tertiary referral center for treatment-resistant KD in our region. These patients had Kobayashi scores of 5 or higher, indicating a predicted risk of IVIG resistance as specified in the Japanese guidelines for KD treatment [3], which recommends corticosteroids as a therapeutic option for such high-risk cases.</w:t>
      </w:r>
      <w:r w:rsidRPr="00CB7EBA">
        <w:rPr>
          <w:rFonts w:ascii="Times New Roman" w:hAnsi="Times New Roman" w:cs="Times New Roman"/>
          <w:b/>
          <w:bCs/>
          <w:color w:val="FF0000"/>
          <w:sz w:val="22"/>
          <w:szCs w:val="24"/>
        </w:rPr>
        <w:t>”</w:t>
      </w:r>
      <w:r w:rsidR="0097711A" w:rsidRPr="00CB7EBA">
        <w:rPr>
          <w:rFonts w:ascii="Times New Roman" w:hAnsi="Times New Roman" w:cs="Times New Roman" w:hint="eastAsia"/>
          <w:b/>
          <w:bCs/>
          <w:color w:val="FF0000"/>
          <w:sz w:val="22"/>
          <w:szCs w:val="24"/>
        </w:rPr>
        <w:t xml:space="preserve"> (Page 11, Lines 19</w:t>
      </w:r>
      <w:r w:rsidR="0097711A" w:rsidRPr="00CB7EBA">
        <w:rPr>
          <w:rFonts w:ascii="Times New Roman" w:hAnsi="Times New Roman" w:cs="Times New Roman"/>
          <w:b/>
          <w:bCs/>
          <w:color w:val="FF0000"/>
          <w:sz w:val="22"/>
          <w:szCs w:val="24"/>
        </w:rPr>
        <w:t>–</w:t>
      </w:r>
      <w:r w:rsidR="0097711A" w:rsidRPr="00CB7EBA">
        <w:rPr>
          <w:rFonts w:ascii="Times New Roman" w:hAnsi="Times New Roman" w:cs="Times New Roman" w:hint="eastAsia"/>
          <w:b/>
          <w:bCs/>
          <w:color w:val="FF0000"/>
          <w:sz w:val="22"/>
          <w:szCs w:val="24"/>
        </w:rPr>
        <w:t>24)</w:t>
      </w:r>
    </w:p>
    <w:p w14:paraId="29A800A9" w14:textId="77777777" w:rsidR="00BE70D2" w:rsidRPr="00CB7EBA" w:rsidRDefault="00BE70D2" w:rsidP="006C153C">
      <w:pPr>
        <w:rPr>
          <w:rFonts w:ascii="Times New Roman" w:hAnsi="Times New Roman" w:cs="Times New Roman"/>
          <w:sz w:val="22"/>
          <w:szCs w:val="24"/>
        </w:rPr>
      </w:pPr>
    </w:p>
    <w:p w14:paraId="6107AE90" w14:textId="77777777"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 xml:space="preserve">Page 5 line 1 states, that all patients with KD were treated initially with IVIG. This is also indicated in figure 1. The abbreviation IVIG-after-IFX suggests, that IVIG was given after IFX. This is quite confusing and makes the understanding of the </w:t>
      </w:r>
      <w:proofErr w:type="spellStart"/>
      <w:r w:rsidRPr="00CB7EBA">
        <w:rPr>
          <w:rFonts w:ascii="Times New Roman" w:hAnsi="Times New Roman" w:cs="Times New Roman"/>
          <w:i/>
          <w:iCs/>
          <w:sz w:val="22"/>
          <w:szCs w:val="24"/>
        </w:rPr>
        <w:t>ms</w:t>
      </w:r>
      <w:proofErr w:type="spellEnd"/>
      <w:r w:rsidRPr="00CB7EBA">
        <w:rPr>
          <w:rFonts w:ascii="Times New Roman" w:hAnsi="Times New Roman" w:cs="Times New Roman"/>
          <w:i/>
          <w:iCs/>
          <w:sz w:val="22"/>
          <w:szCs w:val="24"/>
        </w:rPr>
        <w:t xml:space="preserve"> difficult. Please indicate more clearly in which sequence the medication were </w:t>
      </w:r>
      <w:proofErr w:type="gramStart"/>
      <w:r w:rsidRPr="00CB7EBA">
        <w:rPr>
          <w:rFonts w:ascii="Times New Roman" w:hAnsi="Times New Roman" w:cs="Times New Roman"/>
          <w:i/>
          <w:iCs/>
          <w:sz w:val="22"/>
          <w:szCs w:val="24"/>
        </w:rPr>
        <w:t>applied?</w:t>
      </w:r>
      <w:proofErr w:type="gramEnd"/>
    </w:p>
    <w:p w14:paraId="5DCE0E48"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5671A6A5" w14:textId="50D977A4" w:rsidR="00963F3A" w:rsidRPr="00CB7EBA" w:rsidRDefault="007351A7" w:rsidP="007351A7">
      <w:pPr>
        <w:rPr>
          <w:rFonts w:ascii="Times New Roman" w:hAnsi="Times New Roman" w:cs="Times New Roman"/>
          <w:b/>
          <w:bCs/>
          <w:sz w:val="22"/>
          <w:szCs w:val="24"/>
        </w:rPr>
      </w:pPr>
      <w:r w:rsidRPr="00CB7EBA">
        <w:rPr>
          <w:rFonts w:ascii="Times New Roman" w:hAnsi="Times New Roman" w:cs="Times New Roman"/>
          <w:b/>
          <w:bCs/>
          <w:sz w:val="22"/>
          <w:szCs w:val="24"/>
        </w:rPr>
        <w:t>Thank you for pointing out this potential source of confusion. We apologize for any lack of clarity in our terminology and treatment sequence description.</w:t>
      </w:r>
    </w:p>
    <w:p w14:paraId="2CF3A140" w14:textId="0ECA9E0A" w:rsidR="00963F3A" w:rsidRPr="00CB7EBA" w:rsidRDefault="00963F3A" w:rsidP="007351A7">
      <w:pPr>
        <w:rPr>
          <w:rFonts w:ascii="Times New Roman" w:hAnsi="Times New Roman" w:cs="Times New Roman"/>
          <w:b/>
          <w:bCs/>
          <w:sz w:val="22"/>
          <w:szCs w:val="24"/>
        </w:rPr>
      </w:pPr>
      <w:r w:rsidRPr="00CB7EBA">
        <w:rPr>
          <w:rFonts w:ascii="Times New Roman" w:hAnsi="Times New Roman" w:cs="Times New Roman"/>
          <w:b/>
          <w:bCs/>
          <w:sz w:val="22"/>
          <w:szCs w:val="24"/>
        </w:rPr>
        <w:t>The term "IVIG-after-IFX" refers to IVIG administration following IFX in cases where additional treatment was required after IFX.</w:t>
      </w:r>
    </w:p>
    <w:p w14:paraId="555D8E47" w14:textId="77777777" w:rsidR="00963F3A" w:rsidRPr="00CB7EBA" w:rsidRDefault="00963F3A" w:rsidP="007351A7">
      <w:pPr>
        <w:rPr>
          <w:rFonts w:ascii="Times New Roman" w:hAnsi="Times New Roman" w:cs="Times New Roman"/>
          <w:sz w:val="22"/>
          <w:szCs w:val="24"/>
        </w:rPr>
      </w:pPr>
    </w:p>
    <w:p w14:paraId="236670BB" w14:textId="012810A4" w:rsidR="007351A7" w:rsidRPr="00CB7EBA" w:rsidRDefault="007351A7" w:rsidP="007351A7">
      <w:pPr>
        <w:rPr>
          <w:rFonts w:ascii="Times New Roman" w:hAnsi="Times New Roman" w:cs="Times New Roman"/>
          <w:b/>
          <w:bCs/>
          <w:sz w:val="22"/>
          <w:szCs w:val="24"/>
        </w:rPr>
      </w:pPr>
      <w:r w:rsidRPr="00CB7EBA">
        <w:rPr>
          <w:rFonts w:ascii="Times New Roman" w:hAnsi="Times New Roman" w:cs="Times New Roman"/>
          <w:b/>
          <w:bCs/>
          <w:sz w:val="22"/>
          <w:szCs w:val="24"/>
        </w:rPr>
        <w:t>To clarify the treatment sequence:</w:t>
      </w:r>
    </w:p>
    <w:p w14:paraId="495DCC0E" w14:textId="77777777" w:rsidR="00963F3A" w:rsidRPr="00CB7EBA" w:rsidRDefault="007351A7" w:rsidP="007351A7">
      <w:pPr>
        <w:pStyle w:val="af"/>
        <w:numPr>
          <w:ilvl w:val="0"/>
          <w:numId w:val="1"/>
        </w:numPr>
        <w:ind w:leftChars="0"/>
        <w:rPr>
          <w:rFonts w:ascii="Times New Roman" w:hAnsi="Times New Roman" w:cs="Times New Roman"/>
          <w:b/>
          <w:bCs/>
          <w:sz w:val="22"/>
          <w:szCs w:val="24"/>
        </w:rPr>
      </w:pPr>
      <w:r w:rsidRPr="00CB7EBA">
        <w:rPr>
          <w:rFonts w:ascii="Times New Roman" w:hAnsi="Times New Roman" w:cs="Times New Roman"/>
          <w:b/>
          <w:bCs/>
          <w:sz w:val="22"/>
          <w:szCs w:val="24"/>
        </w:rPr>
        <w:t>All patients received initial IVIG as first-line therapy</w:t>
      </w:r>
    </w:p>
    <w:p w14:paraId="47443C75" w14:textId="77777777" w:rsidR="00963F3A" w:rsidRPr="00CB7EBA" w:rsidRDefault="007351A7" w:rsidP="007351A7">
      <w:pPr>
        <w:pStyle w:val="af"/>
        <w:numPr>
          <w:ilvl w:val="0"/>
          <w:numId w:val="1"/>
        </w:numPr>
        <w:ind w:leftChars="0"/>
        <w:rPr>
          <w:rFonts w:ascii="Times New Roman" w:hAnsi="Times New Roman" w:cs="Times New Roman"/>
          <w:b/>
          <w:bCs/>
          <w:sz w:val="22"/>
          <w:szCs w:val="24"/>
        </w:rPr>
      </w:pPr>
      <w:r w:rsidRPr="00CB7EBA">
        <w:rPr>
          <w:rFonts w:ascii="Times New Roman" w:hAnsi="Times New Roman" w:cs="Times New Roman"/>
          <w:b/>
          <w:bCs/>
          <w:sz w:val="22"/>
          <w:szCs w:val="24"/>
        </w:rPr>
        <w:t>After showing resistance to initial treatment:</w:t>
      </w:r>
    </w:p>
    <w:p w14:paraId="47A8B04B" w14:textId="3A680C3D" w:rsidR="00963F3A" w:rsidRPr="00CB7EBA" w:rsidRDefault="007351A7" w:rsidP="007351A7">
      <w:pPr>
        <w:pStyle w:val="af"/>
        <w:numPr>
          <w:ilvl w:val="0"/>
          <w:numId w:val="2"/>
        </w:numPr>
        <w:ind w:leftChars="0"/>
        <w:rPr>
          <w:rFonts w:ascii="Times New Roman" w:hAnsi="Times New Roman" w:cs="Times New Roman"/>
          <w:b/>
          <w:bCs/>
          <w:sz w:val="22"/>
          <w:szCs w:val="24"/>
        </w:rPr>
      </w:pPr>
      <w:r w:rsidRPr="00CB7EBA">
        <w:rPr>
          <w:rFonts w:ascii="Times New Roman" w:hAnsi="Times New Roman" w:cs="Times New Roman"/>
          <w:b/>
          <w:bCs/>
          <w:sz w:val="22"/>
          <w:szCs w:val="24"/>
        </w:rPr>
        <w:t>The IVIG-after-IFX group received:</w:t>
      </w:r>
    </w:p>
    <w:p w14:paraId="17F231A1" w14:textId="44AA5E1F" w:rsidR="00963F3A"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a) Initial IVIG (</w:t>
      </w:r>
      <w:proofErr w:type="gramStart"/>
      <w:r w:rsidRPr="00CB7EBA">
        <w:rPr>
          <w:rFonts w:ascii="Times New Roman" w:hAnsi="Times New Roman" w:cs="Times New Roman"/>
          <w:b/>
          <w:bCs/>
          <w:sz w:val="22"/>
          <w:szCs w:val="24"/>
        </w:rPr>
        <w:t>first-line</w:t>
      </w:r>
      <w:proofErr w:type="gramEnd"/>
      <w:r w:rsidRPr="00CB7EBA">
        <w:rPr>
          <w:rFonts w:ascii="Times New Roman" w:hAnsi="Times New Roman" w:cs="Times New Roman"/>
          <w:b/>
          <w:bCs/>
          <w:sz w:val="22"/>
          <w:szCs w:val="24"/>
        </w:rPr>
        <w:t>)</w:t>
      </w:r>
    </w:p>
    <w:p w14:paraId="196FF706" w14:textId="56E99C8F" w:rsidR="00963F3A"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b) Additional treatment(s) in some cases</w:t>
      </w:r>
    </w:p>
    <w:p w14:paraId="5F24A1CC" w14:textId="5B27F6DC" w:rsidR="00963F3A"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c) IFX</w:t>
      </w:r>
    </w:p>
    <w:p w14:paraId="24214700" w14:textId="7764552D" w:rsidR="00963F3A"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d) Additional IVIG after IFX</w:t>
      </w:r>
    </w:p>
    <w:p w14:paraId="4AD7342C" w14:textId="273638C1" w:rsidR="00963F3A" w:rsidRPr="00CB7EBA" w:rsidRDefault="007351A7" w:rsidP="007351A7">
      <w:pPr>
        <w:pStyle w:val="af"/>
        <w:numPr>
          <w:ilvl w:val="0"/>
          <w:numId w:val="2"/>
        </w:numPr>
        <w:ind w:leftChars="0"/>
        <w:rPr>
          <w:rFonts w:ascii="Times New Roman" w:hAnsi="Times New Roman" w:cs="Times New Roman"/>
          <w:b/>
          <w:bCs/>
          <w:sz w:val="22"/>
          <w:szCs w:val="24"/>
        </w:rPr>
      </w:pPr>
      <w:r w:rsidRPr="00CB7EBA">
        <w:rPr>
          <w:rFonts w:ascii="Times New Roman" w:hAnsi="Times New Roman" w:cs="Times New Roman"/>
          <w:b/>
          <w:bCs/>
          <w:sz w:val="22"/>
          <w:szCs w:val="24"/>
        </w:rPr>
        <w:lastRenderedPageBreak/>
        <w:t>The comparison group received:</w:t>
      </w:r>
    </w:p>
    <w:p w14:paraId="43B1D915" w14:textId="662C0DFE" w:rsidR="00963F3A"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a) Initial IVIG (first-line</w:t>
      </w:r>
      <w:r w:rsidR="00963F3A" w:rsidRPr="00CB7EBA">
        <w:rPr>
          <w:rFonts w:ascii="Times New Roman" w:hAnsi="Times New Roman" w:cs="Times New Roman"/>
          <w:b/>
          <w:bCs/>
          <w:sz w:val="22"/>
          <w:szCs w:val="24"/>
        </w:rPr>
        <w:t xml:space="preserve"> treatment</w:t>
      </w:r>
      <w:r w:rsidRPr="00CB7EBA">
        <w:rPr>
          <w:rFonts w:ascii="Times New Roman" w:hAnsi="Times New Roman" w:cs="Times New Roman" w:hint="eastAsia"/>
          <w:b/>
          <w:bCs/>
          <w:sz w:val="22"/>
          <w:szCs w:val="24"/>
        </w:rPr>
        <w:t>)</w:t>
      </w:r>
    </w:p>
    <w:p w14:paraId="64928AC3" w14:textId="3CF95154" w:rsidR="007351A7" w:rsidRPr="00CB7EBA" w:rsidRDefault="007351A7" w:rsidP="00963F3A">
      <w:pPr>
        <w:pStyle w:val="af"/>
        <w:ind w:leftChars="0" w:left="880"/>
        <w:rPr>
          <w:rFonts w:ascii="Times New Roman" w:hAnsi="Times New Roman" w:cs="Times New Roman"/>
          <w:b/>
          <w:bCs/>
          <w:sz w:val="22"/>
          <w:szCs w:val="24"/>
        </w:rPr>
      </w:pPr>
      <w:r w:rsidRPr="00CB7EBA">
        <w:rPr>
          <w:rFonts w:ascii="Times New Roman" w:hAnsi="Times New Roman" w:cs="Times New Roman"/>
          <w:b/>
          <w:bCs/>
          <w:sz w:val="22"/>
          <w:szCs w:val="24"/>
        </w:rPr>
        <w:t>b) Second IVIG</w:t>
      </w:r>
    </w:p>
    <w:p w14:paraId="72BCE81B" w14:textId="77777777" w:rsidR="00963F3A" w:rsidRPr="00CB7EBA" w:rsidRDefault="00963F3A" w:rsidP="004A1264">
      <w:pPr>
        <w:rPr>
          <w:rFonts w:ascii="Times New Roman" w:hAnsi="Times New Roman" w:cs="Times New Roman"/>
          <w:sz w:val="22"/>
          <w:szCs w:val="24"/>
        </w:rPr>
      </w:pPr>
    </w:p>
    <w:p w14:paraId="39176491" w14:textId="7D0B1ABD" w:rsidR="007911E2" w:rsidRPr="00CB7EBA" w:rsidRDefault="007911E2" w:rsidP="007911E2">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w:t>
      </w:r>
      <w:r w:rsidR="00B21EC7" w:rsidRPr="00CB7EBA">
        <w:rPr>
          <w:rFonts w:ascii="Times New Roman" w:hAnsi="Times New Roman" w:cs="Times New Roman"/>
          <w:b/>
          <w:bCs/>
          <w:sz w:val="22"/>
          <w:szCs w:val="24"/>
        </w:rPr>
        <w:t xml:space="preserve">information </w:t>
      </w:r>
      <w:r w:rsidRPr="00CB7EBA">
        <w:rPr>
          <w:rFonts w:ascii="Times New Roman" w:hAnsi="Times New Roman" w:cs="Times New Roman"/>
          <w:b/>
          <w:bCs/>
          <w:sz w:val="22"/>
          <w:szCs w:val="24"/>
        </w:rPr>
        <w:t xml:space="preserve">was added </w:t>
      </w:r>
      <w:r w:rsidR="0042597B"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the footnote of Table 1:</w:t>
      </w:r>
    </w:p>
    <w:p w14:paraId="5179E6B7"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b/>
          <w:bCs/>
          <w:color w:val="FF0000"/>
          <w:sz w:val="22"/>
          <w:szCs w:val="24"/>
        </w:rPr>
        <w:t>“Patients received the following treatments before IFX administration:</w:t>
      </w:r>
    </w:p>
    <w:p w14:paraId="4C94E4BA"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Initial IVIG with prednisolone.</w:t>
      </w:r>
    </w:p>
    <w:p w14:paraId="0717A324"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Initial IVIG followed by a second dose of IVIG, with some patients also receiving prednisolone concurrently.</w:t>
      </w:r>
    </w:p>
    <w:p w14:paraId="30DA6150" w14:textId="77777777" w:rsidR="007911E2" w:rsidRPr="00CB7EBA" w:rsidRDefault="007911E2"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w:t>
      </w:r>
      <w:r w:rsidRPr="00CB7EBA">
        <w:rPr>
          <w:rFonts w:ascii="Times New Roman" w:hAnsi="Times New Roman" w:cs="Times New Roman"/>
          <w:b/>
          <w:bCs/>
          <w:color w:val="FF0000"/>
          <w:sz w:val="22"/>
          <w:szCs w:val="24"/>
        </w:rPr>
        <w:t xml:space="preserve"> Three courses of IVIG (n=1) or two courses of IVIG and methylprednisolone pulse (n=4).”</w:t>
      </w:r>
    </w:p>
    <w:p w14:paraId="641A5167" w14:textId="00EE9513" w:rsidR="0097711A" w:rsidRPr="00CB7EBA" w:rsidRDefault="0097711A" w:rsidP="007911E2">
      <w:pPr>
        <w:rPr>
          <w:rFonts w:ascii="Times New Roman" w:hAnsi="Times New Roman" w:cs="Times New Roman"/>
          <w:b/>
          <w:bCs/>
          <w:color w:val="FF0000"/>
          <w:sz w:val="22"/>
          <w:szCs w:val="24"/>
        </w:rPr>
      </w:pPr>
      <w:r w:rsidRPr="00CB7EBA">
        <w:rPr>
          <w:rFonts w:ascii="Times New Roman" w:hAnsi="Times New Roman" w:cs="Times New Roman" w:hint="eastAsia"/>
          <w:b/>
          <w:bCs/>
          <w:color w:val="FF0000"/>
          <w:sz w:val="22"/>
          <w:szCs w:val="24"/>
        </w:rPr>
        <w:t>(Page 7</w:t>
      </w:r>
      <w:r w:rsidRPr="00CB7EBA">
        <w:rPr>
          <w:rFonts w:ascii="Times New Roman" w:hAnsi="Times New Roman" w:cs="Times New Roman"/>
          <w:b/>
          <w:bCs/>
          <w:color w:val="FF0000"/>
          <w:sz w:val="22"/>
          <w:szCs w:val="24"/>
        </w:rPr>
        <w:t>,</w:t>
      </w:r>
      <w:r w:rsidRPr="00CB7EBA">
        <w:rPr>
          <w:rFonts w:ascii="Times New Roman" w:hAnsi="Times New Roman" w:cs="Times New Roman" w:hint="eastAsia"/>
          <w:b/>
          <w:bCs/>
          <w:color w:val="FF0000"/>
          <w:sz w:val="22"/>
          <w:szCs w:val="24"/>
        </w:rPr>
        <w:t xml:space="preserve"> Lines 11</w:t>
      </w:r>
      <w:r w:rsidRPr="00CB7EBA">
        <w:rPr>
          <w:rFonts w:ascii="Times New Roman" w:hAnsi="Times New Roman" w:cs="Times New Roman"/>
          <w:b/>
          <w:bCs/>
          <w:color w:val="FF0000"/>
          <w:sz w:val="22"/>
          <w:szCs w:val="24"/>
        </w:rPr>
        <w:t>–1</w:t>
      </w:r>
      <w:r w:rsidRPr="00CB7EBA">
        <w:rPr>
          <w:rFonts w:ascii="Times New Roman" w:hAnsi="Times New Roman" w:cs="Times New Roman" w:hint="eastAsia"/>
          <w:b/>
          <w:bCs/>
          <w:color w:val="FF0000"/>
          <w:sz w:val="22"/>
          <w:szCs w:val="24"/>
        </w:rPr>
        <w:t xml:space="preserve">2 to Page </w:t>
      </w:r>
      <w:r w:rsidRPr="00CB7EBA">
        <w:rPr>
          <w:rFonts w:ascii="Times New Roman" w:hAnsi="Times New Roman" w:cs="Times New Roman"/>
          <w:b/>
          <w:bCs/>
          <w:color w:val="FF0000"/>
          <w:sz w:val="22"/>
          <w:szCs w:val="24"/>
        </w:rPr>
        <w:t>8</w:t>
      </w:r>
      <w:r w:rsidRPr="00CB7EBA">
        <w:rPr>
          <w:rFonts w:ascii="Times New Roman" w:hAnsi="Times New Roman" w:cs="Times New Roman" w:hint="eastAsia"/>
          <w:b/>
          <w:bCs/>
          <w:color w:val="FF0000"/>
          <w:sz w:val="22"/>
          <w:szCs w:val="24"/>
        </w:rPr>
        <w:t>, Lines 1</w:t>
      </w:r>
      <w:r w:rsidRPr="00CB7EBA">
        <w:rPr>
          <w:rFonts w:ascii="Times New Roman" w:hAnsi="Times New Roman" w:cs="Times New Roman"/>
          <w:b/>
          <w:bCs/>
          <w:color w:val="FF0000"/>
          <w:sz w:val="22"/>
          <w:szCs w:val="24"/>
        </w:rPr>
        <w:t>–</w:t>
      </w:r>
      <w:r w:rsidR="0049786C" w:rsidRPr="00CB7EBA">
        <w:rPr>
          <w:rFonts w:ascii="Times New Roman" w:hAnsi="Times New Roman" w:cs="Times New Roman"/>
          <w:b/>
          <w:bCs/>
          <w:color w:val="FF0000"/>
          <w:sz w:val="22"/>
          <w:szCs w:val="24"/>
        </w:rPr>
        <w:t>3</w:t>
      </w:r>
      <w:r w:rsidRPr="00CB7EBA">
        <w:rPr>
          <w:rFonts w:ascii="Times New Roman" w:hAnsi="Times New Roman" w:cs="Times New Roman" w:hint="eastAsia"/>
          <w:b/>
          <w:bCs/>
          <w:color w:val="FF0000"/>
          <w:sz w:val="22"/>
          <w:szCs w:val="24"/>
        </w:rPr>
        <w:t>)</w:t>
      </w:r>
    </w:p>
    <w:p w14:paraId="078B807B" w14:textId="77777777" w:rsidR="007911E2" w:rsidRPr="00CB7EBA" w:rsidRDefault="007911E2" w:rsidP="008359A8">
      <w:pPr>
        <w:rPr>
          <w:rFonts w:ascii="Times New Roman" w:hAnsi="Times New Roman" w:cs="Times New Roman"/>
          <w:sz w:val="22"/>
          <w:szCs w:val="24"/>
        </w:rPr>
      </w:pPr>
    </w:p>
    <w:p w14:paraId="650C7750" w14:textId="2EEF72C2" w:rsidR="007911E2" w:rsidRPr="00CB7EBA" w:rsidRDefault="007911E2" w:rsidP="007911E2">
      <w:pPr>
        <w:rPr>
          <w:rFonts w:ascii="Times New Roman" w:hAnsi="Times New Roman" w:cs="Times New Roman"/>
          <w:b/>
          <w:bCs/>
          <w:sz w:val="22"/>
          <w:szCs w:val="24"/>
        </w:rPr>
      </w:pPr>
      <w:r w:rsidRPr="00CB7EBA">
        <w:rPr>
          <w:rFonts w:ascii="Times New Roman" w:hAnsi="Times New Roman" w:cs="Times New Roman"/>
          <w:b/>
          <w:bCs/>
          <w:sz w:val="22"/>
          <w:szCs w:val="24"/>
        </w:rPr>
        <w:t>We also modified Fig. 1 as shown above:</w:t>
      </w:r>
    </w:p>
    <w:p w14:paraId="7D2C6D43" w14:textId="0F684376" w:rsidR="009A6D71" w:rsidRPr="00CB7EBA" w:rsidRDefault="007911E2" w:rsidP="009A6D71">
      <w:pPr>
        <w:rPr>
          <w:rFonts w:ascii="Times New Roman" w:hAnsi="Times New Roman" w:cs="Times New Roman"/>
          <w:b/>
          <w:bCs/>
          <w:sz w:val="22"/>
          <w:szCs w:val="24"/>
        </w:rPr>
      </w:pPr>
      <w:r w:rsidRPr="00CB7EBA">
        <w:rPr>
          <w:rFonts w:ascii="Times New Roman" w:hAnsi="Times New Roman" w:cs="Times New Roman"/>
          <w:b/>
          <w:bCs/>
          <w:sz w:val="22"/>
          <w:szCs w:val="24"/>
        </w:rPr>
        <w:t>We</w:t>
      </w:r>
      <w:r w:rsidRPr="00CB7EBA">
        <w:rPr>
          <w:rFonts w:ascii="Times New Roman" w:hAnsi="Times New Roman" w:cs="Times New Roman" w:hint="eastAsia"/>
          <w:b/>
          <w:bCs/>
          <w:sz w:val="22"/>
          <w:szCs w:val="24"/>
        </w:rPr>
        <w:t xml:space="preserve"> </w:t>
      </w:r>
      <w:r w:rsidRPr="00CB7EBA">
        <w:rPr>
          <w:rFonts w:ascii="Times New Roman" w:hAnsi="Times New Roman" w:cs="Times New Roman"/>
          <w:b/>
          <w:bCs/>
          <w:sz w:val="22"/>
          <w:szCs w:val="24"/>
        </w:rPr>
        <w:t>tried to make the treatment sequence clearer and added the treatment sequence for the second IVIG.</w:t>
      </w:r>
    </w:p>
    <w:p w14:paraId="5A8FE842" w14:textId="77777777" w:rsidR="004A1264" w:rsidRPr="00CB7EBA" w:rsidRDefault="004A1264" w:rsidP="006C153C">
      <w:pPr>
        <w:rPr>
          <w:rFonts w:ascii="Times New Roman" w:hAnsi="Times New Roman" w:cs="Times New Roman"/>
          <w:sz w:val="22"/>
          <w:szCs w:val="24"/>
        </w:rPr>
      </w:pPr>
    </w:p>
    <w:p w14:paraId="12631F9D" w14:textId="7EC0C258" w:rsidR="006C153C" w:rsidRPr="00CB7EBA" w:rsidRDefault="006C153C" w:rsidP="006C153C">
      <w:pPr>
        <w:rPr>
          <w:rFonts w:ascii="Times New Roman" w:hAnsi="Times New Roman" w:cs="Times New Roman"/>
          <w:i/>
          <w:iCs/>
          <w:sz w:val="22"/>
          <w:szCs w:val="24"/>
        </w:rPr>
      </w:pPr>
      <w:r w:rsidRPr="00CB7EBA">
        <w:rPr>
          <w:rFonts w:ascii="Times New Roman" w:hAnsi="Times New Roman" w:cs="Times New Roman"/>
          <w:i/>
          <w:iCs/>
          <w:sz w:val="22"/>
          <w:szCs w:val="24"/>
        </w:rPr>
        <w:t>Please state how long the fever lasted before diagnosis was made.</w:t>
      </w:r>
    </w:p>
    <w:p w14:paraId="2BB10799" w14:textId="77777777" w:rsidR="004A1264" w:rsidRPr="00CB7EBA" w:rsidRDefault="004A1264" w:rsidP="004A1264">
      <w:pPr>
        <w:rPr>
          <w:rFonts w:ascii="Times New Roman" w:hAnsi="Times New Roman" w:cs="Times New Roman"/>
          <w:b/>
          <w:bCs/>
          <w:sz w:val="22"/>
          <w:szCs w:val="24"/>
        </w:rPr>
      </w:pPr>
      <w:r w:rsidRPr="00CB7EBA">
        <w:rPr>
          <w:rFonts w:ascii="Times New Roman" w:hAnsi="Times New Roman" w:cs="Times New Roman"/>
          <w:b/>
          <w:bCs/>
          <w:sz w:val="22"/>
          <w:szCs w:val="24"/>
        </w:rPr>
        <w:t>Response:</w:t>
      </w:r>
    </w:p>
    <w:p w14:paraId="3C065A59" w14:textId="2E0DB62E" w:rsidR="00972B74" w:rsidRPr="00CB7EBA" w:rsidRDefault="00972B74" w:rsidP="004A1264">
      <w:pPr>
        <w:rPr>
          <w:rFonts w:ascii="Times New Roman" w:hAnsi="Times New Roman" w:cs="Times New Roman"/>
          <w:b/>
          <w:bCs/>
          <w:sz w:val="22"/>
          <w:szCs w:val="24"/>
        </w:rPr>
      </w:pPr>
      <w:r w:rsidRPr="00CB7EBA">
        <w:rPr>
          <w:rFonts w:ascii="Times New Roman" w:hAnsi="Times New Roman" w:cs="Times New Roman"/>
          <w:b/>
          <w:bCs/>
          <w:sz w:val="22"/>
          <w:szCs w:val="24"/>
        </w:rPr>
        <w:t xml:space="preserve">Thank you for your question about the </w:t>
      </w:r>
      <w:r w:rsidR="00463AAD" w:rsidRPr="00CB7EBA">
        <w:rPr>
          <w:rFonts w:ascii="Times New Roman" w:hAnsi="Times New Roman" w:cs="Times New Roman"/>
          <w:b/>
          <w:bCs/>
          <w:sz w:val="22"/>
          <w:szCs w:val="24"/>
        </w:rPr>
        <w:t>fe</w:t>
      </w:r>
      <w:r w:rsidR="00463AAD" w:rsidRPr="00CB7EBA">
        <w:rPr>
          <w:rFonts w:ascii="Times New Roman" w:hAnsi="Times New Roman" w:cs="Times New Roman" w:hint="eastAsia"/>
          <w:b/>
          <w:bCs/>
          <w:sz w:val="22"/>
          <w:szCs w:val="24"/>
        </w:rPr>
        <w:t>brile</w:t>
      </w:r>
      <w:r w:rsidR="00463AAD" w:rsidRPr="00CB7EBA">
        <w:rPr>
          <w:rFonts w:ascii="Times New Roman" w:hAnsi="Times New Roman" w:cs="Times New Roman"/>
          <w:b/>
          <w:bCs/>
          <w:sz w:val="22"/>
          <w:szCs w:val="24"/>
        </w:rPr>
        <w:t xml:space="preserve"> </w:t>
      </w:r>
      <w:r w:rsidRPr="00CB7EBA">
        <w:rPr>
          <w:rFonts w:ascii="Times New Roman" w:hAnsi="Times New Roman" w:cs="Times New Roman"/>
          <w:b/>
          <w:bCs/>
          <w:sz w:val="22"/>
          <w:szCs w:val="24"/>
        </w:rPr>
        <w:t xml:space="preserve">duration before diagnosis. </w:t>
      </w:r>
      <w:r w:rsidR="0042597B" w:rsidRPr="00CB7EBA">
        <w:rPr>
          <w:rFonts w:ascii="Times New Roman" w:hAnsi="Times New Roman" w:cs="Times New Roman"/>
          <w:b/>
          <w:bCs/>
          <w:sz w:val="22"/>
          <w:szCs w:val="24"/>
        </w:rPr>
        <w:t xml:space="preserve">The </w:t>
      </w:r>
      <w:r w:rsidRPr="00CB7EBA">
        <w:rPr>
          <w:rFonts w:ascii="Times New Roman" w:hAnsi="Times New Roman" w:cs="Times New Roman"/>
          <w:b/>
          <w:bCs/>
          <w:sz w:val="22"/>
          <w:szCs w:val="24"/>
        </w:rPr>
        <w:t xml:space="preserve">median </w:t>
      </w:r>
      <w:r w:rsidR="00463AAD" w:rsidRPr="00CB7EBA">
        <w:rPr>
          <w:rFonts w:ascii="Times New Roman" w:hAnsi="Times New Roman" w:cs="Times New Roman"/>
          <w:b/>
          <w:bCs/>
          <w:sz w:val="22"/>
          <w:szCs w:val="24"/>
        </w:rPr>
        <w:t>fe</w:t>
      </w:r>
      <w:r w:rsidR="00463AAD" w:rsidRPr="00CB7EBA">
        <w:rPr>
          <w:rFonts w:ascii="Times New Roman" w:hAnsi="Times New Roman" w:cs="Times New Roman" w:hint="eastAsia"/>
          <w:b/>
          <w:bCs/>
          <w:sz w:val="22"/>
          <w:szCs w:val="24"/>
        </w:rPr>
        <w:t>brile</w:t>
      </w:r>
      <w:r w:rsidRPr="00CB7EBA">
        <w:rPr>
          <w:rFonts w:ascii="Times New Roman" w:hAnsi="Times New Roman" w:cs="Times New Roman"/>
          <w:b/>
          <w:bCs/>
          <w:sz w:val="22"/>
          <w:szCs w:val="24"/>
        </w:rPr>
        <w:t xml:space="preserve"> duration was</w:t>
      </w:r>
      <w:r w:rsidR="009E0250" w:rsidRPr="00CB7EBA">
        <w:rPr>
          <w:rFonts w:ascii="Times New Roman" w:hAnsi="Times New Roman" w:cs="Times New Roman"/>
          <w:b/>
          <w:bCs/>
          <w:sz w:val="22"/>
          <w:szCs w:val="24"/>
        </w:rPr>
        <w:t xml:space="preserve"> 4 days (range </w:t>
      </w:r>
      <w:r w:rsidR="00254588" w:rsidRPr="00CB7EBA">
        <w:rPr>
          <w:rFonts w:ascii="Times New Roman" w:hAnsi="Times New Roman" w:cs="Times New Roman"/>
          <w:b/>
          <w:bCs/>
          <w:sz w:val="22"/>
          <w:szCs w:val="24"/>
        </w:rPr>
        <w:t>2</w:t>
      </w:r>
      <w:r w:rsidR="009E0250" w:rsidRPr="00CB7EBA">
        <w:rPr>
          <w:rFonts w:ascii="Times New Roman" w:hAnsi="Times New Roman" w:cs="Times New Roman"/>
          <w:b/>
          <w:bCs/>
          <w:sz w:val="22"/>
          <w:szCs w:val="24"/>
        </w:rPr>
        <w:t>–</w:t>
      </w:r>
      <w:r w:rsidR="00254588" w:rsidRPr="00CB7EBA">
        <w:rPr>
          <w:rFonts w:ascii="Times New Roman" w:hAnsi="Times New Roman" w:cs="Times New Roman"/>
          <w:b/>
          <w:bCs/>
          <w:sz w:val="22"/>
          <w:szCs w:val="24"/>
        </w:rPr>
        <w:t>6</w:t>
      </w:r>
      <w:r w:rsidR="00511E8F" w:rsidRPr="00CB7EBA">
        <w:rPr>
          <w:rFonts w:ascii="Times New Roman" w:hAnsi="Times New Roman" w:cs="Times New Roman"/>
          <w:b/>
          <w:bCs/>
          <w:sz w:val="22"/>
          <w:szCs w:val="24"/>
        </w:rPr>
        <w:t>)</w:t>
      </w:r>
      <w:r w:rsidRPr="00CB7EBA">
        <w:rPr>
          <w:rFonts w:ascii="Times New Roman" w:hAnsi="Times New Roman" w:cs="Times New Roman"/>
          <w:b/>
          <w:bCs/>
          <w:sz w:val="22"/>
          <w:szCs w:val="24"/>
        </w:rPr>
        <w:t xml:space="preserve"> </w:t>
      </w:r>
      <w:r w:rsidR="00511E8F" w:rsidRPr="00CB7EBA">
        <w:rPr>
          <w:rFonts w:ascii="Times New Roman" w:hAnsi="Times New Roman" w:cs="Times New Roman"/>
          <w:b/>
          <w:bCs/>
          <w:sz w:val="22"/>
          <w:szCs w:val="24"/>
        </w:rPr>
        <w:t xml:space="preserve">in the </w:t>
      </w:r>
      <w:r w:rsidR="00511E8F" w:rsidRPr="00CB7EBA">
        <w:rPr>
          <w:rFonts w:ascii="Times New Roman" w:eastAsia="ＭＳ Ｐゴシック" w:hAnsi="Times New Roman" w:cs="Times New Roman"/>
          <w:b/>
          <w:kern w:val="0"/>
          <w:sz w:val="20"/>
          <w:szCs w:val="20"/>
        </w:rPr>
        <w:t>IVIG-</w:t>
      </w:r>
      <w:r w:rsidR="00511E8F" w:rsidRPr="00CB7EBA">
        <w:rPr>
          <w:rFonts w:ascii="Times New Roman" w:eastAsia="ＭＳ Ｐゴシック" w:hAnsi="Times New Roman" w:cs="Times New Roman"/>
          <w:b/>
          <w:kern w:val="0"/>
          <w:sz w:val="22"/>
        </w:rPr>
        <w:t>after-IFX group</w:t>
      </w:r>
      <w:r w:rsidR="00511E8F" w:rsidRPr="00CB7EBA">
        <w:rPr>
          <w:rFonts w:ascii="Times New Roman" w:hAnsi="Times New Roman" w:cs="Times New Roman"/>
          <w:b/>
          <w:bCs/>
          <w:sz w:val="22"/>
          <w:szCs w:val="24"/>
        </w:rPr>
        <w:t xml:space="preserve"> </w:t>
      </w:r>
      <w:r w:rsidRPr="00CB7EBA">
        <w:rPr>
          <w:rFonts w:ascii="Times New Roman" w:hAnsi="Times New Roman" w:cs="Times New Roman"/>
          <w:b/>
          <w:bCs/>
          <w:sz w:val="22"/>
          <w:szCs w:val="24"/>
        </w:rPr>
        <w:t xml:space="preserve">before the diagnosis of </w:t>
      </w:r>
      <w:r w:rsidR="0085134D" w:rsidRPr="00CB7EBA">
        <w:rPr>
          <w:rFonts w:ascii="Times New Roman" w:hAnsi="Times New Roman" w:cs="Times New Roman"/>
          <w:b/>
          <w:bCs/>
          <w:sz w:val="22"/>
          <w:szCs w:val="24"/>
        </w:rPr>
        <w:t>KD</w:t>
      </w:r>
      <w:r w:rsidRPr="00CB7EBA">
        <w:rPr>
          <w:rFonts w:ascii="Times New Roman" w:hAnsi="Times New Roman" w:cs="Times New Roman"/>
          <w:b/>
          <w:bCs/>
          <w:sz w:val="22"/>
          <w:szCs w:val="24"/>
        </w:rPr>
        <w:t xml:space="preserve"> was established.</w:t>
      </w:r>
      <w:r w:rsidR="00256B0B" w:rsidRPr="00CB7EBA">
        <w:rPr>
          <w:rFonts w:ascii="Times New Roman" w:hAnsi="Times New Roman" w:cs="Times New Roman"/>
          <w:b/>
          <w:bCs/>
          <w:sz w:val="22"/>
          <w:szCs w:val="24"/>
        </w:rPr>
        <w:t xml:space="preserve"> It was 5 days (range 2–7) in the second-IVIG group.</w:t>
      </w:r>
    </w:p>
    <w:p w14:paraId="2FE6289E" w14:textId="4CE059FF" w:rsidR="004A1264" w:rsidRPr="00CB7EBA" w:rsidRDefault="004A1264" w:rsidP="006C153C">
      <w:pPr>
        <w:rPr>
          <w:rFonts w:ascii="Times New Roman" w:hAnsi="Times New Roman" w:cs="Times New Roman"/>
          <w:sz w:val="22"/>
          <w:szCs w:val="24"/>
        </w:rPr>
      </w:pPr>
    </w:p>
    <w:p w14:paraId="58CFB0C1" w14:textId="5F12BD61" w:rsidR="008359A8" w:rsidRPr="00CB7EBA" w:rsidRDefault="008359A8" w:rsidP="008359A8">
      <w:pPr>
        <w:rPr>
          <w:rFonts w:ascii="Times New Roman" w:hAnsi="Times New Roman" w:cs="Times New Roman"/>
          <w:b/>
          <w:bCs/>
          <w:sz w:val="22"/>
          <w:szCs w:val="24"/>
        </w:rPr>
      </w:pPr>
      <w:r w:rsidRPr="00CB7EBA">
        <w:rPr>
          <w:rFonts w:ascii="Times New Roman" w:hAnsi="Times New Roman" w:cs="Times New Roman"/>
          <w:b/>
          <w:bCs/>
          <w:sz w:val="22"/>
          <w:szCs w:val="24"/>
        </w:rPr>
        <w:t xml:space="preserve">The following sentence was added </w:t>
      </w:r>
      <w:r w:rsidR="0042597B" w:rsidRPr="00CB7EBA">
        <w:rPr>
          <w:rFonts w:ascii="Times New Roman" w:hAnsi="Times New Roman" w:cs="Times New Roman"/>
          <w:b/>
          <w:bCs/>
          <w:sz w:val="22"/>
          <w:szCs w:val="24"/>
        </w:rPr>
        <w:t xml:space="preserve">to </w:t>
      </w:r>
      <w:r w:rsidRPr="00CB7EBA">
        <w:rPr>
          <w:rFonts w:ascii="Times New Roman" w:hAnsi="Times New Roman" w:cs="Times New Roman"/>
          <w:b/>
          <w:bCs/>
          <w:sz w:val="22"/>
          <w:szCs w:val="24"/>
        </w:rPr>
        <w:t xml:space="preserve">the </w:t>
      </w:r>
      <w:r w:rsidR="00511E8F" w:rsidRPr="00CB7EBA">
        <w:rPr>
          <w:rFonts w:ascii="Times New Roman" w:hAnsi="Times New Roman" w:cs="Times New Roman"/>
          <w:b/>
          <w:bCs/>
          <w:sz w:val="22"/>
          <w:szCs w:val="24"/>
        </w:rPr>
        <w:t>Results</w:t>
      </w:r>
      <w:r w:rsidRPr="00CB7EBA">
        <w:rPr>
          <w:rFonts w:ascii="Times New Roman" w:hAnsi="Times New Roman" w:cs="Times New Roman"/>
          <w:b/>
          <w:bCs/>
          <w:sz w:val="22"/>
          <w:szCs w:val="24"/>
        </w:rPr>
        <w:t xml:space="preserve"> section:</w:t>
      </w:r>
    </w:p>
    <w:p w14:paraId="0A9A3429" w14:textId="6CF814B1" w:rsidR="008359A8" w:rsidRPr="00CB7EBA" w:rsidRDefault="008359A8" w:rsidP="006C153C">
      <w:pPr>
        <w:rPr>
          <w:rFonts w:ascii="Times New Roman" w:hAnsi="Times New Roman" w:cs="Times New Roman"/>
          <w:color w:val="FF0000"/>
          <w:sz w:val="22"/>
          <w:szCs w:val="24"/>
        </w:rPr>
      </w:pPr>
      <w:r w:rsidRPr="00CB7EBA">
        <w:rPr>
          <w:rFonts w:ascii="Times New Roman" w:hAnsi="Times New Roman" w:cs="Times New Roman"/>
          <w:b/>
          <w:bCs/>
          <w:color w:val="FF0000"/>
          <w:sz w:val="22"/>
          <w:szCs w:val="24"/>
        </w:rPr>
        <w:t>“</w:t>
      </w:r>
      <w:r w:rsidR="0042597B" w:rsidRPr="00CB7EBA">
        <w:rPr>
          <w:rFonts w:ascii="Times New Roman" w:hAnsi="Times New Roman" w:cs="Times New Roman"/>
          <w:b/>
          <w:bCs/>
          <w:color w:val="FF0000"/>
          <w:sz w:val="22"/>
          <w:szCs w:val="24"/>
        </w:rPr>
        <w:t xml:space="preserve">The </w:t>
      </w:r>
      <w:r w:rsidR="00F35CF8" w:rsidRPr="00CB7EBA">
        <w:rPr>
          <w:rFonts w:ascii="Times New Roman" w:hAnsi="Times New Roman" w:cs="Times New Roman"/>
          <w:b/>
          <w:bCs/>
          <w:color w:val="FF0000"/>
          <w:sz w:val="22"/>
          <w:szCs w:val="24"/>
        </w:rPr>
        <w:t xml:space="preserve">median fever duration was 4 days (range </w:t>
      </w:r>
      <w:r w:rsidR="00254588" w:rsidRPr="00CB7EBA">
        <w:rPr>
          <w:rFonts w:ascii="Times New Roman" w:hAnsi="Times New Roman" w:cs="Times New Roman"/>
          <w:b/>
          <w:bCs/>
          <w:color w:val="FF0000"/>
          <w:sz w:val="22"/>
          <w:szCs w:val="24"/>
        </w:rPr>
        <w:t>2</w:t>
      </w:r>
      <w:r w:rsidR="00F35CF8" w:rsidRPr="00CB7EBA">
        <w:rPr>
          <w:rFonts w:ascii="Times New Roman" w:hAnsi="Times New Roman" w:cs="Times New Roman"/>
          <w:b/>
          <w:bCs/>
          <w:color w:val="FF0000"/>
          <w:sz w:val="22"/>
          <w:szCs w:val="24"/>
        </w:rPr>
        <w:t>–</w:t>
      </w:r>
      <w:r w:rsidR="00254588" w:rsidRPr="00CB7EBA">
        <w:rPr>
          <w:rFonts w:ascii="Times New Roman" w:hAnsi="Times New Roman" w:cs="Times New Roman"/>
          <w:b/>
          <w:bCs/>
          <w:color w:val="FF0000"/>
          <w:sz w:val="22"/>
          <w:szCs w:val="24"/>
        </w:rPr>
        <w:t>6</w:t>
      </w:r>
      <w:r w:rsidR="00F35CF8" w:rsidRPr="00CB7EBA">
        <w:rPr>
          <w:rFonts w:ascii="Times New Roman" w:hAnsi="Times New Roman" w:cs="Times New Roman"/>
          <w:b/>
          <w:bCs/>
          <w:color w:val="FF0000"/>
          <w:sz w:val="22"/>
          <w:szCs w:val="24"/>
        </w:rPr>
        <w:t>) before the diagnosis of KD was established.</w:t>
      </w:r>
      <w:r w:rsidRPr="00CB7EBA">
        <w:rPr>
          <w:rFonts w:ascii="Times New Roman" w:hAnsi="Times New Roman" w:cs="Times New Roman"/>
          <w:b/>
          <w:bCs/>
          <w:color w:val="FF0000"/>
          <w:sz w:val="22"/>
          <w:szCs w:val="24"/>
        </w:rPr>
        <w:t>”</w:t>
      </w:r>
      <w:r w:rsidR="00463AAD" w:rsidRPr="00CB7EBA">
        <w:rPr>
          <w:rFonts w:ascii="Times New Roman" w:hAnsi="Times New Roman" w:cs="Times New Roman" w:hint="eastAsia"/>
          <w:b/>
          <w:bCs/>
          <w:color w:val="FF0000"/>
          <w:sz w:val="22"/>
          <w:szCs w:val="24"/>
        </w:rPr>
        <w:t xml:space="preserve"> (Page 6, Lines 22</w:t>
      </w:r>
      <w:r w:rsidR="00463AAD" w:rsidRPr="00CB7EBA">
        <w:rPr>
          <w:rFonts w:ascii="Times New Roman" w:hAnsi="Times New Roman" w:cs="Times New Roman"/>
          <w:b/>
          <w:bCs/>
          <w:color w:val="FF0000"/>
          <w:sz w:val="22"/>
          <w:szCs w:val="24"/>
        </w:rPr>
        <w:t>–2</w:t>
      </w:r>
      <w:r w:rsidR="00463AAD" w:rsidRPr="00CB7EBA">
        <w:rPr>
          <w:rFonts w:ascii="Times New Roman" w:hAnsi="Times New Roman" w:cs="Times New Roman" w:hint="eastAsia"/>
          <w:b/>
          <w:bCs/>
          <w:color w:val="FF0000"/>
          <w:sz w:val="22"/>
          <w:szCs w:val="24"/>
        </w:rPr>
        <w:t>3)</w:t>
      </w:r>
    </w:p>
    <w:p w14:paraId="4CCB43F6" w14:textId="274A21F5" w:rsidR="00DB710A" w:rsidRPr="00CB7EBA" w:rsidRDefault="00256B0B" w:rsidP="008A0C9F">
      <w:pPr>
        <w:rPr>
          <w:rFonts w:ascii="Times New Roman" w:hAnsi="Times New Roman" w:cs="Times New Roman"/>
          <w:b/>
          <w:bCs/>
          <w:sz w:val="22"/>
          <w:szCs w:val="24"/>
        </w:rPr>
      </w:pPr>
      <w:r w:rsidRPr="00CB7EBA">
        <w:rPr>
          <w:rFonts w:ascii="Times New Roman" w:hAnsi="Times New Roman" w:cs="Times New Roman"/>
          <w:b/>
          <w:bCs/>
          <w:sz w:val="22"/>
          <w:szCs w:val="24"/>
        </w:rPr>
        <w:t>We also added the information to Table 1.</w:t>
      </w:r>
    </w:p>
    <w:p w14:paraId="72F047D9" w14:textId="77777777" w:rsidR="00A12B96" w:rsidRPr="00CB7EBA" w:rsidRDefault="00A12B96" w:rsidP="008A0C9F">
      <w:pPr>
        <w:rPr>
          <w:rFonts w:ascii="Times New Roman" w:hAnsi="Times New Roman" w:cs="Times New Roman"/>
          <w:sz w:val="22"/>
          <w:szCs w:val="24"/>
        </w:rPr>
      </w:pPr>
    </w:p>
    <w:p w14:paraId="30E0EE0A" w14:textId="7B941CBB"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Sincerely,</w:t>
      </w:r>
    </w:p>
    <w:p w14:paraId="4A872BAE" w14:textId="77777777" w:rsidR="00463AAD" w:rsidRPr="00CB7EBA" w:rsidRDefault="00463AAD" w:rsidP="0099097D">
      <w:pPr>
        <w:rPr>
          <w:rFonts w:ascii="Times New Roman" w:hAnsi="Times New Roman" w:cs="Times New Roman"/>
          <w:sz w:val="22"/>
          <w:szCs w:val="24"/>
        </w:rPr>
      </w:pPr>
    </w:p>
    <w:p w14:paraId="4018C62E"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Hiro Nakao, MD, MPH</w:t>
      </w:r>
    </w:p>
    <w:p w14:paraId="1177B6AB" w14:textId="77777777" w:rsidR="0099097D" w:rsidRPr="00CB7EBA" w:rsidRDefault="0099097D" w:rsidP="0099097D">
      <w:pPr>
        <w:rPr>
          <w:rFonts w:ascii="Times New Roman" w:hAnsi="Times New Roman" w:cs="Times New Roman"/>
          <w:sz w:val="22"/>
          <w:szCs w:val="24"/>
        </w:rPr>
      </w:pPr>
    </w:p>
    <w:p w14:paraId="38A77D70"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National Center for Child Health and Development</w:t>
      </w:r>
    </w:p>
    <w:p w14:paraId="0C83F7D3"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2-10-1 Okura, Setagaya-ku, Tokyo 157-8535, Japan</w:t>
      </w:r>
    </w:p>
    <w:p w14:paraId="3DC70DBA"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Tel.: +81-3-3416-0181</w:t>
      </w:r>
    </w:p>
    <w:p w14:paraId="18667BA1"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Fax: +81-3-3416-2222</w:t>
      </w:r>
    </w:p>
    <w:p w14:paraId="443DF01D" w14:textId="043EBE12" w:rsidR="0099097D" w:rsidRPr="0099097D" w:rsidRDefault="0099097D" w:rsidP="008A0C9F">
      <w:pPr>
        <w:rPr>
          <w:rFonts w:ascii="Times New Roman" w:hAnsi="Times New Roman" w:cs="Times New Roman"/>
          <w:sz w:val="22"/>
          <w:szCs w:val="24"/>
        </w:rPr>
      </w:pPr>
      <w:r w:rsidRPr="00CB7EBA">
        <w:rPr>
          <w:rFonts w:ascii="Times New Roman" w:hAnsi="Times New Roman" w:cs="Times New Roman"/>
          <w:sz w:val="22"/>
          <w:szCs w:val="24"/>
        </w:rPr>
        <w:t>Email: nakao-h@ncchd.go.jp</w:t>
      </w:r>
    </w:p>
    <w:sectPr w:rsidR="0099097D" w:rsidRPr="0099097D">
      <w:footerReference w:type="even"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4556" w14:textId="77777777" w:rsidR="00F24BCB" w:rsidRDefault="00F24BCB" w:rsidP="0031713B">
      <w:r>
        <w:separator/>
      </w:r>
    </w:p>
  </w:endnote>
  <w:endnote w:type="continuationSeparator" w:id="0">
    <w:p w14:paraId="5401F5D2" w14:textId="77777777" w:rsidR="00F24BCB" w:rsidRDefault="00F24BCB" w:rsidP="0031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590654603"/>
      <w:docPartObj>
        <w:docPartGallery w:val="Page Numbers (Bottom of Page)"/>
        <w:docPartUnique/>
      </w:docPartObj>
    </w:sdtPr>
    <w:sdtContent>
      <w:p w14:paraId="3E4530DA" w14:textId="01E7D0AD" w:rsidR="00066D46" w:rsidRDefault="00066D46" w:rsidP="00C33029">
        <w:pPr>
          <w:pStyle w:val="a5"/>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7AAC47A3" w14:textId="77777777" w:rsidR="00066D46" w:rsidRDefault="00066D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12445297"/>
      <w:docPartObj>
        <w:docPartGallery w:val="Page Numbers (Bottom of Page)"/>
        <w:docPartUnique/>
      </w:docPartObj>
    </w:sdtPr>
    <w:sdtEndPr>
      <w:rPr>
        <w:rStyle w:val="af0"/>
      </w:rPr>
    </w:sdtEndPr>
    <w:sdtContent>
      <w:p w14:paraId="382443D5" w14:textId="3B3768B7" w:rsidR="00066D46" w:rsidRPr="00580A4C" w:rsidRDefault="00066D46" w:rsidP="00C33029">
        <w:pPr>
          <w:pStyle w:val="a5"/>
          <w:framePr w:wrap="none" w:vAnchor="text" w:hAnchor="margin" w:xAlign="center" w:y="1"/>
          <w:rPr>
            <w:rStyle w:val="af0"/>
          </w:rPr>
        </w:pPr>
        <w:r w:rsidRPr="00CB7EBA">
          <w:rPr>
            <w:rStyle w:val="af0"/>
          </w:rPr>
          <w:fldChar w:fldCharType="begin"/>
        </w:r>
        <w:r w:rsidRPr="00CB7EBA">
          <w:rPr>
            <w:rStyle w:val="af0"/>
          </w:rPr>
          <w:instrText xml:space="preserve"> PAGE </w:instrText>
        </w:r>
        <w:r w:rsidRPr="00CB7EBA">
          <w:rPr>
            <w:rStyle w:val="af0"/>
          </w:rPr>
          <w:fldChar w:fldCharType="separate"/>
        </w:r>
        <w:r w:rsidRPr="00CB7EBA">
          <w:rPr>
            <w:rStyle w:val="af0"/>
            <w:noProof/>
          </w:rPr>
          <w:t>1</w:t>
        </w:r>
        <w:r w:rsidRPr="00CB7EBA">
          <w:rPr>
            <w:rStyle w:val="af0"/>
          </w:rPr>
          <w:fldChar w:fldCharType="end"/>
        </w:r>
      </w:p>
    </w:sdtContent>
  </w:sdt>
  <w:p w14:paraId="20C81D99" w14:textId="77777777" w:rsidR="00066D46" w:rsidRDefault="00066D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5C290" w14:textId="77777777" w:rsidR="00F24BCB" w:rsidRDefault="00F24BCB" w:rsidP="0031713B">
      <w:r>
        <w:separator/>
      </w:r>
    </w:p>
  </w:footnote>
  <w:footnote w:type="continuationSeparator" w:id="0">
    <w:p w14:paraId="0EBFAD81" w14:textId="77777777" w:rsidR="00F24BCB" w:rsidRDefault="00F24BCB" w:rsidP="003171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F6D80"/>
    <w:multiLevelType w:val="hybridMultilevel"/>
    <w:tmpl w:val="09B0EFE6"/>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63BE3A9B"/>
    <w:multiLevelType w:val="hybridMultilevel"/>
    <w:tmpl w:val="18D055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DE41FC8"/>
    <w:multiLevelType w:val="hybridMultilevel"/>
    <w:tmpl w:val="E02EC2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31249831">
    <w:abstractNumId w:val="2"/>
  </w:num>
  <w:num w:numId="2" w16cid:durableId="1204252289">
    <w:abstractNumId w:val="0"/>
  </w:num>
  <w:num w:numId="3" w16cid:durableId="1932229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A3C"/>
    <w:rsid w:val="000032CC"/>
    <w:rsid w:val="00010FB3"/>
    <w:rsid w:val="00012983"/>
    <w:rsid w:val="000273F5"/>
    <w:rsid w:val="0002789C"/>
    <w:rsid w:val="0005684F"/>
    <w:rsid w:val="00066D46"/>
    <w:rsid w:val="00073D46"/>
    <w:rsid w:val="00076CDF"/>
    <w:rsid w:val="0007794A"/>
    <w:rsid w:val="000A05B3"/>
    <w:rsid w:val="000A1720"/>
    <w:rsid w:val="000A6D3A"/>
    <w:rsid w:val="000A722E"/>
    <w:rsid w:val="000B12A1"/>
    <w:rsid w:val="000C4A9C"/>
    <w:rsid w:val="000E2749"/>
    <w:rsid w:val="000E5911"/>
    <w:rsid w:val="000E750D"/>
    <w:rsid w:val="000F3370"/>
    <w:rsid w:val="000F6F3D"/>
    <w:rsid w:val="00103EA8"/>
    <w:rsid w:val="00124FFB"/>
    <w:rsid w:val="00133BFC"/>
    <w:rsid w:val="001440AC"/>
    <w:rsid w:val="00147E2B"/>
    <w:rsid w:val="00150088"/>
    <w:rsid w:val="00150919"/>
    <w:rsid w:val="00156198"/>
    <w:rsid w:val="00160194"/>
    <w:rsid w:val="00165DD6"/>
    <w:rsid w:val="001736F5"/>
    <w:rsid w:val="00175348"/>
    <w:rsid w:val="00190CA9"/>
    <w:rsid w:val="001962F1"/>
    <w:rsid w:val="001976E9"/>
    <w:rsid w:val="001A6CD4"/>
    <w:rsid w:val="001B2238"/>
    <w:rsid w:val="001B799E"/>
    <w:rsid w:val="001C7D16"/>
    <w:rsid w:val="001E1B6B"/>
    <w:rsid w:val="001F0107"/>
    <w:rsid w:val="00201AD6"/>
    <w:rsid w:val="0022556B"/>
    <w:rsid w:val="00225942"/>
    <w:rsid w:val="00230A89"/>
    <w:rsid w:val="00233F79"/>
    <w:rsid w:val="0023476C"/>
    <w:rsid w:val="002425E5"/>
    <w:rsid w:val="00254588"/>
    <w:rsid w:val="00256B0B"/>
    <w:rsid w:val="002604C2"/>
    <w:rsid w:val="00261F13"/>
    <w:rsid w:val="00266E49"/>
    <w:rsid w:val="00291542"/>
    <w:rsid w:val="002949E3"/>
    <w:rsid w:val="002A3552"/>
    <w:rsid w:val="002A7049"/>
    <w:rsid w:val="002C5F3B"/>
    <w:rsid w:val="002E7359"/>
    <w:rsid w:val="0031173C"/>
    <w:rsid w:val="0031713B"/>
    <w:rsid w:val="00320672"/>
    <w:rsid w:val="00322642"/>
    <w:rsid w:val="00346E89"/>
    <w:rsid w:val="00372C78"/>
    <w:rsid w:val="00394121"/>
    <w:rsid w:val="00396E1B"/>
    <w:rsid w:val="003977CE"/>
    <w:rsid w:val="003B2E7D"/>
    <w:rsid w:val="003C474D"/>
    <w:rsid w:val="003E37A6"/>
    <w:rsid w:val="0040121C"/>
    <w:rsid w:val="00404A5C"/>
    <w:rsid w:val="004106CC"/>
    <w:rsid w:val="00412E82"/>
    <w:rsid w:val="00413019"/>
    <w:rsid w:val="0042597B"/>
    <w:rsid w:val="00427B27"/>
    <w:rsid w:val="00435724"/>
    <w:rsid w:val="0043793E"/>
    <w:rsid w:val="00453893"/>
    <w:rsid w:val="004574CB"/>
    <w:rsid w:val="004601B3"/>
    <w:rsid w:val="00463AAD"/>
    <w:rsid w:val="004841FF"/>
    <w:rsid w:val="0049786C"/>
    <w:rsid w:val="004A0ED0"/>
    <w:rsid w:val="004A1264"/>
    <w:rsid w:val="004C0F9F"/>
    <w:rsid w:val="004E6BCF"/>
    <w:rsid w:val="004F1EF4"/>
    <w:rsid w:val="004F4818"/>
    <w:rsid w:val="00511E8F"/>
    <w:rsid w:val="0051703B"/>
    <w:rsid w:val="00542206"/>
    <w:rsid w:val="0055241A"/>
    <w:rsid w:val="00567514"/>
    <w:rsid w:val="00571795"/>
    <w:rsid w:val="00580209"/>
    <w:rsid w:val="00580A4C"/>
    <w:rsid w:val="00581AB1"/>
    <w:rsid w:val="00586939"/>
    <w:rsid w:val="00587521"/>
    <w:rsid w:val="005916EC"/>
    <w:rsid w:val="00597540"/>
    <w:rsid w:val="005A6D04"/>
    <w:rsid w:val="005B7DAF"/>
    <w:rsid w:val="005C56F7"/>
    <w:rsid w:val="005C7B03"/>
    <w:rsid w:val="005D702C"/>
    <w:rsid w:val="005E22AF"/>
    <w:rsid w:val="005E74A3"/>
    <w:rsid w:val="005F0827"/>
    <w:rsid w:val="005F7601"/>
    <w:rsid w:val="00615833"/>
    <w:rsid w:val="00616D69"/>
    <w:rsid w:val="00624F40"/>
    <w:rsid w:val="0063037C"/>
    <w:rsid w:val="0063077E"/>
    <w:rsid w:val="00633E5E"/>
    <w:rsid w:val="00636F2E"/>
    <w:rsid w:val="0064355E"/>
    <w:rsid w:val="00650F43"/>
    <w:rsid w:val="006573B6"/>
    <w:rsid w:val="00660A07"/>
    <w:rsid w:val="00675108"/>
    <w:rsid w:val="006926D1"/>
    <w:rsid w:val="00693935"/>
    <w:rsid w:val="006A0128"/>
    <w:rsid w:val="006A58DC"/>
    <w:rsid w:val="006C153C"/>
    <w:rsid w:val="006C4BE4"/>
    <w:rsid w:val="006D358B"/>
    <w:rsid w:val="006D5523"/>
    <w:rsid w:val="006F2648"/>
    <w:rsid w:val="00700D9A"/>
    <w:rsid w:val="007068A8"/>
    <w:rsid w:val="00717821"/>
    <w:rsid w:val="00721880"/>
    <w:rsid w:val="007351A7"/>
    <w:rsid w:val="007372BD"/>
    <w:rsid w:val="00742DA3"/>
    <w:rsid w:val="00743D4F"/>
    <w:rsid w:val="00744BD4"/>
    <w:rsid w:val="0075379F"/>
    <w:rsid w:val="00755CCA"/>
    <w:rsid w:val="0076237B"/>
    <w:rsid w:val="007649BF"/>
    <w:rsid w:val="007763D3"/>
    <w:rsid w:val="0077794B"/>
    <w:rsid w:val="00784211"/>
    <w:rsid w:val="007911E2"/>
    <w:rsid w:val="00796396"/>
    <w:rsid w:val="007A00EC"/>
    <w:rsid w:val="007A0CD5"/>
    <w:rsid w:val="007A13EA"/>
    <w:rsid w:val="007A5636"/>
    <w:rsid w:val="007A7D8D"/>
    <w:rsid w:val="007C4759"/>
    <w:rsid w:val="007D49F6"/>
    <w:rsid w:val="007D6BF1"/>
    <w:rsid w:val="007E7A88"/>
    <w:rsid w:val="007F100E"/>
    <w:rsid w:val="00804A0C"/>
    <w:rsid w:val="00813463"/>
    <w:rsid w:val="00817B53"/>
    <w:rsid w:val="008200DD"/>
    <w:rsid w:val="008359A8"/>
    <w:rsid w:val="00844034"/>
    <w:rsid w:val="0085134D"/>
    <w:rsid w:val="008569CC"/>
    <w:rsid w:val="008653FF"/>
    <w:rsid w:val="00867001"/>
    <w:rsid w:val="00867EEF"/>
    <w:rsid w:val="00875A3C"/>
    <w:rsid w:val="00885B6F"/>
    <w:rsid w:val="00891D08"/>
    <w:rsid w:val="008A0C9F"/>
    <w:rsid w:val="008A7EB2"/>
    <w:rsid w:val="008C07B0"/>
    <w:rsid w:val="008C39FF"/>
    <w:rsid w:val="008C63BE"/>
    <w:rsid w:val="008D357A"/>
    <w:rsid w:val="008D5DC8"/>
    <w:rsid w:val="008E5C33"/>
    <w:rsid w:val="008F14FE"/>
    <w:rsid w:val="008F5064"/>
    <w:rsid w:val="008F67B4"/>
    <w:rsid w:val="00904013"/>
    <w:rsid w:val="00942F39"/>
    <w:rsid w:val="00963F3A"/>
    <w:rsid w:val="00970CCF"/>
    <w:rsid w:val="00972B74"/>
    <w:rsid w:val="00974C85"/>
    <w:rsid w:val="0097711A"/>
    <w:rsid w:val="0099097D"/>
    <w:rsid w:val="009941AF"/>
    <w:rsid w:val="009A3286"/>
    <w:rsid w:val="009A6D71"/>
    <w:rsid w:val="009B1D3E"/>
    <w:rsid w:val="009B398D"/>
    <w:rsid w:val="009D2019"/>
    <w:rsid w:val="009E0250"/>
    <w:rsid w:val="00A03210"/>
    <w:rsid w:val="00A04C90"/>
    <w:rsid w:val="00A12B96"/>
    <w:rsid w:val="00A17660"/>
    <w:rsid w:val="00A20645"/>
    <w:rsid w:val="00A23225"/>
    <w:rsid w:val="00A26A54"/>
    <w:rsid w:val="00A4372D"/>
    <w:rsid w:val="00A45641"/>
    <w:rsid w:val="00A460B6"/>
    <w:rsid w:val="00A54207"/>
    <w:rsid w:val="00A54DD7"/>
    <w:rsid w:val="00A57C9E"/>
    <w:rsid w:val="00A628F7"/>
    <w:rsid w:val="00A655E8"/>
    <w:rsid w:val="00A6635F"/>
    <w:rsid w:val="00A7190E"/>
    <w:rsid w:val="00A8181D"/>
    <w:rsid w:val="00A94278"/>
    <w:rsid w:val="00AA186A"/>
    <w:rsid w:val="00AB5F23"/>
    <w:rsid w:val="00AC0BF6"/>
    <w:rsid w:val="00AD56D0"/>
    <w:rsid w:val="00AF7485"/>
    <w:rsid w:val="00B0403D"/>
    <w:rsid w:val="00B1124B"/>
    <w:rsid w:val="00B21EC7"/>
    <w:rsid w:val="00B24437"/>
    <w:rsid w:val="00B3178F"/>
    <w:rsid w:val="00B33BAE"/>
    <w:rsid w:val="00B33F73"/>
    <w:rsid w:val="00B410FA"/>
    <w:rsid w:val="00B42647"/>
    <w:rsid w:val="00B62352"/>
    <w:rsid w:val="00B63EC5"/>
    <w:rsid w:val="00B65A94"/>
    <w:rsid w:val="00B756FD"/>
    <w:rsid w:val="00B76E82"/>
    <w:rsid w:val="00B84C6A"/>
    <w:rsid w:val="00B91DF8"/>
    <w:rsid w:val="00B95CC8"/>
    <w:rsid w:val="00B9692F"/>
    <w:rsid w:val="00B96996"/>
    <w:rsid w:val="00BB3460"/>
    <w:rsid w:val="00BC07DE"/>
    <w:rsid w:val="00BC30BC"/>
    <w:rsid w:val="00BE70D2"/>
    <w:rsid w:val="00BF4DF7"/>
    <w:rsid w:val="00C06EC5"/>
    <w:rsid w:val="00C2132F"/>
    <w:rsid w:val="00C33188"/>
    <w:rsid w:val="00C35867"/>
    <w:rsid w:val="00C35FB4"/>
    <w:rsid w:val="00C360F0"/>
    <w:rsid w:val="00C45AC2"/>
    <w:rsid w:val="00C52CE8"/>
    <w:rsid w:val="00C56630"/>
    <w:rsid w:val="00C73D79"/>
    <w:rsid w:val="00C97E86"/>
    <w:rsid w:val="00CA0993"/>
    <w:rsid w:val="00CA2070"/>
    <w:rsid w:val="00CA70AA"/>
    <w:rsid w:val="00CB0306"/>
    <w:rsid w:val="00CB7BBD"/>
    <w:rsid w:val="00CB7EBA"/>
    <w:rsid w:val="00CC0ED6"/>
    <w:rsid w:val="00CD00A5"/>
    <w:rsid w:val="00CD645F"/>
    <w:rsid w:val="00CD6B6B"/>
    <w:rsid w:val="00CD745C"/>
    <w:rsid w:val="00CE1B0C"/>
    <w:rsid w:val="00CE41A7"/>
    <w:rsid w:val="00D01593"/>
    <w:rsid w:val="00D04FE6"/>
    <w:rsid w:val="00D06F73"/>
    <w:rsid w:val="00D222BF"/>
    <w:rsid w:val="00D27394"/>
    <w:rsid w:val="00D356A5"/>
    <w:rsid w:val="00D37681"/>
    <w:rsid w:val="00D467C8"/>
    <w:rsid w:val="00D47FBE"/>
    <w:rsid w:val="00D50D91"/>
    <w:rsid w:val="00D6325E"/>
    <w:rsid w:val="00D86281"/>
    <w:rsid w:val="00D95B74"/>
    <w:rsid w:val="00DB128C"/>
    <w:rsid w:val="00DB16B8"/>
    <w:rsid w:val="00DB690B"/>
    <w:rsid w:val="00DB710A"/>
    <w:rsid w:val="00DB7D7E"/>
    <w:rsid w:val="00DC0BA4"/>
    <w:rsid w:val="00DC2160"/>
    <w:rsid w:val="00DC50F9"/>
    <w:rsid w:val="00DC5D9C"/>
    <w:rsid w:val="00DC728F"/>
    <w:rsid w:val="00DC72EC"/>
    <w:rsid w:val="00DC7768"/>
    <w:rsid w:val="00DD75B9"/>
    <w:rsid w:val="00DE1F34"/>
    <w:rsid w:val="00DE4876"/>
    <w:rsid w:val="00E01B68"/>
    <w:rsid w:val="00E30471"/>
    <w:rsid w:val="00E32380"/>
    <w:rsid w:val="00E4555E"/>
    <w:rsid w:val="00E47B0C"/>
    <w:rsid w:val="00E537A8"/>
    <w:rsid w:val="00E56A8B"/>
    <w:rsid w:val="00E57349"/>
    <w:rsid w:val="00E66F91"/>
    <w:rsid w:val="00E8421A"/>
    <w:rsid w:val="00E91430"/>
    <w:rsid w:val="00EA7351"/>
    <w:rsid w:val="00EC5F65"/>
    <w:rsid w:val="00ED3B30"/>
    <w:rsid w:val="00EE745F"/>
    <w:rsid w:val="00F12592"/>
    <w:rsid w:val="00F2261F"/>
    <w:rsid w:val="00F24BCB"/>
    <w:rsid w:val="00F35CF8"/>
    <w:rsid w:val="00F42243"/>
    <w:rsid w:val="00F42582"/>
    <w:rsid w:val="00F4753A"/>
    <w:rsid w:val="00F53C17"/>
    <w:rsid w:val="00F55CCE"/>
    <w:rsid w:val="00F70197"/>
    <w:rsid w:val="00F77AA0"/>
    <w:rsid w:val="00F90090"/>
    <w:rsid w:val="00F927DC"/>
    <w:rsid w:val="00FA1124"/>
    <w:rsid w:val="00FA214F"/>
    <w:rsid w:val="00FA7835"/>
    <w:rsid w:val="00FC62B9"/>
    <w:rsid w:val="00FC6540"/>
    <w:rsid w:val="00FF2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96C735"/>
  <w15:chartTrackingRefBased/>
  <w15:docId w15:val="{647EC752-3E0E-4D60-BB82-6173D142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3B"/>
    <w:pPr>
      <w:tabs>
        <w:tab w:val="center" w:pos="4252"/>
        <w:tab w:val="right" w:pos="8504"/>
      </w:tabs>
      <w:snapToGrid w:val="0"/>
    </w:pPr>
  </w:style>
  <w:style w:type="character" w:customStyle="1" w:styleId="a4">
    <w:name w:val="ヘッダー (文字)"/>
    <w:basedOn w:val="a0"/>
    <w:link w:val="a3"/>
    <w:uiPriority w:val="99"/>
    <w:rsid w:val="0031713B"/>
  </w:style>
  <w:style w:type="paragraph" w:styleId="a5">
    <w:name w:val="footer"/>
    <w:basedOn w:val="a"/>
    <w:link w:val="a6"/>
    <w:uiPriority w:val="99"/>
    <w:unhideWhenUsed/>
    <w:rsid w:val="0031713B"/>
    <w:pPr>
      <w:tabs>
        <w:tab w:val="center" w:pos="4252"/>
        <w:tab w:val="right" w:pos="8504"/>
      </w:tabs>
      <w:snapToGrid w:val="0"/>
    </w:pPr>
  </w:style>
  <w:style w:type="character" w:customStyle="1" w:styleId="a6">
    <w:name w:val="フッター (文字)"/>
    <w:basedOn w:val="a0"/>
    <w:link w:val="a5"/>
    <w:uiPriority w:val="99"/>
    <w:rsid w:val="0031713B"/>
  </w:style>
  <w:style w:type="paragraph" w:styleId="a7">
    <w:name w:val="Balloon Text"/>
    <w:basedOn w:val="a"/>
    <w:link w:val="a8"/>
    <w:uiPriority w:val="99"/>
    <w:semiHidden/>
    <w:unhideWhenUsed/>
    <w:rsid w:val="00E914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91430"/>
    <w:rPr>
      <w:rFonts w:asciiTheme="majorHAnsi" w:eastAsiaTheme="majorEastAsia" w:hAnsiTheme="majorHAnsi" w:cstheme="majorBidi"/>
      <w:sz w:val="18"/>
      <w:szCs w:val="18"/>
    </w:rPr>
  </w:style>
  <w:style w:type="character" w:styleId="a9">
    <w:name w:val="annotation reference"/>
    <w:basedOn w:val="a0"/>
    <w:uiPriority w:val="99"/>
    <w:semiHidden/>
    <w:unhideWhenUsed/>
    <w:rsid w:val="00E91430"/>
    <w:rPr>
      <w:sz w:val="18"/>
      <w:szCs w:val="18"/>
    </w:rPr>
  </w:style>
  <w:style w:type="paragraph" w:styleId="aa">
    <w:name w:val="annotation text"/>
    <w:basedOn w:val="a"/>
    <w:link w:val="ab"/>
    <w:uiPriority w:val="99"/>
    <w:unhideWhenUsed/>
    <w:rsid w:val="00E91430"/>
    <w:pPr>
      <w:jc w:val="left"/>
    </w:pPr>
  </w:style>
  <w:style w:type="character" w:customStyle="1" w:styleId="ab">
    <w:name w:val="コメント文字列 (文字)"/>
    <w:basedOn w:val="a0"/>
    <w:link w:val="aa"/>
    <w:uiPriority w:val="99"/>
    <w:rsid w:val="00E91430"/>
  </w:style>
  <w:style w:type="paragraph" w:styleId="ac">
    <w:name w:val="annotation subject"/>
    <w:basedOn w:val="aa"/>
    <w:next w:val="aa"/>
    <w:link w:val="ad"/>
    <w:uiPriority w:val="99"/>
    <w:semiHidden/>
    <w:unhideWhenUsed/>
    <w:rsid w:val="00E91430"/>
    <w:rPr>
      <w:b/>
      <w:bCs/>
    </w:rPr>
  </w:style>
  <w:style w:type="character" w:customStyle="1" w:styleId="ad">
    <w:name w:val="コメント内容 (文字)"/>
    <w:basedOn w:val="ab"/>
    <w:link w:val="ac"/>
    <w:uiPriority w:val="99"/>
    <w:semiHidden/>
    <w:rsid w:val="00E91430"/>
    <w:rPr>
      <w:b/>
      <w:bCs/>
    </w:rPr>
  </w:style>
  <w:style w:type="paragraph" w:styleId="ae">
    <w:name w:val="Revision"/>
    <w:hidden/>
    <w:uiPriority w:val="99"/>
    <w:semiHidden/>
    <w:rsid w:val="00CE41A7"/>
  </w:style>
  <w:style w:type="paragraph" w:styleId="af">
    <w:name w:val="List Paragraph"/>
    <w:basedOn w:val="a"/>
    <w:uiPriority w:val="34"/>
    <w:qFormat/>
    <w:rsid w:val="00963F3A"/>
    <w:pPr>
      <w:ind w:leftChars="400" w:left="840"/>
    </w:pPr>
  </w:style>
  <w:style w:type="character" w:styleId="af0">
    <w:name w:val="page number"/>
    <w:basedOn w:val="a0"/>
    <w:uiPriority w:val="99"/>
    <w:semiHidden/>
    <w:unhideWhenUsed/>
    <w:rsid w:val="00066D46"/>
  </w:style>
  <w:style w:type="character" w:styleId="af1">
    <w:name w:val="Hyperlink"/>
    <w:basedOn w:val="a0"/>
    <w:uiPriority w:val="99"/>
    <w:unhideWhenUsed/>
    <w:rsid w:val="0042597B"/>
    <w:rPr>
      <w:color w:val="0563C1" w:themeColor="hyperlink"/>
      <w:u w:val="single"/>
    </w:rPr>
  </w:style>
  <w:style w:type="character" w:styleId="af2">
    <w:name w:val="Unresolved Mention"/>
    <w:basedOn w:val="a0"/>
    <w:uiPriority w:val="99"/>
    <w:semiHidden/>
    <w:unhideWhenUsed/>
    <w:rsid w:val="00425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70632">
      <w:bodyDiv w:val="1"/>
      <w:marLeft w:val="0"/>
      <w:marRight w:val="0"/>
      <w:marTop w:val="0"/>
      <w:marBottom w:val="0"/>
      <w:divBdr>
        <w:top w:val="none" w:sz="0" w:space="0" w:color="auto"/>
        <w:left w:val="none" w:sz="0" w:space="0" w:color="auto"/>
        <w:bottom w:val="none" w:sz="0" w:space="0" w:color="auto"/>
        <w:right w:val="none" w:sz="0" w:space="0" w:color="auto"/>
      </w:divBdr>
    </w:div>
    <w:div w:id="455149974">
      <w:bodyDiv w:val="1"/>
      <w:marLeft w:val="0"/>
      <w:marRight w:val="0"/>
      <w:marTop w:val="0"/>
      <w:marBottom w:val="0"/>
      <w:divBdr>
        <w:top w:val="none" w:sz="0" w:space="0" w:color="auto"/>
        <w:left w:val="none" w:sz="0" w:space="0" w:color="auto"/>
        <w:bottom w:val="none" w:sz="0" w:space="0" w:color="auto"/>
        <w:right w:val="none" w:sz="0" w:space="0" w:color="auto"/>
      </w:divBdr>
    </w:div>
    <w:div w:id="509949422">
      <w:bodyDiv w:val="1"/>
      <w:marLeft w:val="0"/>
      <w:marRight w:val="0"/>
      <w:marTop w:val="0"/>
      <w:marBottom w:val="0"/>
      <w:divBdr>
        <w:top w:val="none" w:sz="0" w:space="0" w:color="auto"/>
        <w:left w:val="none" w:sz="0" w:space="0" w:color="auto"/>
        <w:bottom w:val="none" w:sz="0" w:space="0" w:color="auto"/>
        <w:right w:val="none" w:sz="0" w:space="0" w:color="auto"/>
      </w:divBdr>
    </w:div>
    <w:div w:id="966818498">
      <w:bodyDiv w:val="1"/>
      <w:marLeft w:val="0"/>
      <w:marRight w:val="0"/>
      <w:marTop w:val="0"/>
      <w:marBottom w:val="0"/>
      <w:divBdr>
        <w:top w:val="none" w:sz="0" w:space="0" w:color="auto"/>
        <w:left w:val="none" w:sz="0" w:space="0" w:color="auto"/>
        <w:bottom w:val="none" w:sz="0" w:space="0" w:color="auto"/>
        <w:right w:val="none" w:sz="0" w:space="0" w:color="auto"/>
      </w:divBdr>
      <w:divsChild>
        <w:div w:id="2146963782">
          <w:marLeft w:val="0"/>
          <w:marRight w:val="0"/>
          <w:marTop w:val="0"/>
          <w:marBottom w:val="0"/>
          <w:divBdr>
            <w:top w:val="none" w:sz="0" w:space="0" w:color="auto"/>
            <w:left w:val="none" w:sz="0" w:space="0" w:color="auto"/>
            <w:bottom w:val="none" w:sz="0" w:space="0" w:color="auto"/>
            <w:right w:val="none" w:sz="0" w:space="0" w:color="auto"/>
          </w:divBdr>
          <w:divsChild>
            <w:div w:id="846138305">
              <w:marLeft w:val="0"/>
              <w:marRight w:val="0"/>
              <w:marTop w:val="0"/>
              <w:marBottom w:val="0"/>
              <w:divBdr>
                <w:top w:val="none" w:sz="0" w:space="0" w:color="auto"/>
                <w:left w:val="none" w:sz="0" w:space="0" w:color="auto"/>
                <w:bottom w:val="none" w:sz="0" w:space="0" w:color="auto"/>
                <w:right w:val="none" w:sz="0" w:space="0" w:color="auto"/>
              </w:divBdr>
              <w:divsChild>
                <w:div w:id="628587673">
                  <w:marLeft w:val="0"/>
                  <w:marRight w:val="0"/>
                  <w:marTop w:val="0"/>
                  <w:marBottom w:val="0"/>
                  <w:divBdr>
                    <w:top w:val="none" w:sz="0" w:space="0" w:color="auto"/>
                    <w:left w:val="none" w:sz="0" w:space="0" w:color="auto"/>
                    <w:bottom w:val="none" w:sz="0" w:space="0" w:color="auto"/>
                    <w:right w:val="none" w:sz="0" w:space="0" w:color="auto"/>
                  </w:divBdr>
                  <w:divsChild>
                    <w:div w:id="1653485228">
                      <w:marLeft w:val="0"/>
                      <w:marRight w:val="0"/>
                      <w:marTop w:val="0"/>
                      <w:marBottom w:val="0"/>
                      <w:divBdr>
                        <w:top w:val="none" w:sz="0" w:space="0" w:color="auto"/>
                        <w:left w:val="none" w:sz="0" w:space="0" w:color="auto"/>
                        <w:bottom w:val="none" w:sz="0" w:space="0" w:color="auto"/>
                        <w:right w:val="none" w:sz="0" w:space="0" w:color="auto"/>
                      </w:divBdr>
                      <w:divsChild>
                        <w:div w:id="1468626358">
                          <w:marLeft w:val="0"/>
                          <w:marRight w:val="0"/>
                          <w:marTop w:val="0"/>
                          <w:marBottom w:val="0"/>
                          <w:divBdr>
                            <w:top w:val="none" w:sz="0" w:space="0" w:color="auto"/>
                            <w:left w:val="none" w:sz="0" w:space="0" w:color="auto"/>
                            <w:bottom w:val="none" w:sz="0" w:space="0" w:color="auto"/>
                            <w:right w:val="none" w:sz="0" w:space="0" w:color="auto"/>
                          </w:divBdr>
                          <w:divsChild>
                            <w:div w:id="234778470">
                              <w:marLeft w:val="0"/>
                              <w:marRight w:val="0"/>
                              <w:marTop w:val="0"/>
                              <w:marBottom w:val="0"/>
                              <w:divBdr>
                                <w:top w:val="none" w:sz="0" w:space="0" w:color="auto"/>
                                <w:left w:val="none" w:sz="0" w:space="0" w:color="auto"/>
                                <w:bottom w:val="none" w:sz="0" w:space="0" w:color="auto"/>
                                <w:right w:val="none" w:sz="0" w:space="0" w:color="auto"/>
                              </w:divBdr>
                              <w:divsChild>
                                <w:div w:id="4654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189842">
                  <w:marLeft w:val="0"/>
                  <w:marRight w:val="0"/>
                  <w:marTop w:val="0"/>
                  <w:marBottom w:val="0"/>
                  <w:divBdr>
                    <w:top w:val="none" w:sz="0" w:space="0" w:color="auto"/>
                    <w:left w:val="none" w:sz="0" w:space="0" w:color="auto"/>
                    <w:bottom w:val="none" w:sz="0" w:space="0" w:color="auto"/>
                    <w:right w:val="none" w:sz="0" w:space="0" w:color="auto"/>
                  </w:divBdr>
                  <w:divsChild>
                    <w:div w:id="952059734">
                      <w:marLeft w:val="0"/>
                      <w:marRight w:val="0"/>
                      <w:marTop w:val="0"/>
                      <w:marBottom w:val="0"/>
                      <w:divBdr>
                        <w:top w:val="none" w:sz="0" w:space="0" w:color="auto"/>
                        <w:left w:val="none" w:sz="0" w:space="0" w:color="auto"/>
                        <w:bottom w:val="none" w:sz="0" w:space="0" w:color="auto"/>
                        <w:right w:val="none" w:sz="0" w:space="0" w:color="auto"/>
                      </w:divBdr>
                      <w:divsChild>
                        <w:div w:id="1790273518">
                          <w:marLeft w:val="0"/>
                          <w:marRight w:val="0"/>
                          <w:marTop w:val="0"/>
                          <w:marBottom w:val="0"/>
                          <w:divBdr>
                            <w:top w:val="none" w:sz="0" w:space="0" w:color="auto"/>
                            <w:left w:val="none" w:sz="0" w:space="0" w:color="auto"/>
                            <w:bottom w:val="none" w:sz="0" w:space="0" w:color="auto"/>
                            <w:right w:val="none" w:sz="0" w:space="0" w:color="auto"/>
                          </w:divBdr>
                          <w:divsChild>
                            <w:div w:id="1874221385">
                              <w:marLeft w:val="0"/>
                              <w:marRight w:val="0"/>
                              <w:marTop w:val="0"/>
                              <w:marBottom w:val="0"/>
                              <w:divBdr>
                                <w:top w:val="none" w:sz="0" w:space="0" w:color="auto"/>
                                <w:left w:val="none" w:sz="0" w:space="0" w:color="auto"/>
                                <w:bottom w:val="none" w:sz="0" w:space="0" w:color="auto"/>
                                <w:right w:val="none" w:sz="0" w:space="0" w:color="auto"/>
                              </w:divBdr>
                              <w:divsChild>
                                <w:div w:id="1916016044">
                                  <w:marLeft w:val="0"/>
                                  <w:marRight w:val="0"/>
                                  <w:marTop w:val="0"/>
                                  <w:marBottom w:val="0"/>
                                  <w:divBdr>
                                    <w:top w:val="none" w:sz="0" w:space="0" w:color="auto"/>
                                    <w:left w:val="none" w:sz="0" w:space="0" w:color="auto"/>
                                    <w:bottom w:val="none" w:sz="0" w:space="0" w:color="auto"/>
                                    <w:right w:val="none" w:sz="0" w:space="0" w:color="auto"/>
                                  </w:divBdr>
                                  <w:divsChild>
                                    <w:div w:id="41670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807010">
      <w:bodyDiv w:val="1"/>
      <w:marLeft w:val="0"/>
      <w:marRight w:val="0"/>
      <w:marTop w:val="0"/>
      <w:marBottom w:val="0"/>
      <w:divBdr>
        <w:top w:val="none" w:sz="0" w:space="0" w:color="auto"/>
        <w:left w:val="none" w:sz="0" w:space="0" w:color="auto"/>
        <w:bottom w:val="none" w:sz="0" w:space="0" w:color="auto"/>
        <w:right w:val="none" w:sz="0" w:space="0" w:color="auto"/>
      </w:divBdr>
    </w:div>
    <w:div w:id="1454443853">
      <w:bodyDiv w:val="1"/>
      <w:marLeft w:val="0"/>
      <w:marRight w:val="0"/>
      <w:marTop w:val="0"/>
      <w:marBottom w:val="0"/>
      <w:divBdr>
        <w:top w:val="none" w:sz="0" w:space="0" w:color="auto"/>
        <w:left w:val="none" w:sz="0" w:space="0" w:color="auto"/>
        <w:bottom w:val="none" w:sz="0" w:space="0" w:color="auto"/>
        <w:right w:val="none" w:sz="0" w:space="0" w:color="auto"/>
      </w:divBdr>
    </w:div>
    <w:div w:id="2070415860">
      <w:bodyDiv w:val="1"/>
      <w:marLeft w:val="0"/>
      <w:marRight w:val="0"/>
      <w:marTop w:val="0"/>
      <w:marBottom w:val="0"/>
      <w:divBdr>
        <w:top w:val="none" w:sz="0" w:space="0" w:color="auto"/>
        <w:left w:val="none" w:sz="0" w:space="0" w:color="auto"/>
        <w:bottom w:val="none" w:sz="0" w:space="0" w:color="auto"/>
        <w:right w:val="none" w:sz="0" w:space="0" w:color="auto"/>
      </w:divBdr>
    </w:div>
    <w:div w:id="210379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436</TotalTime>
  <Pages>7</Pages>
  <Words>1785</Words>
  <Characters>10179</Characters>
  <Application>Microsoft Office Word</Application>
  <DocSecurity>0</DocSecurity>
  <Lines>84</Lines>
  <Paragraphs>23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中尾 寛</dc:creator>
  <cp:keywords/>
  <dc:description/>
  <cp:lastModifiedBy>波多野 智紀</cp:lastModifiedBy>
  <cp:revision>135</cp:revision>
  <dcterms:created xsi:type="dcterms:W3CDTF">2023-09-03T08:30:00Z</dcterms:created>
  <dcterms:modified xsi:type="dcterms:W3CDTF">2025-02-22T14:04:00Z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a57e3912145ef2b6a25cd61b697c5e474804f632a90f8af870df78752ffb1f53</vt:lpwstr>
  </property>
</Properties>
</file>