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D2D60" w14:textId="696FC501" w:rsidR="006C153C" w:rsidRPr="00CB7EBA" w:rsidRDefault="006C153C" w:rsidP="006C153C">
      <w:pPr>
        <w:rPr>
          <w:rFonts w:ascii="Times New Roman" w:hAnsi="Times New Roman" w:cs="Times New Roman"/>
          <w:sz w:val="22"/>
          <w:szCs w:val="24"/>
        </w:rPr>
      </w:pPr>
      <w:r w:rsidRPr="00CB7EBA">
        <w:rPr>
          <w:rFonts w:ascii="Times New Roman" w:hAnsi="Times New Roman" w:cs="Times New Roman"/>
          <w:sz w:val="22"/>
          <w:szCs w:val="24"/>
        </w:rPr>
        <w:t>Professor Angelo Ravelli</w:t>
      </w:r>
    </w:p>
    <w:p w14:paraId="3822AFDD" w14:textId="77777777" w:rsidR="006C153C" w:rsidRPr="00CB7EBA" w:rsidRDefault="006C153C" w:rsidP="006C153C">
      <w:pPr>
        <w:rPr>
          <w:rFonts w:ascii="Times New Roman" w:hAnsi="Times New Roman" w:cs="Times New Roman"/>
          <w:sz w:val="22"/>
          <w:szCs w:val="24"/>
        </w:rPr>
      </w:pPr>
      <w:r w:rsidRPr="00CB7EBA">
        <w:rPr>
          <w:rFonts w:ascii="Times New Roman" w:hAnsi="Times New Roman" w:cs="Times New Roman"/>
          <w:sz w:val="22"/>
          <w:szCs w:val="24"/>
        </w:rPr>
        <w:t>Professor Tadej Avčin</w:t>
      </w:r>
    </w:p>
    <w:p w14:paraId="281E29C6" w14:textId="77777777" w:rsidR="006C153C" w:rsidRPr="00CB7EBA" w:rsidRDefault="006C153C" w:rsidP="006C153C">
      <w:pPr>
        <w:rPr>
          <w:rFonts w:ascii="Times New Roman" w:hAnsi="Times New Roman" w:cs="Times New Roman"/>
          <w:sz w:val="22"/>
          <w:szCs w:val="24"/>
        </w:rPr>
      </w:pPr>
      <w:r w:rsidRPr="00CB7EBA">
        <w:rPr>
          <w:rFonts w:ascii="Times New Roman" w:hAnsi="Times New Roman" w:cs="Times New Roman"/>
          <w:sz w:val="22"/>
          <w:szCs w:val="24"/>
        </w:rPr>
        <w:t xml:space="preserve">Editors-in-Chief, </w:t>
      </w:r>
      <w:r w:rsidRPr="00CB7EBA">
        <w:rPr>
          <w:rFonts w:ascii="Times New Roman" w:hAnsi="Times New Roman" w:cs="Times New Roman"/>
          <w:i/>
          <w:iCs/>
          <w:sz w:val="22"/>
          <w:szCs w:val="24"/>
        </w:rPr>
        <w:t>Pediatric Rheumatology</w:t>
      </w:r>
    </w:p>
    <w:p w14:paraId="2542CB3E" w14:textId="75DB6129" w:rsidR="00CE1B0C" w:rsidRPr="00CB7EBA" w:rsidRDefault="00CE1B0C" w:rsidP="006C153C">
      <w:pPr>
        <w:rPr>
          <w:rFonts w:ascii="Times New Roman" w:hAnsi="Times New Roman" w:cs="Times New Roman"/>
          <w:sz w:val="22"/>
          <w:szCs w:val="24"/>
        </w:rPr>
      </w:pPr>
      <w:r w:rsidRPr="00CB7EBA">
        <w:rPr>
          <w:rFonts w:ascii="Times New Roman" w:hAnsi="Times New Roman" w:cs="Times New Roman"/>
          <w:sz w:val="22"/>
          <w:szCs w:val="24"/>
        </w:rPr>
        <w:t>Professor Christoph Kessel</w:t>
      </w:r>
    </w:p>
    <w:p w14:paraId="7579F12A" w14:textId="0AE5999D" w:rsidR="00CE1B0C" w:rsidRPr="00CB7EBA" w:rsidRDefault="00CE1B0C" w:rsidP="006C153C">
      <w:pPr>
        <w:rPr>
          <w:rFonts w:ascii="Times New Roman" w:hAnsi="Times New Roman" w:cs="Times New Roman"/>
          <w:sz w:val="22"/>
          <w:szCs w:val="24"/>
        </w:rPr>
      </w:pPr>
      <w:r w:rsidRPr="00CB7EBA">
        <w:rPr>
          <w:rFonts w:ascii="Times New Roman" w:hAnsi="Times New Roman" w:cs="Times New Roman"/>
          <w:sz w:val="22"/>
          <w:szCs w:val="24"/>
        </w:rPr>
        <w:t xml:space="preserve">Senior Editor, </w:t>
      </w:r>
      <w:r w:rsidRPr="00CB7EBA">
        <w:rPr>
          <w:rFonts w:ascii="Times New Roman" w:hAnsi="Times New Roman" w:cs="Times New Roman"/>
          <w:i/>
          <w:iCs/>
          <w:sz w:val="22"/>
          <w:szCs w:val="24"/>
        </w:rPr>
        <w:t>Pediatric Rheumatology</w:t>
      </w:r>
    </w:p>
    <w:p w14:paraId="4FF73735" w14:textId="617991F6" w:rsidR="00F12592" w:rsidRPr="00CB7EBA" w:rsidRDefault="002103C5" w:rsidP="006C153C">
      <w:pPr>
        <w:rPr>
          <w:rFonts w:ascii="Times New Roman" w:hAnsi="Times New Roman" w:cs="Times New Roman"/>
          <w:sz w:val="22"/>
          <w:szCs w:val="24"/>
        </w:rPr>
      </w:pPr>
      <w:r>
        <w:rPr>
          <w:rFonts w:ascii="Times New Roman" w:hAnsi="Times New Roman" w:cs="Times New Roman"/>
          <w:sz w:val="22"/>
          <w:szCs w:val="24"/>
        </w:rPr>
        <w:t>April</w:t>
      </w:r>
      <w:r w:rsidR="00CE1B0C" w:rsidRPr="00CB7EBA">
        <w:rPr>
          <w:rFonts w:ascii="Times New Roman" w:hAnsi="Times New Roman" w:cs="Times New Roman"/>
          <w:color w:val="000000" w:themeColor="text1"/>
          <w:sz w:val="22"/>
          <w:szCs w:val="24"/>
        </w:rPr>
        <w:t xml:space="preserve"> </w:t>
      </w:r>
      <w:r>
        <w:rPr>
          <w:rFonts w:ascii="Times New Roman" w:hAnsi="Times New Roman" w:cs="Times New Roman"/>
          <w:color w:val="000000" w:themeColor="text1"/>
          <w:sz w:val="22"/>
          <w:szCs w:val="24"/>
        </w:rPr>
        <w:t>15</w:t>
      </w:r>
      <w:r w:rsidR="00F12592" w:rsidRPr="00CB7EBA">
        <w:rPr>
          <w:rFonts w:ascii="Times New Roman" w:hAnsi="Times New Roman" w:cs="Times New Roman" w:hint="eastAsia"/>
          <w:color w:val="000000" w:themeColor="text1"/>
          <w:sz w:val="22"/>
          <w:szCs w:val="24"/>
        </w:rPr>
        <w:t>,</w:t>
      </w:r>
      <w:r w:rsidR="00F12592" w:rsidRPr="00CB7EBA">
        <w:rPr>
          <w:rFonts w:ascii="Times New Roman" w:hAnsi="Times New Roman" w:cs="Times New Roman"/>
          <w:color w:val="000000" w:themeColor="text1"/>
          <w:sz w:val="22"/>
          <w:szCs w:val="24"/>
        </w:rPr>
        <w:t xml:space="preserve"> 202</w:t>
      </w:r>
      <w:r w:rsidR="00CE1B0C" w:rsidRPr="00CB7EBA">
        <w:rPr>
          <w:rFonts w:ascii="Times New Roman" w:hAnsi="Times New Roman" w:cs="Times New Roman"/>
          <w:sz w:val="22"/>
          <w:szCs w:val="24"/>
        </w:rPr>
        <w:t>5</w:t>
      </w:r>
    </w:p>
    <w:p w14:paraId="5A0DD29B" w14:textId="77777777" w:rsidR="00F12592" w:rsidRPr="00CB7EBA" w:rsidRDefault="00F12592" w:rsidP="00F12592">
      <w:pPr>
        <w:rPr>
          <w:rFonts w:ascii="Times New Roman" w:hAnsi="Times New Roman" w:cs="Times New Roman"/>
          <w:sz w:val="22"/>
          <w:szCs w:val="24"/>
        </w:rPr>
      </w:pPr>
    </w:p>
    <w:p w14:paraId="5F5562CB" w14:textId="29778F59" w:rsidR="00F12592" w:rsidRPr="00CB7EBA" w:rsidRDefault="00F12592" w:rsidP="00F12592">
      <w:pPr>
        <w:rPr>
          <w:rFonts w:ascii="Times New Roman" w:hAnsi="Times New Roman" w:cs="Times New Roman"/>
          <w:sz w:val="22"/>
          <w:szCs w:val="24"/>
        </w:rPr>
      </w:pPr>
      <w:r w:rsidRPr="00CB7EBA">
        <w:rPr>
          <w:rFonts w:ascii="Times New Roman" w:hAnsi="Times New Roman" w:cs="Times New Roman"/>
          <w:sz w:val="22"/>
          <w:szCs w:val="24"/>
        </w:rPr>
        <w:t xml:space="preserve">Dear </w:t>
      </w:r>
      <w:r w:rsidR="006C153C" w:rsidRPr="00CB7EBA">
        <w:rPr>
          <w:rFonts w:ascii="Times New Roman" w:hAnsi="Times New Roman" w:cs="Times New Roman"/>
          <w:sz w:val="22"/>
          <w:szCs w:val="24"/>
        </w:rPr>
        <w:t>Professor Ravelli</w:t>
      </w:r>
      <w:r w:rsidR="00CE1B0C" w:rsidRPr="00CB7EBA">
        <w:rPr>
          <w:rFonts w:ascii="Times New Roman" w:hAnsi="Times New Roman" w:cs="Times New Roman"/>
          <w:sz w:val="22"/>
          <w:szCs w:val="24"/>
        </w:rPr>
        <w:t xml:space="preserve">, </w:t>
      </w:r>
      <w:r w:rsidR="00D86281" w:rsidRPr="00CB7EBA">
        <w:rPr>
          <w:rFonts w:ascii="Times New Roman" w:hAnsi="Times New Roman" w:cs="Times New Roman" w:hint="eastAsia"/>
          <w:sz w:val="22"/>
          <w:szCs w:val="24"/>
        </w:rPr>
        <w:t>Professor</w:t>
      </w:r>
      <w:r w:rsidR="006C153C" w:rsidRPr="00CB7EBA">
        <w:rPr>
          <w:rFonts w:ascii="Times New Roman" w:hAnsi="Times New Roman" w:cs="Times New Roman"/>
          <w:sz w:val="22"/>
          <w:szCs w:val="24"/>
        </w:rPr>
        <w:t xml:space="preserve"> Avčin</w:t>
      </w:r>
      <w:r w:rsidR="00CE1B0C" w:rsidRPr="00CB7EBA">
        <w:rPr>
          <w:rFonts w:ascii="Times New Roman" w:hAnsi="Times New Roman" w:cs="Times New Roman"/>
          <w:sz w:val="22"/>
          <w:szCs w:val="24"/>
        </w:rPr>
        <w:t xml:space="preserve">, and </w:t>
      </w:r>
      <w:r w:rsidR="00D86281" w:rsidRPr="00CB7EBA">
        <w:rPr>
          <w:rFonts w:ascii="Times New Roman" w:hAnsi="Times New Roman" w:cs="Times New Roman" w:hint="eastAsia"/>
          <w:sz w:val="22"/>
          <w:szCs w:val="24"/>
        </w:rPr>
        <w:t>Professor</w:t>
      </w:r>
      <w:r w:rsidR="00CE1B0C" w:rsidRPr="00CB7EBA">
        <w:rPr>
          <w:rFonts w:ascii="Times New Roman" w:hAnsi="Times New Roman" w:cs="Times New Roman"/>
          <w:sz w:val="22"/>
          <w:szCs w:val="24"/>
        </w:rPr>
        <w:t xml:space="preserve"> Kessel</w:t>
      </w:r>
      <w:r w:rsidRPr="00CB7EBA">
        <w:rPr>
          <w:rFonts w:ascii="Times New Roman" w:hAnsi="Times New Roman" w:cs="Times New Roman"/>
          <w:sz w:val="22"/>
          <w:szCs w:val="24"/>
        </w:rPr>
        <w:t>:</w:t>
      </w:r>
    </w:p>
    <w:p w14:paraId="323AB4B8" w14:textId="77777777" w:rsidR="006C153C" w:rsidRPr="00CB7EBA" w:rsidRDefault="006C153C" w:rsidP="00F12592">
      <w:pPr>
        <w:rPr>
          <w:rFonts w:ascii="Times New Roman" w:hAnsi="Times New Roman" w:cs="Times New Roman"/>
          <w:sz w:val="22"/>
          <w:szCs w:val="24"/>
        </w:rPr>
      </w:pPr>
    </w:p>
    <w:p w14:paraId="69BBE175" w14:textId="234E5D2E" w:rsidR="00F12592" w:rsidRPr="00CB7EBA" w:rsidRDefault="00F12592" w:rsidP="00F12592">
      <w:pPr>
        <w:rPr>
          <w:rFonts w:ascii="Times New Roman" w:hAnsi="Times New Roman" w:cs="Times New Roman"/>
          <w:sz w:val="22"/>
          <w:szCs w:val="24"/>
        </w:rPr>
      </w:pPr>
      <w:r w:rsidRPr="00CB7EBA">
        <w:rPr>
          <w:rFonts w:ascii="Times New Roman" w:hAnsi="Times New Roman" w:cs="Times New Roman"/>
          <w:sz w:val="22"/>
          <w:szCs w:val="24"/>
        </w:rPr>
        <w:t xml:space="preserve">Re: </w:t>
      </w:r>
      <w:r w:rsidR="00CE1B0C" w:rsidRPr="00CB7EBA">
        <w:rPr>
          <w:rFonts w:ascii="Times New Roman" w:hAnsi="Times New Roman" w:cs="Times New Roman"/>
          <w:sz w:val="22"/>
          <w:szCs w:val="24"/>
        </w:rPr>
        <w:t>PROJ-D-24-00286R1</w:t>
      </w:r>
    </w:p>
    <w:p w14:paraId="11C0466F" w14:textId="7B0ACF38" w:rsidR="00B76E82" w:rsidRPr="00CB7EBA" w:rsidRDefault="00F12592" w:rsidP="00B76E82">
      <w:pPr>
        <w:rPr>
          <w:rFonts w:ascii="Times New Roman" w:hAnsi="Times New Roman" w:cs="Times New Roman"/>
          <w:sz w:val="22"/>
          <w:szCs w:val="24"/>
        </w:rPr>
      </w:pPr>
      <w:r w:rsidRPr="00CB7EBA">
        <w:rPr>
          <w:rFonts w:ascii="Times New Roman" w:hAnsi="Times New Roman" w:cs="Times New Roman"/>
          <w:sz w:val="22"/>
          <w:szCs w:val="24"/>
        </w:rPr>
        <w:t xml:space="preserve">Title: </w:t>
      </w:r>
      <w:r w:rsidR="00CE1B0C" w:rsidRPr="00CB7EBA">
        <w:rPr>
          <w:rFonts w:ascii="Times New Roman" w:hAnsi="Times New Roman" w:cs="Times New Roman"/>
          <w:sz w:val="22"/>
          <w:szCs w:val="24"/>
        </w:rPr>
        <w:t>Effect of additional intravenous immunoglobulin for infliximab-refractory Kawasaki disease: a cohort study</w:t>
      </w:r>
    </w:p>
    <w:p w14:paraId="12332EEB" w14:textId="77777777" w:rsidR="00F12592" w:rsidRPr="00CB7EBA" w:rsidRDefault="00F12592" w:rsidP="00F12592">
      <w:pPr>
        <w:rPr>
          <w:rFonts w:ascii="Times New Roman" w:hAnsi="Times New Roman" w:cs="Times New Roman"/>
          <w:sz w:val="22"/>
          <w:szCs w:val="24"/>
        </w:rPr>
      </w:pPr>
    </w:p>
    <w:p w14:paraId="18CB5DC0" w14:textId="532519B6" w:rsidR="008A0C9F" w:rsidRPr="00CB7EBA" w:rsidRDefault="00F12592" w:rsidP="008A0C9F">
      <w:pPr>
        <w:rPr>
          <w:rFonts w:ascii="Times New Roman" w:hAnsi="Times New Roman" w:cs="Times New Roman"/>
          <w:sz w:val="22"/>
          <w:szCs w:val="24"/>
        </w:rPr>
      </w:pPr>
      <w:r w:rsidRPr="00CB7EBA">
        <w:rPr>
          <w:rFonts w:ascii="Times New Roman" w:hAnsi="Times New Roman" w:cs="Times New Roman"/>
          <w:sz w:val="22"/>
          <w:szCs w:val="24"/>
        </w:rPr>
        <w:t xml:space="preserve">Thank you so much for the opportunity to submit a revised version of our manuscript. We are grateful to </w:t>
      </w:r>
      <w:r w:rsidR="007C4759" w:rsidRPr="00CB7EBA">
        <w:rPr>
          <w:rFonts w:ascii="Times New Roman" w:hAnsi="Times New Roman" w:cs="Times New Roman"/>
          <w:sz w:val="22"/>
          <w:szCs w:val="24"/>
        </w:rPr>
        <w:t xml:space="preserve">the </w:t>
      </w:r>
      <w:r w:rsidRPr="00CB7EBA">
        <w:rPr>
          <w:rFonts w:ascii="Times New Roman" w:hAnsi="Times New Roman" w:cs="Times New Roman"/>
          <w:sz w:val="22"/>
          <w:szCs w:val="24"/>
        </w:rPr>
        <w:t xml:space="preserve">editors and </w:t>
      </w:r>
      <w:r w:rsidR="001E1B6B" w:rsidRPr="00CB7EBA">
        <w:rPr>
          <w:rFonts w:ascii="Times New Roman" w:hAnsi="Times New Roman" w:cs="Times New Roman" w:hint="eastAsia"/>
          <w:sz w:val="22"/>
          <w:szCs w:val="24"/>
        </w:rPr>
        <w:t>reviewers</w:t>
      </w:r>
      <w:r w:rsidRPr="00CB7EBA">
        <w:rPr>
          <w:rFonts w:ascii="Times New Roman" w:hAnsi="Times New Roman" w:cs="Times New Roman"/>
          <w:sz w:val="22"/>
          <w:szCs w:val="24"/>
        </w:rPr>
        <w:t xml:space="preserve"> for the comments </w:t>
      </w:r>
      <w:r w:rsidR="00073D46" w:rsidRPr="00CB7EBA">
        <w:rPr>
          <w:rFonts w:ascii="Times New Roman" w:hAnsi="Times New Roman" w:cs="Times New Roman"/>
          <w:sz w:val="22"/>
          <w:szCs w:val="24"/>
        </w:rPr>
        <w:t xml:space="preserve">that helped us </w:t>
      </w:r>
      <w:r w:rsidR="00073D46" w:rsidRPr="00CB7EBA">
        <w:rPr>
          <w:rFonts w:ascii="Times New Roman" w:hAnsi="Times New Roman" w:cs="Times New Roman" w:hint="eastAsia"/>
          <w:sz w:val="22"/>
          <w:szCs w:val="24"/>
        </w:rPr>
        <w:t xml:space="preserve">to </w:t>
      </w:r>
      <w:r w:rsidR="00150088" w:rsidRPr="00CB7EBA">
        <w:rPr>
          <w:rFonts w:ascii="Times New Roman" w:hAnsi="Times New Roman" w:cs="Times New Roman" w:hint="eastAsia"/>
          <w:sz w:val="22"/>
          <w:szCs w:val="24"/>
        </w:rPr>
        <w:t>i</w:t>
      </w:r>
      <w:r w:rsidR="00150088" w:rsidRPr="00CB7EBA">
        <w:rPr>
          <w:rFonts w:ascii="Times New Roman" w:hAnsi="Times New Roman" w:cs="Times New Roman"/>
          <w:sz w:val="22"/>
          <w:szCs w:val="24"/>
        </w:rPr>
        <w:t xml:space="preserve">mprove </w:t>
      </w:r>
      <w:r w:rsidRPr="00CB7EBA">
        <w:rPr>
          <w:rFonts w:ascii="Times New Roman" w:hAnsi="Times New Roman" w:cs="Times New Roman"/>
          <w:sz w:val="22"/>
          <w:szCs w:val="24"/>
        </w:rPr>
        <w:t xml:space="preserve">our manuscript. We have </w:t>
      </w:r>
      <w:r w:rsidR="00CE1B0C" w:rsidRPr="00CB7EBA">
        <w:rPr>
          <w:rFonts w:ascii="Times New Roman" w:hAnsi="Times New Roman" w:cs="Times New Roman"/>
          <w:sz w:val="22"/>
          <w:szCs w:val="24"/>
        </w:rPr>
        <w:t>considered all advice for revision and</w:t>
      </w:r>
      <w:r w:rsidRPr="00CB7EBA">
        <w:rPr>
          <w:rFonts w:ascii="Times New Roman" w:hAnsi="Times New Roman" w:cs="Times New Roman"/>
          <w:sz w:val="22"/>
          <w:szCs w:val="24"/>
        </w:rPr>
        <w:t xml:space="preserve"> addressed all the comments of </w:t>
      </w:r>
      <w:r w:rsidR="007D7F2E">
        <w:rPr>
          <w:rFonts w:ascii="Times New Roman" w:hAnsi="Times New Roman" w:cs="Times New Roman" w:hint="eastAsia"/>
          <w:sz w:val="22"/>
          <w:szCs w:val="24"/>
        </w:rPr>
        <w:t xml:space="preserve">the </w:t>
      </w:r>
      <w:r w:rsidRPr="00CB7EBA">
        <w:rPr>
          <w:rFonts w:ascii="Times New Roman" w:hAnsi="Times New Roman" w:cs="Times New Roman"/>
          <w:sz w:val="22"/>
          <w:szCs w:val="24"/>
        </w:rPr>
        <w:t>re</w:t>
      </w:r>
      <w:r w:rsidR="007D7F2E">
        <w:rPr>
          <w:rFonts w:ascii="Times New Roman" w:hAnsi="Times New Roman" w:cs="Times New Roman" w:hint="eastAsia"/>
          <w:sz w:val="22"/>
          <w:szCs w:val="24"/>
        </w:rPr>
        <w:t>viewer</w:t>
      </w:r>
      <w:r w:rsidRPr="00CB7EBA">
        <w:rPr>
          <w:rFonts w:ascii="Times New Roman" w:hAnsi="Times New Roman" w:cs="Times New Roman"/>
          <w:sz w:val="22"/>
          <w:szCs w:val="24"/>
        </w:rPr>
        <w:t xml:space="preserve"> point by point as below. The revised parts of the manuscript are highlighted in </w:t>
      </w:r>
      <w:r w:rsidRPr="00CB7EBA">
        <w:rPr>
          <w:rFonts w:ascii="Times New Roman" w:hAnsi="Times New Roman" w:cs="Times New Roman"/>
          <w:color w:val="FF0000"/>
          <w:sz w:val="22"/>
          <w:szCs w:val="24"/>
        </w:rPr>
        <w:t>red font</w:t>
      </w:r>
      <w:r w:rsidRPr="00CB7EBA">
        <w:rPr>
          <w:rFonts w:ascii="Times New Roman" w:hAnsi="Times New Roman" w:cs="Times New Roman"/>
          <w:sz w:val="22"/>
          <w:szCs w:val="24"/>
        </w:rPr>
        <w:t>.</w:t>
      </w:r>
    </w:p>
    <w:p w14:paraId="53115B44" w14:textId="77777777" w:rsidR="00CE1B0C" w:rsidRPr="00CB7EBA" w:rsidRDefault="00CE1B0C" w:rsidP="008A0C9F">
      <w:pPr>
        <w:rPr>
          <w:rFonts w:ascii="Times New Roman" w:hAnsi="Times New Roman" w:cs="Times New Roman"/>
          <w:sz w:val="22"/>
          <w:szCs w:val="24"/>
        </w:rPr>
      </w:pPr>
    </w:p>
    <w:p w14:paraId="08163CB0" w14:textId="0126A062" w:rsidR="002103C5" w:rsidRPr="002103C5" w:rsidRDefault="00CE1B0C" w:rsidP="002103C5">
      <w:pPr>
        <w:rPr>
          <w:rFonts w:ascii="Times New Roman" w:hAnsi="Times New Roman" w:cs="Times New Roman"/>
          <w:b/>
          <w:bCs/>
          <w:i/>
          <w:iCs/>
          <w:sz w:val="22"/>
          <w:szCs w:val="24"/>
        </w:rPr>
      </w:pPr>
      <w:r w:rsidRPr="00CB7EBA">
        <w:rPr>
          <w:rFonts w:ascii="Times New Roman" w:hAnsi="Times New Roman" w:cs="Times New Roman"/>
          <w:b/>
          <w:bCs/>
          <w:i/>
          <w:iCs/>
          <w:sz w:val="22"/>
          <w:szCs w:val="24"/>
        </w:rPr>
        <w:t>Reviewer reports:</w:t>
      </w:r>
    </w:p>
    <w:p w14:paraId="4DA24E84" w14:textId="7735D48C" w:rsidR="002103C5" w:rsidRPr="002103C5" w:rsidRDefault="002103C5" w:rsidP="002103C5">
      <w:pPr>
        <w:rPr>
          <w:rFonts w:ascii="Times New Roman" w:hAnsi="Times New Roman" w:cs="Times New Roman"/>
          <w:b/>
          <w:bCs/>
          <w:i/>
          <w:iCs/>
          <w:sz w:val="22"/>
          <w:szCs w:val="24"/>
        </w:rPr>
      </w:pPr>
      <w:r w:rsidRPr="002103C5">
        <w:rPr>
          <w:rFonts w:ascii="Times New Roman" w:hAnsi="Times New Roman" w:cs="Times New Roman"/>
          <w:b/>
          <w:bCs/>
          <w:i/>
          <w:iCs/>
          <w:sz w:val="22"/>
          <w:szCs w:val="24"/>
        </w:rPr>
        <w:t>Reviewer:</w:t>
      </w:r>
    </w:p>
    <w:p w14:paraId="66AAEFC6" w14:textId="77777777" w:rsidR="002103C5" w:rsidRPr="002103C5" w:rsidRDefault="002103C5" w:rsidP="002103C5">
      <w:pPr>
        <w:rPr>
          <w:rFonts w:ascii="Times New Roman" w:hAnsi="Times New Roman" w:cs="Times New Roman"/>
          <w:i/>
          <w:iCs/>
          <w:sz w:val="22"/>
          <w:szCs w:val="24"/>
        </w:rPr>
      </w:pPr>
      <w:r w:rsidRPr="002103C5">
        <w:rPr>
          <w:rFonts w:ascii="Times New Roman" w:hAnsi="Times New Roman" w:cs="Times New Roman"/>
          <w:i/>
          <w:iCs/>
          <w:sz w:val="22"/>
          <w:szCs w:val="24"/>
        </w:rPr>
        <w:t>The study fails to compare coronary artery lesion (CAL) incidence at 12 months between the two treatment groups. While fever duration was compared between groups, the most critical outcome measure in Kawasaki disease remains CAL development. Why weren't the 12-month follow-up results for CAL-positive patients in the second-IVIG group presented?</w:t>
      </w:r>
    </w:p>
    <w:p w14:paraId="46BD6641" w14:textId="77777777" w:rsidR="002103C5" w:rsidRPr="002103C5" w:rsidRDefault="002103C5" w:rsidP="002103C5">
      <w:pPr>
        <w:rPr>
          <w:rFonts w:ascii="Times New Roman" w:hAnsi="Times New Roman" w:cs="Times New Roman"/>
          <w:i/>
          <w:iCs/>
          <w:sz w:val="22"/>
          <w:szCs w:val="24"/>
        </w:rPr>
      </w:pPr>
      <w:r w:rsidRPr="002103C5">
        <w:rPr>
          <w:rFonts w:ascii="Times New Roman" w:hAnsi="Times New Roman" w:cs="Times New Roman"/>
          <w:i/>
          <w:iCs/>
          <w:sz w:val="22"/>
          <w:szCs w:val="24"/>
        </w:rPr>
        <w:t>A comparison would likely reveal substantially lower CAL rates in the second-IVIG group (5% vs 33%), though this discrepancy primarily reflects the IVIG-after-IFX group comprising more severe cases - specifically patients who failed ≥2 IVIG infusions before receiving IFX, then required additional IVIG after IFX failure. These fundamentally different disease severities make direct group comparisons problematic.</w:t>
      </w:r>
    </w:p>
    <w:p w14:paraId="6B08B7F5" w14:textId="77777777" w:rsidR="002103C5" w:rsidRPr="002103C5" w:rsidRDefault="002103C5" w:rsidP="002103C5">
      <w:pPr>
        <w:rPr>
          <w:rFonts w:ascii="Times New Roman" w:hAnsi="Times New Roman" w:cs="Times New Roman"/>
          <w:i/>
          <w:iCs/>
          <w:sz w:val="22"/>
          <w:szCs w:val="24"/>
        </w:rPr>
      </w:pPr>
      <w:r w:rsidRPr="002103C5">
        <w:rPr>
          <w:rFonts w:ascii="Times New Roman" w:hAnsi="Times New Roman" w:cs="Times New Roman"/>
          <w:i/>
          <w:iCs/>
          <w:sz w:val="22"/>
          <w:szCs w:val="24"/>
        </w:rPr>
        <w:t>Basing the therapeutic justification for post-IFX IVIG solely on fever resolution time is inadequate. As the authors stated, fever was likely to subside anyway, so its resolution is not surprising. A 33% CAL incidence rate is quite high.</w:t>
      </w:r>
    </w:p>
    <w:p w14:paraId="488624DE" w14:textId="77777777" w:rsidR="002103C5" w:rsidRPr="002103C5" w:rsidRDefault="002103C5" w:rsidP="002103C5">
      <w:pPr>
        <w:rPr>
          <w:rFonts w:ascii="Times New Roman" w:hAnsi="Times New Roman" w:cs="Times New Roman"/>
          <w:i/>
          <w:iCs/>
          <w:sz w:val="22"/>
          <w:szCs w:val="24"/>
        </w:rPr>
      </w:pPr>
      <w:r w:rsidRPr="002103C5">
        <w:rPr>
          <w:rFonts w:ascii="Times New Roman" w:hAnsi="Times New Roman" w:cs="Times New Roman"/>
          <w:i/>
          <w:iCs/>
          <w:sz w:val="22"/>
          <w:szCs w:val="24"/>
        </w:rPr>
        <w:t>The more appropriate setting for this study would have been a comparison between patients whose treatment was discontinued at the IFX stage and those who received IVIG after IFX.</w:t>
      </w:r>
    </w:p>
    <w:p w14:paraId="2977E26A" w14:textId="77777777" w:rsidR="002103C5" w:rsidRPr="002103C5" w:rsidRDefault="002103C5" w:rsidP="002103C5">
      <w:pPr>
        <w:rPr>
          <w:rFonts w:ascii="Times New Roman" w:hAnsi="Times New Roman" w:cs="Times New Roman"/>
          <w:i/>
          <w:iCs/>
          <w:sz w:val="22"/>
          <w:szCs w:val="24"/>
        </w:rPr>
      </w:pPr>
      <w:r w:rsidRPr="002103C5">
        <w:rPr>
          <w:rFonts w:ascii="Times New Roman" w:hAnsi="Times New Roman" w:cs="Times New Roman"/>
          <w:i/>
          <w:iCs/>
          <w:sz w:val="22"/>
          <w:szCs w:val="24"/>
        </w:rPr>
        <w:t>The data presentation, study limitations (particularly regarding cohort comparability), and discussion of results/limitations require substantial improvement."</w:t>
      </w:r>
    </w:p>
    <w:p w14:paraId="54554DD9" w14:textId="11F61B09" w:rsidR="004A1264" w:rsidRPr="00CB7EBA" w:rsidRDefault="004A1264" w:rsidP="002103C5">
      <w:pPr>
        <w:rPr>
          <w:rFonts w:ascii="Times New Roman" w:hAnsi="Times New Roman" w:cs="Times New Roman"/>
          <w:b/>
          <w:bCs/>
          <w:sz w:val="22"/>
          <w:szCs w:val="24"/>
        </w:rPr>
      </w:pPr>
      <w:r w:rsidRPr="00CB7EBA">
        <w:rPr>
          <w:rFonts w:ascii="Times New Roman" w:hAnsi="Times New Roman" w:cs="Times New Roman"/>
          <w:b/>
          <w:bCs/>
          <w:sz w:val="22"/>
          <w:szCs w:val="24"/>
        </w:rPr>
        <w:lastRenderedPageBreak/>
        <w:t>Response:</w:t>
      </w:r>
    </w:p>
    <w:p w14:paraId="3DC5622E" w14:textId="4DE25CB3" w:rsidR="002103C5" w:rsidRDefault="00375056" w:rsidP="006C153C">
      <w:pPr>
        <w:rPr>
          <w:rFonts w:ascii="Times New Roman" w:hAnsi="Times New Roman" w:cs="Times New Roman"/>
          <w:b/>
          <w:bCs/>
          <w:sz w:val="22"/>
          <w:szCs w:val="24"/>
        </w:rPr>
      </w:pPr>
      <w:r w:rsidRPr="00375056">
        <w:rPr>
          <w:rFonts w:ascii="Times New Roman" w:hAnsi="Times New Roman" w:cs="Times New Roman"/>
          <w:b/>
          <w:bCs/>
          <w:sz w:val="22"/>
          <w:szCs w:val="24"/>
        </w:rPr>
        <w:t xml:space="preserve">We appreciate </w:t>
      </w:r>
      <w:r>
        <w:rPr>
          <w:rFonts w:ascii="Times New Roman" w:hAnsi="Times New Roman" w:cs="Times New Roman"/>
          <w:b/>
          <w:bCs/>
          <w:sz w:val="22"/>
          <w:szCs w:val="24"/>
        </w:rPr>
        <w:t>the</w:t>
      </w:r>
      <w:r w:rsidRPr="00375056">
        <w:rPr>
          <w:rFonts w:ascii="Times New Roman" w:hAnsi="Times New Roman" w:cs="Times New Roman"/>
          <w:b/>
          <w:bCs/>
          <w:sz w:val="22"/>
          <w:szCs w:val="24"/>
        </w:rPr>
        <w:t xml:space="preserve"> important comment</w:t>
      </w:r>
      <w:r>
        <w:rPr>
          <w:rFonts w:ascii="Times New Roman" w:hAnsi="Times New Roman" w:cs="Times New Roman"/>
          <w:b/>
          <w:bCs/>
          <w:sz w:val="22"/>
          <w:szCs w:val="24"/>
        </w:rPr>
        <w:t>s</w:t>
      </w:r>
      <w:r w:rsidRPr="00375056">
        <w:rPr>
          <w:rFonts w:ascii="Times New Roman" w:hAnsi="Times New Roman" w:cs="Times New Roman"/>
          <w:b/>
          <w:bCs/>
          <w:sz w:val="22"/>
          <w:szCs w:val="24"/>
        </w:rPr>
        <w:t xml:space="preserve"> regarding the comparability of long-term outcomes, particularly the </w:t>
      </w:r>
      <w:r w:rsidR="00BA6B16">
        <w:rPr>
          <w:rFonts w:ascii="Times New Roman" w:hAnsi="Times New Roman" w:cs="Times New Roman"/>
          <w:b/>
          <w:bCs/>
          <w:sz w:val="22"/>
          <w:szCs w:val="24"/>
        </w:rPr>
        <w:t>frequency</w:t>
      </w:r>
      <w:r w:rsidRPr="00375056">
        <w:rPr>
          <w:rFonts w:ascii="Times New Roman" w:hAnsi="Times New Roman" w:cs="Times New Roman"/>
          <w:b/>
          <w:bCs/>
          <w:sz w:val="22"/>
          <w:szCs w:val="24"/>
        </w:rPr>
        <w:t xml:space="preserve"> of CAL</w:t>
      </w:r>
      <w:r>
        <w:rPr>
          <w:rFonts w:ascii="Times New Roman" w:hAnsi="Times New Roman" w:cs="Times New Roman"/>
          <w:b/>
          <w:bCs/>
          <w:sz w:val="22"/>
          <w:szCs w:val="24"/>
        </w:rPr>
        <w:t>s</w:t>
      </w:r>
      <w:r w:rsidRPr="00375056">
        <w:rPr>
          <w:rFonts w:ascii="Times New Roman" w:hAnsi="Times New Roman" w:cs="Times New Roman"/>
          <w:b/>
          <w:bCs/>
          <w:sz w:val="22"/>
          <w:szCs w:val="24"/>
        </w:rPr>
        <w:t xml:space="preserve">. </w:t>
      </w:r>
      <w:r w:rsidR="00DA5647">
        <w:rPr>
          <w:rFonts w:ascii="Times New Roman" w:hAnsi="Times New Roman" w:cs="Times New Roman"/>
          <w:b/>
          <w:bCs/>
          <w:sz w:val="22"/>
          <w:szCs w:val="24"/>
        </w:rPr>
        <w:t>A</w:t>
      </w:r>
      <w:r w:rsidRPr="00375056">
        <w:rPr>
          <w:rFonts w:ascii="Times New Roman" w:hAnsi="Times New Roman" w:cs="Times New Roman"/>
          <w:b/>
          <w:bCs/>
          <w:sz w:val="22"/>
          <w:szCs w:val="24"/>
        </w:rPr>
        <w:t>s the reviewer points out, the two groups differ fundamentally in baseline disease severity, with the IVIG-after-IFX group including patients who had failed</w:t>
      </w:r>
      <w:r w:rsidR="000A439F">
        <w:rPr>
          <w:rFonts w:ascii="Times New Roman" w:hAnsi="Times New Roman" w:cs="Times New Roman"/>
          <w:b/>
          <w:bCs/>
          <w:sz w:val="22"/>
          <w:szCs w:val="24"/>
        </w:rPr>
        <w:t xml:space="preserve"> at least one</w:t>
      </w:r>
      <w:r w:rsidRPr="00375056">
        <w:rPr>
          <w:rFonts w:ascii="Times New Roman" w:hAnsi="Times New Roman" w:cs="Times New Roman"/>
          <w:b/>
          <w:bCs/>
          <w:sz w:val="22"/>
          <w:szCs w:val="24"/>
        </w:rPr>
        <w:t xml:space="preserve"> IVIG </w:t>
      </w:r>
      <w:r w:rsidR="00660A48">
        <w:rPr>
          <w:rFonts w:ascii="Times New Roman" w:hAnsi="Times New Roman" w:cs="Times New Roman"/>
          <w:b/>
          <w:bCs/>
          <w:sz w:val="22"/>
          <w:szCs w:val="24"/>
        </w:rPr>
        <w:t>and IFX</w:t>
      </w:r>
      <w:r w:rsidRPr="00375056">
        <w:rPr>
          <w:rFonts w:ascii="Times New Roman" w:hAnsi="Times New Roman" w:cs="Times New Roman"/>
          <w:b/>
          <w:bCs/>
          <w:sz w:val="22"/>
          <w:szCs w:val="24"/>
        </w:rPr>
        <w:t xml:space="preserve"> before receiving </w:t>
      </w:r>
      <w:r w:rsidR="00660A48">
        <w:rPr>
          <w:rFonts w:ascii="Times New Roman" w:hAnsi="Times New Roman" w:cs="Times New Roman"/>
          <w:b/>
          <w:bCs/>
          <w:sz w:val="22"/>
          <w:szCs w:val="24"/>
        </w:rPr>
        <w:t>IVIG-after-</w:t>
      </w:r>
      <w:r w:rsidRPr="00375056">
        <w:rPr>
          <w:rFonts w:ascii="Times New Roman" w:hAnsi="Times New Roman" w:cs="Times New Roman"/>
          <w:b/>
          <w:bCs/>
          <w:sz w:val="22"/>
          <w:szCs w:val="24"/>
        </w:rPr>
        <w:t xml:space="preserve">IFX. </w:t>
      </w:r>
      <w:r w:rsidR="00660A48">
        <w:rPr>
          <w:rFonts w:ascii="Times New Roman" w:hAnsi="Times New Roman" w:cs="Times New Roman"/>
          <w:b/>
          <w:bCs/>
          <w:sz w:val="22"/>
          <w:szCs w:val="24"/>
        </w:rPr>
        <w:t>Therefore</w:t>
      </w:r>
      <w:r w:rsidRPr="00375056">
        <w:rPr>
          <w:rFonts w:ascii="Times New Roman" w:hAnsi="Times New Roman" w:cs="Times New Roman"/>
          <w:b/>
          <w:bCs/>
          <w:sz w:val="22"/>
          <w:szCs w:val="24"/>
        </w:rPr>
        <w:t>, comparability regarding long-term outcomes</w:t>
      </w:r>
      <w:r w:rsidR="009E1A61">
        <w:rPr>
          <w:rFonts w:ascii="Times New Roman" w:hAnsi="Times New Roman" w:cs="Times New Roman" w:hint="eastAsia"/>
          <w:b/>
          <w:bCs/>
          <w:sz w:val="22"/>
          <w:szCs w:val="24"/>
        </w:rPr>
        <w:t>, such as the frequency of CAL at 12 months,</w:t>
      </w:r>
      <w:r w:rsidRPr="00375056">
        <w:rPr>
          <w:rFonts w:ascii="Times New Roman" w:hAnsi="Times New Roman" w:cs="Times New Roman"/>
          <w:b/>
          <w:bCs/>
          <w:sz w:val="22"/>
          <w:szCs w:val="24"/>
        </w:rPr>
        <w:t xml:space="preserve"> is inherently limited.</w:t>
      </w:r>
      <w:r w:rsidR="00AC1158">
        <w:rPr>
          <w:rFonts w:ascii="Times New Roman" w:hAnsi="Times New Roman" w:cs="Times New Roman"/>
          <w:b/>
          <w:bCs/>
          <w:sz w:val="22"/>
          <w:szCs w:val="24"/>
        </w:rPr>
        <w:t xml:space="preserve"> </w:t>
      </w:r>
      <w:r w:rsidR="00AC1158" w:rsidRPr="00AC1158">
        <w:rPr>
          <w:rFonts w:ascii="Times New Roman" w:hAnsi="Times New Roman" w:cs="Times New Roman"/>
          <w:b/>
          <w:bCs/>
          <w:sz w:val="22"/>
          <w:szCs w:val="24"/>
        </w:rPr>
        <w:t>Although a direct comparison was not feasible,</w:t>
      </w:r>
      <w:r w:rsidR="00AC1158">
        <w:rPr>
          <w:rFonts w:ascii="Times New Roman" w:hAnsi="Times New Roman" w:cs="Times New Roman"/>
          <w:b/>
          <w:bCs/>
          <w:sz w:val="22"/>
          <w:szCs w:val="24"/>
        </w:rPr>
        <w:t xml:space="preserve"> </w:t>
      </w:r>
      <w:r w:rsidR="00AC1158" w:rsidRPr="00AC1158">
        <w:rPr>
          <w:rFonts w:ascii="Times New Roman" w:hAnsi="Times New Roman" w:cs="Times New Roman"/>
          <w:b/>
          <w:bCs/>
          <w:sz w:val="22"/>
          <w:szCs w:val="24"/>
        </w:rPr>
        <w:t xml:space="preserve">we have added the 12-month outcomes for the two patients </w:t>
      </w:r>
      <w:r w:rsidR="00C75AA1">
        <w:rPr>
          <w:rFonts w:ascii="Times New Roman" w:hAnsi="Times New Roman" w:cs="Times New Roman" w:hint="eastAsia"/>
          <w:b/>
          <w:bCs/>
          <w:sz w:val="22"/>
          <w:szCs w:val="24"/>
        </w:rPr>
        <w:t xml:space="preserve">with CALs </w:t>
      </w:r>
      <w:r w:rsidR="00AC1158" w:rsidRPr="00AC1158">
        <w:rPr>
          <w:rFonts w:ascii="Times New Roman" w:hAnsi="Times New Roman" w:cs="Times New Roman"/>
          <w:b/>
          <w:bCs/>
          <w:sz w:val="22"/>
          <w:szCs w:val="24"/>
        </w:rPr>
        <w:t>in the second-IVIG group in the Results section</w:t>
      </w:r>
      <w:r w:rsidR="008F0061">
        <w:rPr>
          <w:rFonts w:ascii="Times New Roman" w:hAnsi="Times New Roman" w:cs="Times New Roman" w:hint="eastAsia"/>
          <w:b/>
          <w:bCs/>
          <w:sz w:val="22"/>
          <w:szCs w:val="24"/>
        </w:rPr>
        <w:t xml:space="preserve"> as follows:</w:t>
      </w:r>
    </w:p>
    <w:p w14:paraId="29B108EB" w14:textId="271B90A5" w:rsidR="00487248" w:rsidRPr="00487248" w:rsidRDefault="008F0061" w:rsidP="00487248">
      <w:pPr>
        <w:rPr>
          <w:rFonts w:ascii="Times New Roman" w:hAnsi="Times New Roman" w:cs="Times New Roman"/>
          <w:b/>
          <w:bCs/>
          <w:color w:val="FF0000"/>
          <w:sz w:val="22"/>
          <w:szCs w:val="24"/>
        </w:rPr>
      </w:pPr>
      <w:r w:rsidRPr="008F0061">
        <w:rPr>
          <w:rFonts w:ascii="Times New Roman" w:hAnsi="Times New Roman" w:cs="Times New Roman"/>
          <w:b/>
          <w:bCs/>
          <w:color w:val="FF0000"/>
          <w:sz w:val="22"/>
          <w:szCs w:val="24"/>
        </w:rPr>
        <w:t>“One patient showed no CALs 12 months after diagnosis, while the other was referred to a local hospital and could not be followed up at our institution.”</w:t>
      </w:r>
      <w:r w:rsidR="00487248">
        <w:rPr>
          <w:rFonts w:ascii="Times New Roman" w:hAnsi="Times New Roman" w:cs="Times New Roman" w:hint="eastAsia"/>
          <w:b/>
          <w:bCs/>
          <w:color w:val="FF0000"/>
          <w:sz w:val="22"/>
          <w:szCs w:val="24"/>
        </w:rPr>
        <w:t xml:space="preserve"> </w:t>
      </w:r>
      <w:r w:rsidR="00487248" w:rsidRPr="00CB7EBA">
        <w:rPr>
          <w:rFonts w:ascii="Times New Roman" w:hAnsi="Times New Roman" w:cs="Times New Roman" w:hint="eastAsia"/>
          <w:b/>
          <w:bCs/>
          <w:color w:val="FF0000"/>
          <w:sz w:val="22"/>
          <w:szCs w:val="24"/>
        </w:rPr>
        <w:t xml:space="preserve">(Page </w:t>
      </w:r>
      <w:r w:rsidR="00487248">
        <w:rPr>
          <w:rFonts w:ascii="Times New Roman" w:hAnsi="Times New Roman" w:cs="Times New Roman" w:hint="eastAsia"/>
          <w:b/>
          <w:bCs/>
          <w:color w:val="FF0000"/>
          <w:sz w:val="22"/>
          <w:szCs w:val="24"/>
        </w:rPr>
        <w:t>9</w:t>
      </w:r>
      <w:r w:rsidR="00487248" w:rsidRPr="00CB7EBA">
        <w:rPr>
          <w:rFonts w:ascii="Times New Roman" w:hAnsi="Times New Roman" w:cs="Times New Roman" w:hint="eastAsia"/>
          <w:b/>
          <w:bCs/>
          <w:color w:val="FF0000"/>
          <w:sz w:val="22"/>
          <w:szCs w:val="24"/>
        </w:rPr>
        <w:t xml:space="preserve">, Lines </w:t>
      </w:r>
      <w:r w:rsidR="00487248">
        <w:rPr>
          <w:rFonts w:ascii="Times New Roman" w:hAnsi="Times New Roman" w:cs="Times New Roman"/>
          <w:b/>
          <w:bCs/>
          <w:color w:val="FF0000"/>
          <w:sz w:val="22"/>
          <w:szCs w:val="24"/>
        </w:rPr>
        <w:t>10</w:t>
      </w:r>
      <w:r w:rsidR="00487248" w:rsidRPr="00CB7EBA">
        <w:rPr>
          <w:rFonts w:ascii="Times New Roman" w:hAnsi="Times New Roman" w:cs="Times New Roman"/>
          <w:b/>
          <w:bCs/>
          <w:color w:val="FF0000"/>
          <w:sz w:val="22"/>
          <w:szCs w:val="24"/>
        </w:rPr>
        <w:t>–</w:t>
      </w:r>
      <w:r w:rsidR="00487248">
        <w:rPr>
          <w:rFonts w:ascii="Times New Roman" w:hAnsi="Times New Roman" w:cs="Times New Roman" w:hint="eastAsia"/>
          <w:b/>
          <w:bCs/>
          <w:color w:val="FF0000"/>
          <w:sz w:val="22"/>
          <w:szCs w:val="24"/>
        </w:rPr>
        <w:t>1</w:t>
      </w:r>
      <w:r w:rsidR="00487248">
        <w:rPr>
          <w:rFonts w:ascii="Times New Roman" w:hAnsi="Times New Roman" w:cs="Times New Roman"/>
          <w:b/>
          <w:bCs/>
          <w:color w:val="FF0000"/>
          <w:sz w:val="22"/>
          <w:szCs w:val="24"/>
        </w:rPr>
        <w:t>2</w:t>
      </w:r>
      <w:r w:rsidR="00487248" w:rsidRPr="00CB7EBA">
        <w:rPr>
          <w:rFonts w:ascii="Times New Roman" w:hAnsi="Times New Roman" w:cs="Times New Roman" w:hint="eastAsia"/>
          <w:b/>
          <w:bCs/>
          <w:color w:val="FF0000"/>
          <w:sz w:val="22"/>
          <w:szCs w:val="24"/>
        </w:rPr>
        <w:t>)</w:t>
      </w:r>
    </w:p>
    <w:p w14:paraId="39903AA7" w14:textId="77777777" w:rsidR="008F0061" w:rsidRPr="008F0061" w:rsidRDefault="008F0061" w:rsidP="006C153C">
      <w:pPr>
        <w:rPr>
          <w:rFonts w:ascii="Times New Roman" w:hAnsi="Times New Roman" w:cs="Times New Roman"/>
          <w:b/>
          <w:bCs/>
          <w:sz w:val="22"/>
          <w:szCs w:val="24"/>
        </w:rPr>
      </w:pPr>
    </w:p>
    <w:p w14:paraId="3EADAC59" w14:textId="3FB7509B" w:rsidR="002103C5" w:rsidRDefault="000A439F" w:rsidP="006C153C">
      <w:pPr>
        <w:rPr>
          <w:rFonts w:ascii="Times New Roman" w:hAnsi="Times New Roman" w:cs="Times New Roman"/>
          <w:b/>
          <w:bCs/>
          <w:sz w:val="22"/>
          <w:szCs w:val="24"/>
        </w:rPr>
      </w:pPr>
      <w:r w:rsidRPr="000A439F">
        <w:rPr>
          <w:rFonts w:ascii="Times New Roman" w:hAnsi="Times New Roman" w:cs="Times New Roman"/>
          <w:b/>
          <w:bCs/>
          <w:sz w:val="22"/>
          <w:szCs w:val="24"/>
        </w:rPr>
        <w:t xml:space="preserve">Instead, our </w:t>
      </w:r>
      <w:r w:rsidR="00000026">
        <w:rPr>
          <w:rFonts w:ascii="Times New Roman" w:hAnsi="Times New Roman" w:cs="Times New Roman" w:hint="eastAsia"/>
          <w:b/>
          <w:bCs/>
          <w:sz w:val="22"/>
          <w:szCs w:val="24"/>
        </w:rPr>
        <w:t xml:space="preserve">current </w:t>
      </w:r>
      <w:r w:rsidRPr="000A439F">
        <w:rPr>
          <w:rFonts w:ascii="Times New Roman" w:hAnsi="Times New Roman" w:cs="Times New Roman"/>
          <w:b/>
          <w:bCs/>
          <w:sz w:val="22"/>
          <w:szCs w:val="24"/>
        </w:rPr>
        <w:t>study focused on comparing short-term treatment response</w:t>
      </w:r>
      <w:r w:rsidR="00DA5647">
        <w:rPr>
          <w:rFonts w:ascii="Times New Roman" w:hAnsi="Times New Roman" w:cs="Times New Roman"/>
          <w:b/>
          <w:bCs/>
          <w:sz w:val="22"/>
          <w:szCs w:val="24"/>
        </w:rPr>
        <w:t xml:space="preserve">s, </w:t>
      </w:r>
      <w:r w:rsidR="00160BD8" w:rsidRPr="00160BD8">
        <w:rPr>
          <w:rFonts w:ascii="Times New Roman" w:hAnsi="Times New Roman" w:cs="Times New Roman"/>
          <w:b/>
          <w:bCs/>
          <w:sz w:val="22"/>
          <w:szCs w:val="24"/>
        </w:rPr>
        <w:t>the time to defervescence after initiati</w:t>
      </w:r>
      <w:r w:rsidR="00160BD8">
        <w:rPr>
          <w:rFonts w:ascii="Times New Roman" w:hAnsi="Times New Roman" w:cs="Times New Roman"/>
          <w:b/>
          <w:bCs/>
          <w:sz w:val="22"/>
          <w:szCs w:val="24"/>
        </w:rPr>
        <w:t>ng</w:t>
      </w:r>
      <w:r w:rsidR="00160BD8" w:rsidRPr="00160BD8">
        <w:rPr>
          <w:rFonts w:ascii="Times New Roman" w:hAnsi="Times New Roman" w:cs="Times New Roman"/>
          <w:b/>
          <w:bCs/>
          <w:sz w:val="22"/>
          <w:szCs w:val="24"/>
        </w:rPr>
        <w:t xml:space="preserve"> </w:t>
      </w:r>
      <w:r w:rsidR="0031439F">
        <w:rPr>
          <w:rFonts w:ascii="Times New Roman" w:hAnsi="Times New Roman" w:cs="Times New Roman" w:hint="eastAsia"/>
          <w:b/>
          <w:bCs/>
          <w:sz w:val="22"/>
          <w:szCs w:val="24"/>
        </w:rPr>
        <w:t xml:space="preserve">the index </w:t>
      </w:r>
      <w:r w:rsidR="00160BD8">
        <w:rPr>
          <w:rFonts w:ascii="Times New Roman" w:hAnsi="Times New Roman" w:cs="Times New Roman"/>
          <w:b/>
          <w:bCs/>
          <w:sz w:val="22"/>
          <w:szCs w:val="24"/>
        </w:rPr>
        <w:t xml:space="preserve">IVIG, </w:t>
      </w:r>
      <w:r w:rsidR="006A5257">
        <w:rPr>
          <w:rFonts w:ascii="Times New Roman" w:hAnsi="Times New Roman" w:cs="Times New Roman" w:hint="eastAsia"/>
          <w:b/>
          <w:bCs/>
          <w:sz w:val="22"/>
          <w:szCs w:val="24"/>
        </w:rPr>
        <w:t xml:space="preserve">which was the </w:t>
      </w:r>
      <w:r w:rsidR="00454762">
        <w:rPr>
          <w:rFonts w:ascii="Times New Roman" w:hAnsi="Times New Roman" w:cs="Times New Roman" w:hint="eastAsia"/>
          <w:b/>
          <w:bCs/>
          <w:sz w:val="22"/>
          <w:szCs w:val="24"/>
        </w:rPr>
        <w:t>comparable</w:t>
      </w:r>
      <w:r w:rsidR="006A5257">
        <w:rPr>
          <w:rFonts w:ascii="Times New Roman" w:hAnsi="Times New Roman" w:cs="Times New Roman" w:hint="eastAsia"/>
          <w:b/>
          <w:bCs/>
          <w:sz w:val="22"/>
          <w:szCs w:val="24"/>
        </w:rPr>
        <w:t xml:space="preserve"> </w:t>
      </w:r>
      <w:r w:rsidR="00570168">
        <w:rPr>
          <w:rFonts w:ascii="Times New Roman" w:hAnsi="Times New Roman" w:cs="Times New Roman" w:hint="eastAsia"/>
          <w:b/>
          <w:bCs/>
          <w:sz w:val="22"/>
          <w:szCs w:val="24"/>
        </w:rPr>
        <w:t xml:space="preserve">outcome </w:t>
      </w:r>
      <w:r w:rsidR="00454762">
        <w:rPr>
          <w:rFonts w:ascii="Times New Roman" w:hAnsi="Times New Roman" w:cs="Times New Roman" w:hint="eastAsia"/>
          <w:b/>
          <w:bCs/>
          <w:sz w:val="22"/>
          <w:szCs w:val="24"/>
        </w:rPr>
        <w:t xml:space="preserve">available </w:t>
      </w:r>
      <w:r w:rsidR="00000026">
        <w:rPr>
          <w:rFonts w:ascii="Times New Roman" w:hAnsi="Times New Roman" w:cs="Times New Roman" w:hint="eastAsia"/>
          <w:b/>
          <w:bCs/>
          <w:sz w:val="22"/>
          <w:szCs w:val="24"/>
        </w:rPr>
        <w:t>at this time</w:t>
      </w:r>
      <w:r w:rsidRPr="000A439F">
        <w:rPr>
          <w:rFonts w:ascii="Times New Roman" w:hAnsi="Times New Roman" w:cs="Times New Roman"/>
          <w:b/>
          <w:bCs/>
          <w:sz w:val="22"/>
          <w:szCs w:val="24"/>
        </w:rPr>
        <w:t xml:space="preserve">. We have revised the Discussion section to clarify this rationale and acknowledge the limitations of our cohort design, particularly regarding long-term outcomes. We </w:t>
      </w:r>
      <w:r w:rsidR="00F6688A">
        <w:rPr>
          <w:rFonts w:ascii="Times New Roman" w:hAnsi="Times New Roman" w:cs="Times New Roman" w:hint="eastAsia"/>
          <w:b/>
          <w:bCs/>
          <w:sz w:val="22"/>
          <w:szCs w:val="24"/>
        </w:rPr>
        <w:t xml:space="preserve">fully </w:t>
      </w:r>
      <w:r w:rsidRPr="000A439F">
        <w:rPr>
          <w:rFonts w:ascii="Times New Roman" w:hAnsi="Times New Roman" w:cs="Times New Roman"/>
          <w:b/>
          <w:bCs/>
          <w:sz w:val="22"/>
          <w:szCs w:val="24"/>
        </w:rPr>
        <w:t>agree</w:t>
      </w:r>
      <w:r w:rsidR="0046397A">
        <w:rPr>
          <w:rFonts w:ascii="Times New Roman" w:hAnsi="Times New Roman" w:cs="Times New Roman" w:hint="eastAsia"/>
          <w:b/>
          <w:bCs/>
          <w:sz w:val="22"/>
          <w:szCs w:val="24"/>
        </w:rPr>
        <w:t xml:space="preserve"> </w:t>
      </w:r>
      <w:r w:rsidRPr="000A439F">
        <w:rPr>
          <w:rFonts w:ascii="Times New Roman" w:hAnsi="Times New Roman" w:cs="Times New Roman"/>
          <w:b/>
          <w:bCs/>
          <w:sz w:val="22"/>
          <w:szCs w:val="24"/>
        </w:rPr>
        <w:t>that fever resolution alone is not a sufficient endpoint</w:t>
      </w:r>
      <w:r w:rsidR="00C403D0">
        <w:rPr>
          <w:rFonts w:ascii="Times New Roman" w:hAnsi="Times New Roman" w:cs="Times New Roman" w:hint="eastAsia"/>
          <w:b/>
          <w:bCs/>
          <w:sz w:val="22"/>
          <w:szCs w:val="24"/>
        </w:rPr>
        <w:t xml:space="preserve"> for KD</w:t>
      </w:r>
      <w:r w:rsidR="00F6688A">
        <w:rPr>
          <w:rFonts w:ascii="Times New Roman" w:hAnsi="Times New Roman" w:cs="Times New Roman" w:hint="eastAsia"/>
          <w:b/>
          <w:bCs/>
          <w:sz w:val="22"/>
          <w:szCs w:val="24"/>
        </w:rPr>
        <w:t xml:space="preserve">, and </w:t>
      </w:r>
      <w:r w:rsidR="009E1A61">
        <w:rPr>
          <w:rFonts w:ascii="Times New Roman" w:hAnsi="Times New Roman" w:cs="Times New Roman"/>
          <w:b/>
          <w:bCs/>
          <w:sz w:val="22"/>
          <w:szCs w:val="24"/>
        </w:rPr>
        <w:t xml:space="preserve">that </w:t>
      </w:r>
      <w:r w:rsidR="00F7296B">
        <w:rPr>
          <w:rFonts w:ascii="Times New Roman" w:hAnsi="Times New Roman" w:cs="Times New Roman" w:hint="eastAsia"/>
          <w:b/>
          <w:bCs/>
          <w:sz w:val="22"/>
          <w:szCs w:val="24"/>
        </w:rPr>
        <w:t xml:space="preserve">our future task is </w:t>
      </w:r>
      <w:r w:rsidR="00FB1A9D">
        <w:rPr>
          <w:rFonts w:ascii="Times New Roman" w:hAnsi="Times New Roman" w:cs="Times New Roman" w:hint="eastAsia"/>
          <w:b/>
          <w:bCs/>
          <w:sz w:val="22"/>
          <w:szCs w:val="24"/>
        </w:rPr>
        <w:t xml:space="preserve">to </w:t>
      </w:r>
      <w:r w:rsidR="00972BA0">
        <w:rPr>
          <w:rFonts w:ascii="Times New Roman" w:hAnsi="Times New Roman" w:cs="Times New Roman"/>
          <w:b/>
          <w:bCs/>
          <w:sz w:val="22"/>
          <w:szCs w:val="24"/>
        </w:rPr>
        <w:t>promot</w:t>
      </w:r>
      <w:r w:rsidR="00FB1A9D">
        <w:rPr>
          <w:rFonts w:ascii="Times New Roman" w:hAnsi="Times New Roman" w:cs="Times New Roman" w:hint="eastAsia"/>
          <w:b/>
          <w:bCs/>
          <w:sz w:val="22"/>
          <w:szCs w:val="24"/>
        </w:rPr>
        <w:t>e</w:t>
      </w:r>
      <w:r w:rsidR="00972BA0">
        <w:rPr>
          <w:rFonts w:ascii="Times New Roman" w:hAnsi="Times New Roman" w:cs="Times New Roman"/>
          <w:b/>
          <w:bCs/>
          <w:sz w:val="22"/>
          <w:szCs w:val="24"/>
        </w:rPr>
        <w:t xml:space="preserve"> re</w:t>
      </w:r>
      <w:r w:rsidR="00F7296B">
        <w:rPr>
          <w:rFonts w:ascii="Times New Roman" w:hAnsi="Times New Roman" w:cs="Times New Roman" w:hint="eastAsia"/>
          <w:b/>
          <w:bCs/>
          <w:sz w:val="22"/>
          <w:szCs w:val="24"/>
        </w:rPr>
        <w:t xml:space="preserve">search </w:t>
      </w:r>
      <w:r w:rsidR="00B758CD">
        <w:rPr>
          <w:rFonts w:ascii="Times New Roman" w:hAnsi="Times New Roman" w:cs="Times New Roman" w:hint="eastAsia"/>
          <w:b/>
          <w:bCs/>
          <w:sz w:val="22"/>
          <w:szCs w:val="24"/>
        </w:rPr>
        <w:t xml:space="preserve">on IFX-refractory KD </w:t>
      </w:r>
      <w:r w:rsidR="00C93315">
        <w:rPr>
          <w:rFonts w:ascii="Times New Roman" w:hAnsi="Times New Roman" w:cs="Times New Roman" w:hint="eastAsia"/>
          <w:b/>
          <w:bCs/>
          <w:sz w:val="22"/>
          <w:szCs w:val="24"/>
        </w:rPr>
        <w:t xml:space="preserve">with </w:t>
      </w:r>
      <w:r w:rsidR="003D0199">
        <w:rPr>
          <w:rFonts w:ascii="Times New Roman" w:hAnsi="Times New Roman" w:cs="Times New Roman" w:hint="eastAsia"/>
          <w:b/>
          <w:bCs/>
          <w:sz w:val="22"/>
          <w:szCs w:val="24"/>
        </w:rPr>
        <w:t xml:space="preserve">CAL as </w:t>
      </w:r>
      <w:r w:rsidR="00C93315">
        <w:rPr>
          <w:rFonts w:ascii="Times New Roman" w:hAnsi="Times New Roman" w:cs="Times New Roman" w:hint="eastAsia"/>
          <w:b/>
          <w:bCs/>
          <w:sz w:val="22"/>
          <w:szCs w:val="24"/>
        </w:rPr>
        <w:t>a</w:t>
      </w:r>
      <w:r w:rsidR="004F7242">
        <w:rPr>
          <w:rFonts w:ascii="Times New Roman" w:hAnsi="Times New Roman" w:cs="Times New Roman" w:hint="eastAsia"/>
          <w:b/>
          <w:bCs/>
          <w:sz w:val="22"/>
          <w:szCs w:val="24"/>
        </w:rPr>
        <w:t>n</w:t>
      </w:r>
      <w:r w:rsidR="00C93315">
        <w:rPr>
          <w:rFonts w:ascii="Times New Roman" w:hAnsi="Times New Roman" w:cs="Times New Roman" w:hint="eastAsia"/>
          <w:b/>
          <w:bCs/>
          <w:sz w:val="22"/>
          <w:szCs w:val="24"/>
        </w:rPr>
        <w:t xml:space="preserve"> endpoint</w:t>
      </w:r>
      <w:r w:rsidRPr="000A439F">
        <w:rPr>
          <w:rFonts w:ascii="Times New Roman" w:hAnsi="Times New Roman" w:cs="Times New Roman"/>
          <w:b/>
          <w:bCs/>
          <w:sz w:val="22"/>
          <w:szCs w:val="24"/>
        </w:rPr>
        <w:t>.</w:t>
      </w:r>
    </w:p>
    <w:p w14:paraId="17C45488" w14:textId="77777777" w:rsidR="002103C5" w:rsidRPr="003D0199" w:rsidRDefault="002103C5" w:rsidP="006C153C">
      <w:pPr>
        <w:rPr>
          <w:rFonts w:ascii="Times New Roman" w:hAnsi="Times New Roman" w:cs="Times New Roman"/>
          <w:b/>
          <w:bCs/>
          <w:sz w:val="22"/>
          <w:szCs w:val="24"/>
        </w:rPr>
      </w:pPr>
    </w:p>
    <w:p w14:paraId="2C26E7F1" w14:textId="77777777" w:rsidR="002103C5" w:rsidRPr="00CB7EBA" w:rsidRDefault="002103C5" w:rsidP="002103C5">
      <w:pPr>
        <w:rPr>
          <w:rFonts w:ascii="Times New Roman" w:hAnsi="Times New Roman" w:cs="Times New Roman"/>
          <w:b/>
          <w:bCs/>
          <w:sz w:val="22"/>
          <w:szCs w:val="24"/>
        </w:rPr>
      </w:pPr>
      <w:r w:rsidRPr="00CB7EBA">
        <w:rPr>
          <w:rFonts w:ascii="Times New Roman" w:hAnsi="Times New Roman" w:cs="Times New Roman"/>
          <w:b/>
          <w:bCs/>
          <w:sz w:val="22"/>
          <w:szCs w:val="24"/>
        </w:rPr>
        <w:t>The following sentences were added to the Discussion section:</w:t>
      </w:r>
    </w:p>
    <w:p w14:paraId="4CCB43F6" w14:textId="1205FDF8" w:rsidR="00DB710A" w:rsidRPr="00603CCF" w:rsidRDefault="002103C5" w:rsidP="008A0C9F">
      <w:pPr>
        <w:rPr>
          <w:rFonts w:ascii="Times New Roman" w:hAnsi="Times New Roman" w:cs="Times New Roman"/>
          <w:color w:val="FF0000"/>
          <w:sz w:val="22"/>
          <w:szCs w:val="24"/>
        </w:rPr>
      </w:pPr>
      <w:r w:rsidRPr="00CB7EBA">
        <w:rPr>
          <w:rFonts w:ascii="Times New Roman" w:hAnsi="Times New Roman" w:cs="Times New Roman"/>
          <w:b/>
          <w:bCs/>
          <w:color w:val="FF0000"/>
          <w:sz w:val="22"/>
          <w:szCs w:val="24"/>
        </w:rPr>
        <w:t>“</w:t>
      </w:r>
      <w:r w:rsidR="00712DCF">
        <w:rPr>
          <w:rFonts w:ascii="Times New Roman" w:hAnsi="Times New Roman" w:cs="Times New Roman"/>
          <w:b/>
          <w:bCs/>
          <w:color w:val="FF0000"/>
          <w:sz w:val="22"/>
          <w:szCs w:val="24"/>
        </w:rPr>
        <w:t>Another</w:t>
      </w:r>
      <w:r w:rsidR="00712DCF">
        <w:rPr>
          <w:rFonts w:ascii="Times New Roman" w:hAnsi="Times New Roman" w:cs="Times New Roman" w:hint="eastAsia"/>
          <w:b/>
          <w:bCs/>
          <w:color w:val="FF0000"/>
          <w:sz w:val="22"/>
          <w:szCs w:val="24"/>
        </w:rPr>
        <w:t xml:space="preserve"> limitation lies in comparability</w:t>
      </w:r>
      <w:r w:rsidR="00345680">
        <w:rPr>
          <w:rFonts w:ascii="Times New Roman" w:hAnsi="Times New Roman" w:cs="Times New Roman" w:hint="eastAsia"/>
          <w:b/>
          <w:bCs/>
          <w:color w:val="FF0000"/>
          <w:sz w:val="22"/>
          <w:szCs w:val="24"/>
        </w:rPr>
        <w:t xml:space="preserve">, </w:t>
      </w:r>
      <w:r w:rsidR="00345680">
        <w:rPr>
          <w:rFonts w:ascii="Times New Roman" w:hAnsi="Times New Roman" w:cs="Times New Roman"/>
          <w:b/>
          <w:bCs/>
          <w:color w:val="FF0000"/>
          <w:sz w:val="22"/>
          <w:szCs w:val="24"/>
        </w:rPr>
        <w:t>particularly</w:t>
      </w:r>
      <w:r w:rsidR="00345680">
        <w:rPr>
          <w:rFonts w:ascii="Times New Roman" w:hAnsi="Times New Roman" w:cs="Times New Roman" w:hint="eastAsia"/>
          <w:b/>
          <w:bCs/>
          <w:color w:val="FF0000"/>
          <w:sz w:val="22"/>
          <w:szCs w:val="24"/>
        </w:rPr>
        <w:t xml:space="preserve"> </w:t>
      </w:r>
      <w:r w:rsidR="0097749C">
        <w:rPr>
          <w:rFonts w:ascii="Times New Roman" w:hAnsi="Times New Roman" w:cs="Times New Roman" w:hint="eastAsia"/>
          <w:b/>
          <w:bCs/>
          <w:color w:val="FF0000"/>
          <w:sz w:val="22"/>
          <w:szCs w:val="24"/>
        </w:rPr>
        <w:t>o</w:t>
      </w:r>
      <w:r w:rsidR="001311D3">
        <w:rPr>
          <w:rFonts w:ascii="Times New Roman" w:hAnsi="Times New Roman" w:cs="Times New Roman" w:hint="eastAsia"/>
          <w:b/>
          <w:bCs/>
          <w:color w:val="FF0000"/>
          <w:sz w:val="22"/>
          <w:szCs w:val="24"/>
        </w:rPr>
        <w:t>f</w:t>
      </w:r>
      <w:r w:rsidR="00345680">
        <w:rPr>
          <w:rFonts w:ascii="Times New Roman" w:hAnsi="Times New Roman" w:cs="Times New Roman" w:hint="eastAsia"/>
          <w:b/>
          <w:bCs/>
          <w:color w:val="FF0000"/>
          <w:sz w:val="22"/>
          <w:szCs w:val="24"/>
        </w:rPr>
        <w:t xml:space="preserve"> the CAL</w:t>
      </w:r>
      <w:r w:rsidR="00EE46C7">
        <w:rPr>
          <w:rFonts w:ascii="Times New Roman" w:hAnsi="Times New Roman" w:cs="Times New Roman" w:hint="eastAsia"/>
          <w:b/>
          <w:bCs/>
          <w:color w:val="FF0000"/>
          <w:sz w:val="22"/>
          <w:szCs w:val="24"/>
        </w:rPr>
        <w:t xml:space="preserve"> incidence</w:t>
      </w:r>
      <w:r w:rsidR="00EE46C7">
        <w:rPr>
          <w:rFonts w:ascii="Times New Roman" w:hAnsi="Times New Roman" w:cs="Times New Roman"/>
          <w:b/>
          <w:bCs/>
          <w:color w:val="FF0000"/>
          <w:sz w:val="22"/>
          <w:szCs w:val="24"/>
        </w:rPr>
        <w:t>.</w:t>
      </w:r>
      <w:r w:rsidR="00345680">
        <w:rPr>
          <w:rFonts w:ascii="Times New Roman" w:hAnsi="Times New Roman" w:cs="Times New Roman" w:hint="eastAsia"/>
          <w:b/>
          <w:bCs/>
          <w:color w:val="FF0000"/>
          <w:sz w:val="22"/>
          <w:szCs w:val="24"/>
        </w:rPr>
        <w:t xml:space="preserve"> </w:t>
      </w:r>
      <w:r w:rsidR="00DA5647" w:rsidRPr="00DA5647">
        <w:rPr>
          <w:rFonts w:ascii="Times New Roman" w:hAnsi="Times New Roman" w:cs="Times New Roman"/>
          <w:b/>
          <w:bCs/>
          <w:color w:val="FF0000"/>
          <w:sz w:val="22"/>
          <w:szCs w:val="24"/>
        </w:rPr>
        <w:t xml:space="preserve">A direct comparison of </w:t>
      </w:r>
      <w:r w:rsidR="00BA6B16">
        <w:rPr>
          <w:rFonts w:ascii="Times New Roman" w:hAnsi="Times New Roman" w:cs="Times New Roman"/>
          <w:b/>
          <w:bCs/>
          <w:color w:val="FF0000"/>
          <w:sz w:val="22"/>
          <w:szCs w:val="24"/>
        </w:rPr>
        <w:t xml:space="preserve">the </w:t>
      </w:r>
      <w:r w:rsidR="00BA6B16" w:rsidRPr="00BA6B16">
        <w:rPr>
          <w:rFonts w:ascii="Times New Roman" w:hAnsi="Times New Roman" w:cs="Times New Roman"/>
          <w:b/>
          <w:bCs/>
          <w:color w:val="FF0000"/>
          <w:sz w:val="22"/>
          <w:szCs w:val="24"/>
        </w:rPr>
        <w:t>frequency</w:t>
      </w:r>
      <w:r w:rsidR="00BA6B16">
        <w:rPr>
          <w:rFonts w:ascii="Times New Roman" w:hAnsi="Times New Roman" w:cs="Times New Roman"/>
          <w:b/>
          <w:bCs/>
          <w:color w:val="FF0000"/>
          <w:sz w:val="22"/>
          <w:szCs w:val="24"/>
        </w:rPr>
        <w:t xml:space="preserve"> of</w:t>
      </w:r>
      <w:r w:rsidR="00BA6B16" w:rsidRPr="00DA5647">
        <w:rPr>
          <w:rFonts w:ascii="Times New Roman" w:hAnsi="Times New Roman" w:cs="Times New Roman"/>
          <w:b/>
          <w:bCs/>
          <w:color w:val="FF0000"/>
          <w:sz w:val="22"/>
          <w:szCs w:val="24"/>
        </w:rPr>
        <w:t xml:space="preserve"> </w:t>
      </w:r>
      <w:r w:rsidR="00DA5647" w:rsidRPr="00DA5647">
        <w:rPr>
          <w:rFonts w:ascii="Times New Roman" w:hAnsi="Times New Roman" w:cs="Times New Roman"/>
          <w:b/>
          <w:bCs/>
          <w:color w:val="FF0000"/>
          <w:sz w:val="22"/>
          <w:szCs w:val="24"/>
        </w:rPr>
        <w:t>CA</w:t>
      </w:r>
      <w:r w:rsidR="00DA5647" w:rsidRPr="00BA6B16">
        <w:rPr>
          <w:rFonts w:ascii="Times New Roman" w:hAnsi="Times New Roman" w:cs="Times New Roman"/>
          <w:b/>
          <w:bCs/>
          <w:color w:val="FF0000"/>
          <w:sz w:val="22"/>
          <w:szCs w:val="24"/>
        </w:rPr>
        <w:t xml:space="preserve">Ls, </w:t>
      </w:r>
      <w:r w:rsidR="00F17A86">
        <w:rPr>
          <w:rFonts w:ascii="Times New Roman" w:hAnsi="Times New Roman" w:cs="Times New Roman" w:hint="eastAsia"/>
          <w:b/>
          <w:bCs/>
          <w:color w:val="FF0000"/>
          <w:sz w:val="22"/>
          <w:szCs w:val="24"/>
        </w:rPr>
        <w:t>the</w:t>
      </w:r>
      <w:r w:rsidR="00DA5647">
        <w:rPr>
          <w:rFonts w:ascii="Times New Roman" w:hAnsi="Times New Roman" w:cs="Times New Roman"/>
          <w:b/>
          <w:bCs/>
          <w:color w:val="FF0000"/>
          <w:sz w:val="22"/>
          <w:szCs w:val="24"/>
        </w:rPr>
        <w:t xml:space="preserve"> </w:t>
      </w:r>
      <w:r w:rsidR="00BA4720">
        <w:rPr>
          <w:rFonts w:ascii="Times New Roman" w:hAnsi="Times New Roman" w:cs="Times New Roman" w:hint="eastAsia"/>
          <w:b/>
          <w:bCs/>
          <w:color w:val="FF0000"/>
          <w:sz w:val="22"/>
          <w:szCs w:val="24"/>
        </w:rPr>
        <w:t>long-term</w:t>
      </w:r>
      <w:r w:rsidR="00582DCA">
        <w:rPr>
          <w:rFonts w:ascii="Times New Roman" w:hAnsi="Times New Roman" w:cs="Times New Roman" w:hint="eastAsia"/>
          <w:b/>
          <w:bCs/>
          <w:color w:val="FF0000"/>
          <w:sz w:val="22"/>
          <w:szCs w:val="24"/>
        </w:rPr>
        <w:t xml:space="preserve"> </w:t>
      </w:r>
      <w:r w:rsidR="00716174">
        <w:rPr>
          <w:rFonts w:ascii="Times New Roman" w:hAnsi="Times New Roman" w:cs="Times New Roman" w:hint="eastAsia"/>
          <w:b/>
          <w:bCs/>
          <w:color w:val="FF0000"/>
          <w:sz w:val="22"/>
          <w:szCs w:val="24"/>
        </w:rPr>
        <w:t>outcome o</w:t>
      </w:r>
      <w:r w:rsidR="00582DCA">
        <w:rPr>
          <w:rFonts w:ascii="Times New Roman" w:hAnsi="Times New Roman" w:cs="Times New Roman" w:hint="eastAsia"/>
          <w:b/>
          <w:bCs/>
          <w:color w:val="FF0000"/>
          <w:sz w:val="22"/>
          <w:szCs w:val="24"/>
        </w:rPr>
        <w:t>f KD</w:t>
      </w:r>
      <w:r w:rsidR="00AE78BB">
        <w:rPr>
          <w:rFonts w:ascii="Times New Roman" w:hAnsi="Times New Roman" w:cs="Times New Roman" w:hint="eastAsia"/>
          <w:b/>
          <w:bCs/>
          <w:color w:val="FF0000"/>
          <w:sz w:val="22"/>
          <w:szCs w:val="24"/>
        </w:rPr>
        <w:t xml:space="preserve"> treatment</w:t>
      </w:r>
      <w:r w:rsidR="00BA6B16">
        <w:rPr>
          <w:rFonts w:ascii="Times New Roman" w:hAnsi="Times New Roman" w:cs="Times New Roman"/>
          <w:b/>
          <w:bCs/>
          <w:color w:val="FF0000"/>
          <w:sz w:val="22"/>
          <w:szCs w:val="24"/>
        </w:rPr>
        <w:t>,</w:t>
      </w:r>
      <w:r w:rsidR="00DA5647" w:rsidRPr="00DA5647">
        <w:rPr>
          <w:rFonts w:ascii="Times New Roman" w:hAnsi="Times New Roman" w:cs="Times New Roman"/>
          <w:b/>
          <w:bCs/>
          <w:color w:val="FF0000"/>
          <w:sz w:val="22"/>
          <w:szCs w:val="24"/>
        </w:rPr>
        <w:t xml:space="preserve"> was avoided, </w:t>
      </w:r>
      <w:r w:rsidR="00BA6B16">
        <w:rPr>
          <w:rFonts w:ascii="Times New Roman" w:hAnsi="Times New Roman" w:cs="Times New Roman"/>
          <w:b/>
          <w:bCs/>
          <w:color w:val="FF0000"/>
          <w:sz w:val="22"/>
          <w:szCs w:val="24"/>
        </w:rPr>
        <w:t>because</w:t>
      </w:r>
      <w:r w:rsidR="00DA5647" w:rsidRPr="00DA5647">
        <w:rPr>
          <w:rFonts w:ascii="Times New Roman" w:hAnsi="Times New Roman" w:cs="Times New Roman"/>
          <w:b/>
          <w:bCs/>
          <w:color w:val="FF0000"/>
          <w:sz w:val="22"/>
          <w:szCs w:val="24"/>
        </w:rPr>
        <w:t xml:space="preserve"> the</w:t>
      </w:r>
      <w:r w:rsidR="00BA6B16">
        <w:rPr>
          <w:rFonts w:ascii="Times New Roman" w:hAnsi="Times New Roman" w:cs="Times New Roman"/>
          <w:b/>
          <w:bCs/>
          <w:color w:val="FF0000"/>
          <w:sz w:val="22"/>
          <w:szCs w:val="24"/>
        </w:rPr>
        <w:t>re were apparent</w:t>
      </w:r>
      <w:r w:rsidR="00DA5647" w:rsidRPr="00DA5647">
        <w:rPr>
          <w:rFonts w:ascii="Times New Roman" w:hAnsi="Times New Roman" w:cs="Times New Roman"/>
          <w:b/>
          <w:bCs/>
          <w:color w:val="FF0000"/>
          <w:sz w:val="22"/>
          <w:szCs w:val="24"/>
        </w:rPr>
        <w:t xml:space="preserve"> differences </w:t>
      </w:r>
      <w:r w:rsidR="005D08C3">
        <w:rPr>
          <w:rFonts w:ascii="Times New Roman" w:hAnsi="Times New Roman" w:cs="Times New Roman"/>
          <w:b/>
          <w:bCs/>
          <w:color w:val="FF0000"/>
          <w:sz w:val="22"/>
          <w:szCs w:val="24"/>
        </w:rPr>
        <w:t>in</w:t>
      </w:r>
      <w:r w:rsidR="00C040AA">
        <w:rPr>
          <w:rFonts w:ascii="Times New Roman" w:hAnsi="Times New Roman" w:cs="Times New Roman" w:hint="eastAsia"/>
          <w:b/>
          <w:bCs/>
          <w:color w:val="FF0000"/>
          <w:sz w:val="22"/>
          <w:szCs w:val="24"/>
        </w:rPr>
        <w:t xml:space="preserve"> </w:t>
      </w:r>
      <w:r w:rsidR="00C040AA">
        <w:rPr>
          <w:rFonts w:ascii="Times New Roman" w:hAnsi="Times New Roman" w:cs="Times New Roman"/>
          <w:b/>
          <w:bCs/>
          <w:color w:val="FF0000"/>
          <w:sz w:val="22"/>
          <w:szCs w:val="24"/>
        </w:rPr>
        <w:t>disease</w:t>
      </w:r>
      <w:r w:rsidR="00C040AA">
        <w:rPr>
          <w:rFonts w:ascii="Times New Roman" w:hAnsi="Times New Roman" w:cs="Times New Roman" w:hint="eastAsia"/>
          <w:b/>
          <w:bCs/>
          <w:color w:val="FF0000"/>
          <w:sz w:val="22"/>
          <w:szCs w:val="24"/>
        </w:rPr>
        <w:t xml:space="preserve"> severities </w:t>
      </w:r>
      <w:r w:rsidR="00DA5647" w:rsidRPr="00DA5647">
        <w:rPr>
          <w:rFonts w:ascii="Times New Roman" w:hAnsi="Times New Roman" w:cs="Times New Roman"/>
          <w:b/>
          <w:bCs/>
          <w:color w:val="FF0000"/>
          <w:sz w:val="22"/>
          <w:szCs w:val="24"/>
        </w:rPr>
        <w:t xml:space="preserve">between groups. The IVIG-after-IFX group included patients who had already failed </w:t>
      </w:r>
      <w:r w:rsidR="00DA5647">
        <w:rPr>
          <w:rFonts w:ascii="Times New Roman" w:hAnsi="Times New Roman" w:cs="Times New Roman"/>
          <w:b/>
          <w:bCs/>
          <w:color w:val="FF0000"/>
          <w:sz w:val="22"/>
          <w:szCs w:val="24"/>
        </w:rPr>
        <w:t>at least one</w:t>
      </w:r>
      <w:r w:rsidR="00DA5647" w:rsidRPr="00DA5647">
        <w:rPr>
          <w:rFonts w:ascii="Times New Roman" w:hAnsi="Times New Roman" w:cs="Times New Roman"/>
          <w:b/>
          <w:bCs/>
          <w:color w:val="FF0000"/>
          <w:sz w:val="22"/>
          <w:szCs w:val="24"/>
        </w:rPr>
        <w:t xml:space="preserve"> dose of IVIG</w:t>
      </w:r>
      <w:r w:rsidR="00DA5647">
        <w:rPr>
          <w:rFonts w:ascii="Times New Roman" w:hAnsi="Times New Roman" w:cs="Times New Roman"/>
          <w:b/>
          <w:bCs/>
          <w:color w:val="FF0000"/>
          <w:sz w:val="22"/>
          <w:szCs w:val="24"/>
        </w:rPr>
        <w:t xml:space="preserve"> and IFX</w:t>
      </w:r>
      <w:r w:rsidR="00DA5647" w:rsidRPr="00DA5647">
        <w:rPr>
          <w:rFonts w:ascii="Times New Roman" w:hAnsi="Times New Roman" w:cs="Times New Roman"/>
          <w:b/>
          <w:bCs/>
          <w:color w:val="FF0000"/>
          <w:sz w:val="22"/>
          <w:szCs w:val="24"/>
        </w:rPr>
        <w:t>, representing a more resistant population, whereas the second-IVIG group consisted of less refractory cases. Given this fundamental difference, any direct comparison of</w:t>
      </w:r>
      <w:r w:rsidR="00BA6B16">
        <w:rPr>
          <w:rFonts w:ascii="Times New Roman" w:hAnsi="Times New Roman" w:cs="Times New Roman"/>
          <w:b/>
          <w:bCs/>
          <w:color w:val="FF0000"/>
          <w:sz w:val="22"/>
          <w:szCs w:val="24"/>
        </w:rPr>
        <w:t xml:space="preserve"> the </w:t>
      </w:r>
      <w:r w:rsidR="00BA6B16" w:rsidRPr="00BA6B16">
        <w:rPr>
          <w:rFonts w:ascii="Times New Roman" w:hAnsi="Times New Roman" w:cs="Times New Roman"/>
          <w:b/>
          <w:bCs/>
          <w:color w:val="FF0000"/>
          <w:sz w:val="22"/>
          <w:szCs w:val="24"/>
        </w:rPr>
        <w:t>frequency</w:t>
      </w:r>
      <w:r w:rsidR="00BA6B16">
        <w:rPr>
          <w:rFonts w:ascii="Times New Roman" w:hAnsi="Times New Roman" w:cs="Times New Roman"/>
          <w:b/>
          <w:bCs/>
          <w:color w:val="FF0000"/>
          <w:sz w:val="22"/>
          <w:szCs w:val="24"/>
        </w:rPr>
        <w:t xml:space="preserve"> of</w:t>
      </w:r>
      <w:r w:rsidR="00DA5647" w:rsidRPr="00DA5647">
        <w:rPr>
          <w:rFonts w:ascii="Times New Roman" w:hAnsi="Times New Roman" w:cs="Times New Roman"/>
          <w:b/>
          <w:bCs/>
          <w:color w:val="FF0000"/>
          <w:sz w:val="22"/>
          <w:szCs w:val="24"/>
        </w:rPr>
        <w:t xml:space="preserve"> CAL</w:t>
      </w:r>
      <w:r w:rsidR="00BA6B16">
        <w:rPr>
          <w:rFonts w:ascii="Times New Roman" w:hAnsi="Times New Roman" w:cs="Times New Roman"/>
          <w:b/>
          <w:bCs/>
          <w:color w:val="FF0000"/>
          <w:sz w:val="22"/>
          <w:szCs w:val="24"/>
        </w:rPr>
        <w:t>s</w:t>
      </w:r>
      <w:r w:rsidR="00DA5647" w:rsidRPr="00DA5647">
        <w:rPr>
          <w:rFonts w:ascii="Times New Roman" w:hAnsi="Times New Roman" w:cs="Times New Roman"/>
          <w:b/>
          <w:bCs/>
          <w:color w:val="FF0000"/>
          <w:sz w:val="22"/>
          <w:szCs w:val="24"/>
        </w:rPr>
        <w:t xml:space="preserve"> would </w:t>
      </w:r>
      <w:r w:rsidR="00BA6B16">
        <w:rPr>
          <w:rFonts w:ascii="Times New Roman" w:hAnsi="Times New Roman" w:cs="Times New Roman"/>
          <w:b/>
          <w:bCs/>
          <w:color w:val="FF0000"/>
          <w:sz w:val="22"/>
          <w:szCs w:val="24"/>
        </w:rPr>
        <w:t>cause</w:t>
      </w:r>
      <w:r w:rsidR="00DA5647" w:rsidRPr="00DA5647">
        <w:rPr>
          <w:rFonts w:ascii="Times New Roman" w:hAnsi="Times New Roman" w:cs="Times New Roman"/>
          <w:b/>
          <w:bCs/>
          <w:color w:val="FF0000"/>
          <w:sz w:val="22"/>
          <w:szCs w:val="24"/>
        </w:rPr>
        <w:t xml:space="preserve"> significant confounding and may misrepresent the true effect of </w:t>
      </w:r>
      <w:r w:rsidR="00BA6B16">
        <w:rPr>
          <w:rFonts w:ascii="Times New Roman" w:hAnsi="Times New Roman" w:cs="Times New Roman"/>
          <w:b/>
          <w:bCs/>
          <w:color w:val="FF0000"/>
          <w:sz w:val="22"/>
          <w:szCs w:val="24"/>
        </w:rPr>
        <w:t>IVIG-after</w:t>
      </w:r>
      <w:r w:rsidR="00DA5647" w:rsidRPr="00DA5647">
        <w:rPr>
          <w:rFonts w:ascii="Times New Roman" w:hAnsi="Times New Roman" w:cs="Times New Roman"/>
          <w:b/>
          <w:bCs/>
          <w:color w:val="FF0000"/>
          <w:sz w:val="22"/>
          <w:szCs w:val="24"/>
        </w:rPr>
        <w:t xml:space="preserve">-IFX therapy. Therefore, </w:t>
      </w:r>
      <w:r w:rsidR="00525EC6">
        <w:rPr>
          <w:rFonts w:ascii="Times New Roman" w:hAnsi="Times New Roman" w:cs="Times New Roman" w:hint="eastAsia"/>
          <w:b/>
          <w:bCs/>
          <w:color w:val="FF0000"/>
          <w:sz w:val="22"/>
          <w:szCs w:val="24"/>
        </w:rPr>
        <w:t>the current study</w:t>
      </w:r>
      <w:r w:rsidR="00DA5647" w:rsidRPr="00DA5647">
        <w:rPr>
          <w:rFonts w:ascii="Times New Roman" w:hAnsi="Times New Roman" w:cs="Times New Roman"/>
          <w:b/>
          <w:bCs/>
          <w:color w:val="FF0000"/>
          <w:sz w:val="22"/>
          <w:szCs w:val="24"/>
        </w:rPr>
        <w:t xml:space="preserve"> </w:t>
      </w:r>
      <w:r w:rsidR="00B16725">
        <w:rPr>
          <w:rFonts w:ascii="Times New Roman" w:hAnsi="Times New Roman" w:cs="Times New Roman" w:hint="eastAsia"/>
          <w:b/>
          <w:bCs/>
          <w:color w:val="FF0000"/>
          <w:sz w:val="22"/>
          <w:szCs w:val="24"/>
        </w:rPr>
        <w:t xml:space="preserve">had to </w:t>
      </w:r>
      <w:r w:rsidR="00DA5647" w:rsidRPr="00DA5647">
        <w:rPr>
          <w:rFonts w:ascii="Times New Roman" w:hAnsi="Times New Roman" w:cs="Times New Roman"/>
          <w:b/>
          <w:bCs/>
          <w:color w:val="FF0000"/>
          <w:sz w:val="22"/>
          <w:szCs w:val="24"/>
        </w:rPr>
        <w:t xml:space="preserve">focus on </w:t>
      </w:r>
      <w:r w:rsidR="00351CC2">
        <w:rPr>
          <w:rFonts w:ascii="Times New Roman" w:hAnsi="Times New Roman" w:cs="Times New Roman" w:hint="eastAsia"/>
          <w:b/>
          <w:bCs/>
          <w:color w:val="FF0000"/>
          <w:sz w:val="22"/>
          <w:szCs w:val="24"/>
        </w:rPr>
        <w:t xml:space="preserve">the </w:t>
      </w:r>
      <w:r w:rsidR="00DA5647" w:rsidRPr="00DA5647">
        <w:rPr>
          <w:rFonts w:ascii="Times New Roman" w:hAnsi="Times New Roman" w:cs="Times New Roman"/>
          <w:b/>
          <w:bCs/>
          <w:color w:val="FF0000"/>
          <w:sz w:val="22"/>
          <w:szCs w:val="24"/>
        </w:rPr>
        <w:t>short-term therapeutic response</w:t>
      </w:r>
      <w:r w:rsidR="003C18C8">
        <w:rPr>
          <w:rFonts w:ascii="Times New Roman" w:hAnsi="Times New Roman" w:cs="Times New Roman" w:hint="eastAsia"/>
          <w:b/>
          <w:bCs/>
          <w:color w:val="FF0000"/>
          <w:sz w:val="22"/>
          <w:szCs w:val="24"/>
        </w:rPr>
        <w:t>, that is,</w:t>
      </w:r>
      <w:r w:rsidR="00BA6B16">
        <w:rPr>
          <w:rFonts w:ascii="Times New Roman" w:hAnsi="Times New Roman" w:cs="Times New Roman"/>
          <w:b/>
          <w:bCs/>
          <w:color w:val="FF0000"/>
          <w:sz w:val="22"/>
          <w:szCs w:val="24"/>
        </w:rPr>
        <w:t xml:space="preserve"> </w:t>
      </w:r>
      <w:r w:rsidR="00DA5647" w:rsidRPr="00DA5647">
        <w:rPr>
          <w:rFonts w:ascii="Times New Roman" w:hAnsi="Times New Roman" w:cs="Times New Roman"/>
          <w:b/>
          <w:bCs/>
          <w:color w:val="FF0000"/>
          <w:sz w:val="22"/>
          <w:szCs w:val="24"/>
        </w:rPr>
        <w:t>time to defervescence</w:t>
      </w:r>
      <w:r w:rsidR="00160BD8">
        <w:rPr>
          <w:rFonts w:ascii="Times New Roman" w:hAnsi="Times New Roman" w:cs="Times New Roman"/>
          <w:b/>
          <w:bCs/>
          <w:color w:val="FF0000"/>
          <w:sz w:val="22"/>
          <w:szCs w:val="24"/>
        </w:rPr>
        <w:t xml:space="preserve"> </w:t>
      </w:r>
      <w:r w:rsidR="00160BD8" w:rsidRPr="00160BD8">
        <w:rPr>
          <w:rFonts w:ascii="Times New Roman" w:hAnsi="Times New Roman" w:cs="Times New Roman"/>
          <w:b/>
          <w:bCs/>
          <w:color w:val="FF0000"/>
          <w:sz w:val="22"/>
          <w:szCs w:val="24"/>
        </w:rPr>
        <w:t xml:space="preserve">after initiating </w:t>
      </w:r>
      <w:r w:rsidR="00B935E4">
        <w:rPr>
          <w:rFonts w:ascii="Times New Roman" w:hAnsi="Times New Roman" w:cs="Times New Roman" w:hint="eastAsia"/>
          <w:b/>
          <w:bCs/>
          <w:color w:val="FF0000"/>
          <w:sz w:val="22"/>
          <w:szCs w:val="24"/>
        </w:rPr>
        <w:t xml:space="preserve">the index </w:t>
      </w:r>
      <w:r w:rsidR="00160BD8" w:rsidRPr="00160BD8">
        <w:rPr>
          <w:rFonts w:ascii="Times New Roman" w:hAnsi="Times New Roman" w:cs="Times New Roman"/>
          <w:b/>
          <w:bCs/>
          <w:color w:val="FF0000"/>
          <w:sz w:val="22"/>
          <w:szCs w:val="24"/>
        </w:rPr>
        <w:t>IVIG</w:t>
      </w:r>
      <w:r w:rsidR="001460AA">
        <w:rPr>
          <w:rFonts w:ascii="Times New Roman" w:hAnsi="Times New Roman" w:cs="Times New Roman" w:hint="eastAsia"/>
          <w:b/>
          <w:bCs/>
          <w:color w:val="FF0000"/>
          <w:sz w:val="22"/>
          <w:szCs w:val="24"/>
        </w:rPr>
        <w:t>,</w:t>
      </w:r>
      <w:r w:rsidR="00AF2474">
        <w:rPr>
          <w:rFonts w:ascii="Times New Roman" w:hAnsi="Times New Roman" w:cs="Times New Roman"/>
          <w:b/>
          <w:bCs/>
          <w:color w:val="FF0000"/>
          <w:sz w:val="22"/>
          <w:szCs w:val="24"/>
        </w:rPr>
        <w:t xml:space="preserve"> </w:t>
      </w:r>
      <w:r w:rsidR="00DA5647" w:rsidRPr="00DA5647">
        <w:rPr>
          <w:rFonts w:ascii="Times New Roman" w:hAnsi="Times New Roman" w:cs="Times New Roman"/>
          <w:b/>
          <w:bCs/>
          <w:color w:val="FF0000"/>
          <w:sz w:val="22"/>
          <w:szCs w:val="24"/>
        </w:rPr>
        <w:t>as a comparable outcome</w:t>
      </w:r>
      <w:r w:rsidR="00157F13">
        <w:rPr>
          <w:rFonts w:ascii="Times New Roman" w:hAnsi="Times New Roman" w:cs="Times New Roman" w:hint="eastAsia"/>
          <w:b/>
          <w:bCs/>
          <w:color w:val="FF0000"/>
          <w:sz w:val="22"/>
          <w:szCs w:val="24"/>
        </w:rPr>
        <w:t xml:space="preserve"> at this time</w:t>
      </w:r>
      <w:r w:rsidR="00DA5647" w:rsidRPr="00DA5647">
        <w:rPr>
          <w:rFonts w:ascii="Times New Roman" w:hAnsi="Times New Roman" w:cs="Times New Roman"/>
          <w:b/>
          <w:bCs/>
          <w:color w:val="FF0000"/>
          <w:sz w:val="22"/>
          <w:szCs w:val="24"/>
        </w:rPr>
        <w:t>.</w:t>
      </w:r>
      <w:r w:rsidRPr="00CB7EBA">
        <w:rPr>
          <w:rFonts w:ascii="Times New Roman" w:hAnsi="Times New Roman" w:cs="Times New Roman"/>
          <w:b/>
          <w:bCs/>
          <w:color w:val="FF0000"/>
          <w:sz w:val="22"/>
          <w:szCs w:val="24"/>
        </w:rPr>
        <w:t>”</w:t>
      </w:r>
      <w:r w:rsidRPr="00CB7EBA">
        <w:rPr>
          <w:rFonts w:ascii="Times New Roman" w:hAnsi="Times New Roman" w:cs="Times New Roman" w:hint="eastAsia"/>
          <w:b/>
          <w:bCs/>
          <w:color w:val="FF0000"/>
          <w:sz w:val="22"/>
          <w:szCs w:val="24"/>
        </w:rPr>
        <w:t xml:space="preserve"> (Page </w:t>
      </w:r>
      <w:r w:rsidR="00856216">
        <w:rPr>
          <w:rFonts w:ascii="Times New Roman" w:hAnsi="Times New Roman" w:cs="Times New Roman"/>
          <w:b/>
          <w:bCs/>
          <w:color w:val="FF0000"/>
          <w:sz w:val="22"/>
          <w:szCs w:val="24"/>
        </w:rPr>
        <w:t>13</w:t>
      </w:r>
      <w:r w:rsidRPr="00CB7EBA">
        <w:rPr>
          <w:rFonts w:ascii="Times New Roman" w:hAnsi="Times New Roman" w:cs="Times New Roman" w:hint="eastAsia"/>
          <w:b/>
          <w:bCs/>
          <w:color w:val="FF0000"/>
          <w:sz w:val="22"/>
          <w:szCs w:val="24"/>
        </w:rPr>
        <w:t xml:space="preserve">, Line </w:t>
      </w:r>
      <w:r w:rsidR="00E86AD2">
        <w:rPr>
          <w:rFonts w:ascii="Times New Roman" w:hAnsi="Times New Roman" w:cs="Times New Roman" w:hint="eastAsia"/>
          <w:b/>
          <w:bCs/>
          <w:color w:val="FF0000"/>
          <w:sz w:val="22"/>
          <w:szCs w:val="24"/>
        </w:rPr>
        <w:t>20</w:t>
      </w:r>
      <w:r w:rsidR="004C75F6">
        <w:rPr>
          <w:rFonts w:ascii="Times New Roman" w:hAnsi="Times New Roman" w:cs="Times New Roman" w:hint="eastAsia"/>
          <w:b/>
          <w:bCs/>
          <w:color w:val="FF0000"/>
          <w:sz w:val="22"/>
          <w:szCs w:val="24"/>
        </w:rPr>
        <w:t xml:space="preserve"> </w:t>
      </w:r>
      <w:r w:rsidRPr="00CB7EBA">
        <w:rPr>
          <w:rFonts w:ascii="Times New Roman" w:hAnsi="Times New Roman" w:cs="Times New Roman"/>
          <w:b/>
          <w:bCs/>
          <w:color w:val="FF0000"/>
          <w:sz w:val="22"/>
          <w:szCs w:val="24"/>
        </w:rPr>
        <w:t>–</w:t>
      </w:r>
      <w:r w:rsidR="00E86AD2">
        <w:rPr>
          <w:rFonts w:ascii="Times New Roman" w:hAnsi="Times New Roman" w:cs="Times New Roman" w:hint="eastAsia"/>
          <w:b/>
          <w:bCs/>
          <w:color w:val="FF0000"/>
          <w:sz w:val="22"/>
          <w:szCs w:val="24"/>
        </w:rPr>
        <w:t xml:space="preserve"> Page 14, </w:t>
      </w:r>
      <w:r w:rsidR="004C75F6">
        <w:rPr>
          <w:rFonts w:ascii="Times New Roman" w:hAnsi="Times New Roman" w:cs="Times New Roman" w:hint="eastAsia"/>
          <w:b/>
          <w:bCs/>
          <w:color w:val="FF0000"/>
          <w:sz w:val="22"/>
          <w:szCs w:val="24"/>
        </w:rPr>
        <w:t xml:space="preserve">Line </w:t>
      </w:r>
      <w:r w:rsidR="00856216">
        <w:rPr>
          <w:rFonts w:ascii="Times New Roman" w:hAnsi="Times New Roman" w:cs="Times New Roman"/>
          <w:b/>
          <w:bCs/>
          <w:color w:val="FF0000"/>
          <w:sz w:val="22"/>
          <w:szCs w:val="24"/>
        </w:rPr>
        <w:t>2</w:t>
      </w:r>
      <w:r w:rsidRPr="00CB7EBA">
        <w:rPr>
          <w:rFonts w:ascii="Times New Roman" w:hAnsi="Times New Roman" w:cs="Times New Roman" w:hint="eastAsia"/>
          <w:b/>
          <w:bCs/>
          <w:color w:val="FF0000"/>
          <w:sz w:val="22"/>
          <w:szCs w:val="24"/>
        </w:rPr>
        <w:t>)</w:t>
      </w:r>
    </w:p>
    <w:p w14:paraId="2597B873" w14:textId="77777777" w:rsidR="00A5458C" w:rsidRPr="00CB7EBA" w:rsidRDefault="00A5458C" w:rsidP="008A0C9F">
      <w:pPr>
        <w:rPr>
          <w:rFonts w:ascii="Times New Roman" w:hAnsi="Times New Roman" w:cs="Times New Roman"/>
          <w:b/>
          <w:bCs/>
          <w:sz w:val="22"/>
          <w:szCs w:val="24"/>
        </w:rPr>
      </w:pPr>
    </w:p>
    <w:p w14:paraId="72F047D9" w14:textId="16069B2E" w:rsidR="00A12B96" w:rsidRPr="009E1A61" w:rsidRDefault="00EB1AAC" w:rsidP="008A0C9F">
      <w:pPr>
        <w:rPr>
          <w:rFonts w:ascii="Times New Roman" w:hAnsi="Times New Roman" w:cs="Times New Roman"/>
          <w:b/>
          <w:bCs/>
          <w:sz w:val="22"/>
          <w:szCs w:val="24"/>
        </w:rPr>
      </w:pPr>
      <w:r w:rsidRPr="009E1A61">
        <w:rPr>
          <w:rFonts w:ascii="Times New Roman" w:hAnsi="Times New Roman" w:cs="Times New Roman"/>
          <w:b/>
          <w:bCs/>
          <w:sz w:val="22"/>
          <w:szCs w:val="24"/>
        </w:rPr>
        <w:t>We also</w:t>
      </w:r>
      <w:r>
        <w:rPr>
          <w:rFonts w:ascii="Times New Roman" w:hAnsi="Times New Roman" w:cs="Times New Roman" w:hint="eastAsia"/>
          <w:b/>
          <w:bCs/>
          <w:sz w:val="22"/>
          <w:szCs w:val="24"/>
        </w:rPr>
        <w:t xml:space="preserve"> added </w:t>
      </w:r>
      <w:r w:rsidRPr="009E1A61">
        <w:rPr>
          <w:rFonts w:ascii="Times New Roman" w:hAnsi="Times New Roman" w:cs="Times New Roman"/>
          <w:b/>
          <w:bCs/>
          <w:color w:val="FF0000"/>
          <w:sz w:val="22"/>
          <w:szCs w:val="24"/>
        </w:rPr>
        <w:t>“</w:t>
      </w:r>
      <w:r w:rsidR="006A72D9" w:rsidRPr="009E1A61">
        <w:rPr>
          <w:rFonts w:ascii="Times New Roman" w:hAnsi="Times New Roman" w:cs="Times New Roman"/>
          <w:b/>
          <w:bCs/>
          <w:color w:val="FF0000"/>
          <w:sz w:val="22"/>
          <w:szCs w:val="24"/>
        </w:rPr>
        <w:t>particularly regarding CAL prevention”</w:t>
      </w:r>
      <w:r w:rsidR="006A72D9">
        <w:rPr>
          <w:rFonts w:ascii="Times New Roman" w:hAnsi="Times New Roman" w:cs="Times New Roman" w:hint="eastAsia"/>
          <w:b/>
          <w:bCs/>
          <w:sz w:val="22"/>
          <w:szCs w:val="24"/>
        </w:rPr>
        <w:t xml:space="preserve"> at the end of Conclusions.</w:t>
      </w:r>
    </w:p>
    <w:p w14:paraId="4760AD24" w14:textId="77777777" w:rsidR="00EB1AAC" w:rsidRPr="00CB7EBA" w:rsidRDefault="00EB1AAC" w:rsidP="008A0C9F">
      <w:pPr>
        <w:rPr>
          <w:rFonts w:ascii="Times New Roman" w:hAnsi="Times New Roman" w:cs="Times New Roman"/>
          <w:sz w:val="22"/>
          <w:szCs w:val="24"/>
        </w:rPr>
      </w:pPr>
    </w:p>
    <w:p w14:paraId="30E0EE0A" w14:textId="7B941CBB" w:rsidR="0099097D" w:rsidRPr="00CB7EBA" w:rsidRDefault="0099097D" w:rsidP="0099097D">
      <w:pPr>
        <w:rPr>
          <w:rFonts w:ascii="Times New Roman" w:hAnsi="Times New Roman" w:cs="Times New Roman"/>
          <w:sz w:val="22"/>
          <w:szCs w:val="24"/>
        </w:rPr>
      </w:pPr>
      <w:r w:rsidRPr="00CB7EBA">
        <w:rPr>
          <w:rFonts w:ascii="Times New Roman" w:hAnsi="Times New Roman" w:cs="Times New Roman"/>
          <w:sz w:val="22"/>
          <w:szCs w:val="24"/>
        </w:rPr>
        <w:t>Sincerely,</w:t>
      </w:r>
    </w:p>
    <w:p w14:paraId="4A872BAE" w14:textId="77777777" w:rsidR="00463AAD" w:rsidRPr="00CB7EBA" w:rsidRDefault="00463AAD" w:rsidP="0099097D">
      <w:pPr>
        <w:rPr>
          <w:rFonts w:ascii="Times New Roman" w:hAnsi="Times New Roman" w:cs="Times New Roman"/>
          <w:sz w:val="22"/>
          <w:szCs w:val="24"/>
        </w:rPr>
      </w:pPr>
    </w:p>
    <w:p w14:paraId="4018C62E" w14:textId="77777777" w:rsidR="0099097D" w:rsidRPr="00CB7EBA" w:rsidRDefault="0099097D" w:rsidP="0099097D">
      <w:pPr>
        <w:rPr>
          <w:rFonts w:ascii="Times New Roman" w:hAnsi="Times New Roman" w:cs="Times New Roman"/>
          <w:sz w:val="22"/>
          <w:szCs w:val="24"/>
        </w:rPr>
      </w:pPr>
      <w:r w:rsidRPr="00CB7EBA">
        <w:rPr>
          <w:rFonts w:ascii="Times New Roman" w:hAnsi="Times New Roman" w:cs="Times New Roman"/>
          <w:sz w:val="22"/>
          <w:szCs w:val="24"/>
        </w:rPr>
        <w:t>Hiro Nakao, MD, MPH</w:t>
      </w:r>
    </w:p>
    <w:p w14:paraId="1177B6AB" w14:textId="77777777" w:rsidR="0099097D" w:rsidRPr="00CB7EBA" w:rsidRDefault="0099097D" w:rsidP="0099097D">
      <w:pPr>
        <w:rPr>
          <w:rFonts w:ascii="Times New Roman" w:hAnsi="Times New Roman" w:cs="Times New Roman"/>
          <w:sz w:val="22"/>
          <w:szCs w:val="24"/>
        </w:rPr>
      </w:pPr>
    </w:p>
    <w:p w14:paraId="38A77D70" w14:textId="77777777" w:rsidR="0099097D" w:rsidRPr="00CB7EBA" w:rsidRDefault="0099097D" w:rsidP="0099097D">
      <w:pPr>
        <w:rPr>
          <w:rFonts w:ascii="Times New Roman" w:hAnsi="Times New Roman" w:cs="Times New Roman"/>
          <w:sz w:val="22"/>
          <w:szCs w:val="24"/>
        </w:rPr>
      </w:pPr>
      <w:r w:rsidRPr="00CB7EBA">
        <w:rPr>
          <w:rFonts w:ascii="Times New Roman" w:hAnsi="Times New Roman" w:cs="Times New Roman"/>
          <w:sz w:val="22"/>
          <w:szCs w:val="24"/>
        </w:rPr>
        <w:t>National Center for Child Health and Development</w:t>
      </w:r>
    </w:p>
    <w:p w14:paraId="0C83F7D3" w14:textId="77777777" w:rsidR="0099097D" w:rsidRPr="00CB7EBA" w:rsidRDefault="0099097D" w:rsidP="0099097D">
      <w:pPr>
        <w:rPr>
          <w:rFonts w:ascii="Times New Roman" w:hAnsi="Times New Roman" w:cs="Times New Roman"/>
          <w:sz w:val="22"/>
          <w:szCs w:val="24"/>
        </w:rPr>
      </w:pPr>
      <w:r w:rsidRPr="00CB7EBA">
        <w:rPr>
          <w:rFonts w:ascii="Times New Roman" w:hAnsi="Times New Roman" w:cs="Times New Roman"/>
          <w:sz w:val="22"/>
          <w:szCs w:val="24"/>
        </w:rPr>
        <w:t>2-10-1 Okura, Setagaya-ku, Tokyo 157-8535, Japan</w:t>
      </w:r>
    </w:p>
    <w:p w14:paraId="3DC70DBA" w14:textId="77777777" w:rsidR="0099097D" w:rsidRPr="00CB7EBA" w:rsidRDefault="0099097D" w:rsidP="0099097D">
      <w:pPr>
        <w:rPr>
          <w:rFonts w:ascii="Times New Roman" w:hAnsi="Times New Roman" w:cs="Times New Roman"/>
          <w:sz w:val="22"/>
          <w:szCs w:val="24"/>
        </w:rPr>
      </w:pPr>
      <w:r w:rsidRPr="00CB7EBA">
        <w:rPr>
          <w:rFonts w:ascii="Times New Roman" w:hAnsi="Times New Roman" w:cs="Times New Roman"/>
          <w:sz w:val="22"/>
          <w:szCs w:val="24"/>
        </w:rPr>
        <w:t>Tel.: +81-3-3416-0181</w:t>
      </w:r>
    </w:p>
    <w:p w14:paraId="18667BA1" w14:textId="77777777" w:rsidR="0099097D" w:rsidRPr="00CB7EBA" w:rsidRDefault="0099097D" w:rsidP="0099097D">
      <w:pPr>
        <w:rPr>
          <w:rFonts w:ascii="Times New Roman" w:hAnsi="Times New Roman" w:cs="Times New Roman"/>
          <w:sz w:val="22"/>
          <w:szCs w:val="24"/>
        </w:rPr>
      </w:pPr>
      <w:r w:rsidRPr="00CB7EBA">
        <w:rPr>
          <w:rFonts w:ascii="Times New Roman" w:hAnsi="Times New Roman" w:cs="Times New Roman"/>
          <w:sz w:val="22"/>
          <w:szCs w:val="24"/>
        </w:rPr>
        <w:t>Fax: +81-3-3416-2222</w:t>
      </w:r>
    </w:p>
    <w:p w14:paraId="443DF01D" w14:textId="043EBE12" w:rsidR="0099097D" w:rsidRPr="0099097D" w:rsidRDefault="0099097D" w:rsidP="008A0C9F">
      <w:pPr>
        <w:rPr>
          <w:rFonts w:ascii="Times New Roman" w:hAnsi="Times New Roman" w:cs="Times New Roman"/>
          <w:sz w:val="22"/>
          <w:szCs w:val="24"/>
        </w:rPr>
      </w:pPr>
      <w:r w:rsidRPr="00CB7EBA">
        <w:rPr>
          <w:rFonts w:ascii="Times New Roman" w:hAnsi="Times New Roman" w:cs="Times New Roman"/>
          <w:sz w:val="22"/>
          <w:szCs w:val="24"/>
        </w:rPr>
        <w:t>Email: nakao-h@ncchd.go.jp</w:t>
      </w:r>
    </w:p>
    <w:sectPr w:rsidR="0099097D" w:rsidRPr="0099097D">
      <w:footerReference w:type="even" r:id="rId7"/>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27CED" w14:textId="77777777" w:rsidR="00EE6757" w:rsidRDefault="00EE6757" w:rsidP="0031713B">
      <w:r>
        <w:separator/>
      </w:r>
    </w:p>
  </w:endnote>
  <w:endnote w:type="continuationSeparator" w:id="0">
    <w:p w14:paraId="182BCA84" w14:textId="77777777" w:rsidR="00EE6757" w:rsidRDefault="00EE6757" w:rsidP="00317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0"/>
      </w:rPr>
      <w:id w:val="1590654603"/>
      <w:docPartObj>
        <w:docPartGallery w:val="Page Numbers (Bottom of Page)"/>
        <w:docPartUnique/>
      </w:docPartObj>
    </w:sdtPr>
    <w:sdtContent>
      <w:p w14:paraId="3E4530DA" w14:textId="01E7D0AD" w:rsidR="00066D46" w:rsidRDefault="00066D46" w:rsidP="00C33029">
        <w:pPr>
          <w:pStyle w:val="a5"/>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end"/>
        </w:r>
      </w:p>
    </w:sdtContent>
  </w:sdt>
  <w:p w14:paraId="7AAC47A3" w14:textId="77777777" w:rsidR="00066D46" w:rsidRDefault="00066D4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0"/>
      </w:rPr>
      <w:id w:val="-112445297"/>
      <w:docPartObj>
        <w:docPartGallery w:val="Page Numbers (Bottom of Page)"/>
        <w:docPartUnique/>
      </w:docPartObj>
    </w:sdtPr>
    <w:sdtContent>
      <w:p w14:paraId="382443D5" w14:textId="3B3768B7" w:rsidR="00066D46" w:rsidRPr="00580A4C" w:rsidRDefault="00066D46" w:rsidP="00C33029">
        <w:pPr>
          <w:pStyle w:val="a5"/>
          <w:framePr w:wrap="none" w:vAnchor="text" w:hAnchor="margin" w:xAlign="center" w:y="1"/>
          <w:rPr>
            <w:rStyle w:val="af0"/>
          </w:rPr>
        </w:pPr>
        <w:r w:rsidRPr="00CB7EBA">
          <w:rPr>
            <w:rStyle w:val="af0"/>
          </w:rPr>
          <w:fldChar w:fldCharType="begin"/>
        </w:r>
        <w:r w:rsidRPr="00CB7EBA">
          <w:rPr>
            <w:rStyle w:val="af0"/>
          </w:rPr>
          <w:instrText xml:space="preserve"> PAGE </w:instrText>
        </w:r>
        <w:r w:rsidRPr="00CB7EBA">
          <w:rPr>
            <w:rStyle w:val="af0"/>
          </w:rPr>
          <w:fldChar w:fldCharType="separate"/>
        </w:r>
        <w:r w:rsidRPr="00CB7EBA">
          <w:rPr>
            <w:rStyle w:val="af0"/>
            <w:noProof/>
          </w:rPr>
          <w:t>1</w:t>
        </w:r>
        <w:r w:rsidRPr="00CB7EBA">
          <w:rPr>
            <w:rStyle w:val="af0"/>
          </w:rPr>
          <w:fldChar w:fldCharType="end"/>
        </w:r>
      </w:p>
    </w:sdtContent>
  </w:sdt>
  <w:p w14:paraId="20C81D99" w14:textId="77777777" w:rsidR="00066D46" w:rsidRDefault="00066D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55C11" w14:textId="77777777" w:rsidR="00EE6757" w:rsidRDefault="00EE6757" w:rsidP="0031713B">
      <w:r>
        <w:separator/>
      </w:r>
    </w:p>
  </w:footnote>
  <w:footnote w:type="continuationSeparator" w:id="0">
    <w:p w14:paraId="6598EF1E" w14:textId="77777777" w:rsidR="00EE6757" w:rsidRDefault="00EE6757" w:rsidP="003171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F6D80"/>
    <w:multiLevelType w:val="hybridMultilevel"/>
    <w:tmpl w:val="09B0EFE6"/>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 w15:restartNumberingAfterBreak="0">
    <w:nsid w:val="63BE3A9B"/>
    <w:multiLevelType w:val="hybridMultilevel"/>
    <w:tmpl w:val="18D055E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DE41FC8"/>
    <w:multiLevelType w:val="hybridMultilevel"/>
    <w:tmpl w:val="E02EC26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31249831">
    <w:abstractNumId w:val="2"/>
  </w:num>
  <w:num w:numId="2" w16cid:durableId="1204252289">
    <w:abstractNumId w:val="0"/>
  </w:num>
  <w:num w:numId="3" w16cid:durableId="1932229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A3C"/>
    <w:rsid w:val="00000026"/>
    <w:rsid w:val="000032CC"/>
    <w:rsid w:val="00010FB3"/>
    <w:rsid w:val="00012983"/>
    <w:rsid w:val="000273F5"/>
    <w:rsid w:val="0002789C"/>
    <w:rsid w:val="0003399F"/>
    <w:rsid w:val="00056598"/>
    <w:rsid w:val="0005684F"/>
    <w:rsid w:val="00066D46"/>
    <w:rsid w:val="00073D46"/>
    <w:rsid w:val="00075C4C"/>
    <w:rsid w:val="00076CDF"/>
    <w:rsid w:val="0007794A"/>
    <w:rsid w:val="000A05B3"/>
    <w:rsid w:val="000A1720"/>
    <w:rsid w:val="000A439F"/>
    <w:rsid w:val="000A6D3A"/>
    <w:rsid w:val="000A722E"/>
    <w:rsid w:val="000B12A1"/>
    <w:rsid w:val="000C4A9C"/>
    <w:rsid w:val="000E2749"/>
    <w:rsid w:val="000E5911"/>
    <w:rsid w:val="000E750D"/>
    <w:rsid w:val="000F2864"/>
    <w:rsid w:val="000F3370"/>
    <w:rsid w:val="000F6F3D"/>
    <w:rsid w:val="00103EA8"/>
    <w:rsid w:val="00124FFB"/>
    <w:rsid w:val="001311D3"/>
    <w:rsid w:val="00133BFC"/>
    <w:rsid w:val="001440AC"/>
    <w:rsid w:val="001460AA"/>
    <w:rsid w:val="00147E2B"/>
    <w:rsid w:val="00150088"/>
    <w:rsid w:val="00150919"/>
    <w:rsid w:val="00156198"/>
    <w:rsid w:val="00157F13"/>
    <w:rsid w:val="00160194"/>
    <w:rsid w:val="00160BD8"/>
    <w:rsid w:val="00165DD6"/>
    <w:rsid w:val="001736F5"/>
    <w:rsid w:val="00175348"/>
    <w:rsid w:val="00190CA9"/>
    <w:rsid w:val="001962F1"/>
    <w:rsid w:val="001976E9"/>
    <w:rsid w:val="001A6CD4"/>
    <w:rsid w:val="001B2238"/>
    <w:rsid w:val="001B799E"/>
    <w:rsid w:val="001C7D16"/>
    <w:rsid w:val="001D25BC"/>
    <w:rsid w:val="001E1B6B"/>
    <w:rsid w:val="001F0107"/>
    <w:rsid w:val="00201AD6"/>
    <w:rsid w:val="002103C5"/>
    <w:rsid w:val="002230D0"/>
    <w:rsid w:val="0022556B"/>
    <w:rsid w:val="00225942"/>
    <w:rsid w:val="0023082D"/>
    <w:rsid w:val="00230A89"/>
    <w:rsid w:val="00233F79"/>
    <w:rsid w:val="0023476C"/>
    <w:rsid w:val="002425E5"/>
    <w:rsid w:val="00254588"/>
    <w:rsid w:val="00256B0B"/>
    <w:rsid w:val="002604C2"/>
    <w:rsid w:val="00261F13"/>
    <w:rsid w:val="00266E49"/>
    <w:rsid w:val="00291542"/>
    <w:rsid w:val="002949E3"/>
    <w:rsid w:val="002A3552"/>
    <w:rsid w:val="002A7049"/>
    <w:rsid w:val="002C5F3B"/>
    <w:rsid w:val="002E46A8"/>
    <w:rsid w:val="002E7359"/>
    <w:rsid w:val="0031173C"/>
    <w:rsid w:val="0031439F"/>
    <w:rsid w:val="0031713B"/>
    <w:rsid w:val="00320672"/>
    <w:rsid w:val="00322642"/>
    <w:rsid w:val="00345680"/>
    <w:rsid w:val="00346E89"/>
    <w:rsid w:val="003510AC"/>
    <w:rsid w:val="00351CC2"/>
    <w:rsid w:val="00372C78"/>
    <w:rsid w:val="00375056"/>
    <w:rsid w:val="00394121"/>
    <w:rsid w:val="00396E1B"/>
    <w:rsid w:val="003977CE"/>
    <w:rsid w:val="003B2E7D"/>
    <w:rsid w:val="003C18C8"/>
    <w:rsid w:val="003C474D"/>
    <w:rsid w:val="003C6B85"/>
    <w:rsid w:val="003D0199"/>
    <w:rsid w:val="003E37A6"/>
    <w:rsid w:val="0040121C"/>
    <w:rsid w:val="00404A5C"/>
    <w:rsid w:val="004106CC"/>
    <w:rsid w:val="00412E82"/>
    <w:rsid w:val="00413019"/>
    <w:rsid w:val="0042597B"/>
    <w:rsid w:val="00427B27"/>
    <w:rsid w:val="00435724"/>
    <w:rsid w:val="0043793E"/>
    <w:rsid w:val="00453893"/>
    <w:rsid w:val="00454762"/>
    <w:rsid w:val="004574CB"/>
    <w:rsid w:val="004601B3"/>
    <w:rsid w:val="0046397A"/>
    <w:rsid w:val="00463AAD"/>
    <w:rsid w:val="00476062"/>
    <w:rsid w:val="00480703"/>
    <w:rsid w:val="004841FF"/>
    <w:rsid w:val="00487248"/>
    <w:rsid w:val="00494E6A"/>
    <w:rsid w:val="0049786C"/>
    <w:rsid w:val="004A0ED0"/>
    <w:rsid w:val="004A1264"/>
    <w:rsid w:val="004C0F9F"/>
    <w:rsid w:val="004C3D4B"/>
    <w:rsid w:val="004C75F6"/>
    <w:rsid w:val="004E6BCF"/>
    <w:rsid w:val="004F1EF4"/>
    <w:rsid w:val="004F4818"/>
    <w:rsid w:val="004F7242"/>
    <w:rsid w:val="00511E8F"/>
    <w:rsid w:val="0051703B"/>
    <w:rsid w:val="00522AF4"/>
    <w:rsid w:val="00525EC6"/>
    <w:rsid w:val="00542206"/>
    <w:rsid w:val="0055241A"/>
    <w:rsid w:val="00567514"/>
    <w:rsid w:val="00570168"/>
    <w:rsid w:val="00571795"/>
    <w:rsid w:val="00580209"/>
    <w:rsid w:val="00580A4C"/>
    <w:rsid w:val="00581AB1"/>
    <w:rsid w:val="00582DCA"/>
    <w:rsid w:val="00586939"/>
    <w:rsid w:val="00587521"/>
    <w:rsid w:val="005916EC"/>
    <w:rsid w:val="00597540"/>
    <w:rsid w:val="005A6D04"/>
    <w:rsid w:val="005B7DAF"/>
    <w:rsid w:val="005C56F7"/>
    <w:rsid w:val="005C7B03"/>
    <w:rsid w:val="005D08C3"/>
    <w:rsid w:val="005D702C"/>
    <w:rsid w:val="005E22AF"/>
    <w:rsid w:val="005E74A3"/>
    <w:rsid w:val="005F0827"/>
    <w:rsid w:val="005F7601"/>
    <w:rsid w:val="00603CCF"/>
    <w:rsid w:val="00615833"/>
    <w:rsid w:val="00616D69"/>
    <w:rsid w:val="00624F40"/>
    <w:rsid w:val="0063037C"/>
    <w:rsid w:val="0063077E"/>
    <w:rsid w:val="00633E5E"/>
    <w:rsid w:val="00636F2E"/>
    <w:rsid w:val="0064355E"/>
    <w:rsid w:val="00650F43"/>
    <w:rsid w:val="006573B6"/>
    <w:rsid w:val="00660A07"/>
    <w:rsid w:val="00660A48"/>
    <w:rsid w:val="0066112D"/>
    <w:rsid w:val="006675B1"/>
    <w:rsid w:val="00675108"/>
    <w:rsid w:val="006926D1"/>
    <w:rsid w:val="00693935"/>
    <w:rsid w:val="006A0128"/>
    <w:rsid w:val="006A5257"/>
    <w:rsid w:val="006A58DC"/>
    <w:rsid w:val="006A72D9"/>
    <w:rsid w:val="006C153C"/>
    <w:rsid w:val="006C4BE4"/>
    <w:rsid w:val="006D358B"/>
    <w:rsid w:val="006D5523"/>
    <w:rsid w:val="006F2648"/>
    <w:rsid w:val="00700D9A"/>
    <w:rsid w:val="007068A8"/>
    <w:rsid w:val="00712DCF"/>
    <w:rsid w:val="00716174"/>
    <w:rsid w:val="00717821"/>
    <w:rsid w:val="00721880"/>
    <w:rsid w:val="007351A7"/>
    <w:rsid w:val="007372BD"/>
    <w:rsid w:val="00742DA3"/>
    <w:rsid w:val="00743D4F"/>
    <w:rsid w:val="00744BD4"/>
    <w:rsid w:val="0075379F"/>
    <w:rsid w:val="00755CCA"/>
    <w:rsid w:val="0076237B"/>
    <w:rsid w:val="007649BF"/>
    <w:rsid w:val="007763D3"/>
    <w:rsid w:val="0077794B"/>
    <w:rsid w:val="00784211"/>
    <w:rsid w:val="007911E2"/>
    <w:rsid w:val="00796396"/>
    <w:rsid w:val="007A00EC"/>
    <w:rsid w:val="007A0CD5"/>
    <w:rsid w:val="007A13EA"/>
    <w:rsid w:val="007A5636"/>
    <w:rsid w:val="007A7D8D"/>
    <w:rsid w:val="007C4759"/>
    <w:rsid w:val="007D49F6"/>
    <w:rsid w:val="007D6BF1"/>
    <w:rsid w:val="007D7F2E"/>
    <w:rsid w:val="007E7A88"/>
    <w:rsid w:val="007F100E"/>
    <w:rsid w:val="007F7F7D"/>
    <w:rsid w:val="00804A0C"/>
    <w:rsid w:val="00813463"/>
    <w:rsid w:val="00817B53"/>
    <w:rsid w:val="008200DD"/>
    <w:rsid w:val="008259AD"/>
    <w:rsid w:val="008359A8"/>
    <w:rsid w:val="00844034"/>
    <w:rsid w:val="008460FC"/>
    <w:rsid w:val="0085134D"/>
    <w:rsid w:val="00853661"/>
    <w:rsid w:val="00856216"/>
    <w:rsid w:val="008569CC"/>
    <w:rsid w:val="008653FF"/>
    <w:rsid w:val="00867001"/>
    <w:rsid w:val="00867EEF"/>
    <w:rsid w:val="00875A3C"/>
    <w:rsid w:val="00885B6F"/>
    <w:rsid w:val="00891D08"/>
    <w:rsid w:val="008A0C9F"/>
    <w:rsid w:val="008A7EB2"/>
    <w:rsid w:val="008C07B0"/>
    <w:rsid w:val="008C39FF"/>
    <w:rsid w:val="008C63BE"/>
    <w:rsid w:val="008D357A"/>
    <w:rsid w:val="008D5DC8"/>
    <w:rsid w:val="008D63F8"/>
    <w:rsid w:val="008E5C33"/>
    <w:rsid w:val="008F0061"/>
    <w:rsid w:val="008F14FE"/>
    <w:rsid w:val="008F1C7E"/>
    <w:rsid w:val="008F5064"/>
    <w:rsid w:val="008F67B4"/>
    <w:rsid w:val="00904013"/>
    <w:rsid w:val="00942F39"/>
    <w:rsid w:val="00963F3A"/>
    <w:rsid w:val="00970CCF"/>
    <w:rsid w:val="00972B74"/>
    <w:rsid w:val="00972BA0"/>
    <w:rsid w:val="00974C85"/>
    <w:rsid w:val="0097711A"/>
    <w:rsid w:val="0097749C"/>
    <w:rsid w:val="0099097D"/>
    <w:rsid w:val="00993EAD"/>
    <w:rsid w:val="009941AF"/>
    <w:rsid w:val="009A3286"/>
    <w:rsid w:val="009A6D71"/>
    <w:rsid w:val="009B1D3E"/>
    <w:rsid w:val="009B398D"/>
    <w:rsid w:val="009D2019"/>
    <w:rsid w:val="009E0250"/>
    <w:rsid w:val="009E1A61"/>
    <w:rsid w:val="00A03210"/>
    <w:rsid w:val="00A04C90"/>
    <w:rsid w:val="00A12B96"/>
    <w:rsid w:val="00A17660"/>
    <w:rsid w:val="00A20645"/>
    <w:rsid w:val="00A23225"/>
    <w:rsid w:val="00A26A54"/>
    <w:rsid w:val="00A4372D"/>
    <w:rsid w:val="00A45641"/>
    <w:rsid w:val="00A460B6"/>
    <w:rsid w:val="00A54207"/>
    <w:rsid w:val="00A5458C"/>
    <w:rsid w:val="00A54DD7"/>
    <w:rsid w:val="00A57C9E"/>
    <w:rsid w:val="00A628F7"/>
    <w:rsid w:val="00A655E8"/>
    <w:rsid w:val="00A6635F"/>
    <w:rsid w:val="00A7190E"/>
    <w:rsid w:val="00A8181D"/>
    <w:rsid w:val="00A821B0"/>
    <w:rsid w:val="00A94278"/>
    <w:rsid w:val="00AA186A"/>
    <w:rsid w:val="00AB5F23"/>
    <w:rsid w:val="00AC0BF6"/>
    <w:rsid w:val="00AC1158"/>
    <w:rsid w:val="00AD56D0"/>
    <w:rsid w:val="00AE78BB"/>
    <w:rsid w:val="00AF13C1"/>
    <w:rsid w:val="00AF2474"/>
    <w:rsid w:val="00AF7485"/>
    <w:rsid w:val="00B0403D"/>
    <w:rsid w:val="00B1124B"/>
    <w:rsid w:val="00B16725"/>
    <w:rsid w:val="00B21EC7"/>
    <w:rsid w:val="00B24437"/>
    <w:rsid w:val="00B3178F"/>
    <w:rsid w:val="00B33BAE"/>
    <w:rsid w:val="00B33F73"/>
    <w:rsid w:val="00B410FA"/>
    <w:rsid w:val="00B42647"/>
    <w:rsid w:val="00B62352"/>
    <w:rsid w:val="00B63EC5"/>
    <w:rsid w:val="00B65A94"/>
    <w:rsid w:val="00B756FD"/>
    <w:rsid w:val="00B758CD"/>
    <w:rsid w:val="00B76E82"/>
    <w:rsid w:val="00B84C6A"/>
    <w:rsid w:val="00B91DF8"/>
    <w:rsid w:val="00B935E4"/>
    <w:rsid w:val="00B95CC8"/>
    <w:rsid w:val="00B9692F"/>
    <w:rsid w:val="00B96996"/>
    <w:rsid w:val="00BA4720"/>
    <w:rsid w:val="00BA6B16"/>
    <w:rsid w:val="00BB3460"/>
    <w:rsid w:val="00BC07DE"/>
    <w:rsid w:val="00BC30BC"/>
    <w:rsid w:val="00BE0286"/>
    <w:rsid w:val="00BE70D2"/>
    <w:rsid w:val="00BF4DF7"/>
    <w:rsid w:val="00C040AA"/>
    <w:rsid w:val="00C06EC5"/>
    <w:rsid w:val="00C2132F"/>
    <w:rsid w:val="00C33188"/>
    <w:rsid w:val="00C35867"/>
    <w:rsid w:val="00C35FB4"/>
    <w:rsid w:val="00C360F0"/>
    <w:rsid w:val="00C403D0"/>
    <w:rsid w:val="00C45AC2"/>
    <w:rsid w:val="00C52CE8"/>
    <w:rsid w:val="00C56630"/>
    <w:rsid w:val="00C73D79"/>
    <w:rsid w:val="00C75AA1"/>
    <w:rsid w:val="00C93315"/>
    <w:rsid w:val="00C97E86"/>
    <w:rsid w:val="00CA0993"/>
    <w:rsid w:val="00CA2070"/>
    <w:rsid w:val="00CA70AA"/>
    <w:rsid w:val="00CB0306"/>
    <w:rsid w:val="00CB3910"/>
    <w:rsid w:val="00CB7BBD"/>
    <w:rsid w:val="00CB7EBA"/>
    <w:rsid w:val="00CC0ED6"/>
    <w:rsid w:val="00CD00A5"/>
    <w:rsid w:val="00CD645F"/>
    <w:rsid w:val="00CD6B6B"/>
    <w:rsid w:val="00CD745C"/>
    <w:rsid w:val="00CE1B0C"/>
    <w:rsid w:val="00CE41A7"/>
    <w:rsid w:val="00CE5642"/>
    <w:rsid w:val="00D01593"/>
    <w:rsid w:val="00D04FE6"/>
    <w:rsid w:val="00D06F73"/>
    <w:rsid w:val="00D222BF"/>
    <w:rsid w:val="00D24FA2"/>
    <w:rsid w:val="00D27394"/>
    <w:rsid w:val="00D356A5"/>
    <w:rsid w:val="00D37681"/>
    <w:rsid w:val="00D467C8"/>
    <w:rsid w:val="00D47FBE"/>
    <w:rsid w:val="00D50D91"/>
    <w:rsid w:val="00D6325E"/>
    <w:rsid w:val="00D766F4"/>
    <w:rsid w:val="00D856B9"/>
    <w:rsid w:val="00D86281"/>
    <w:rsid w:val="00D90D45"/>
    <w:rsid w:val="00D95B74"/>
    <w:rsid w:val="00DA5647"/>
    <w:rsid w:val="00DB128C"/>
    <w:rsid w:val="00DB16B8"/>
    <w:rsid w:val="00DB690B"/>
    <w:rsid w:val="00DB710A"/>
    <w:rsid w:val="00DB7D7E"/>
    <w:rsid w:val="00DC0BA4"/>
    <w:rsid w:val="00DC2160"/>
    <w:rsid w:val="00DC50F9"/>
    <w:rsid w:val="00DC5D9C"/>
    <w:rsid w:val="00DC728F"/>
    <w:rsid w:val="00DC72EC"/>
    <w:rsid w:val="00DC7768"/>
    <w:rsid w:val="00DD75B9"/>
    <w:rsid w:val="00DE1F34"/>
    <w:rsid w:val="00DE4876"/>
    <w:rsid w:val="00E01B68"/>
    <w:rsid w:val="00E25114"/>
    <w:rsid w:val="00E30471"/>
    <w:rsid w:val="00E32380"/>
    <w:rsid w:val="00E4555E"/>
    <w:rsid w:val="00E47B0C"/>
    <w:rsid w:val="00E537A8"/>
    <w:rsid w:val="00E56A8B"/>
    <w:rsid w:val="00E57349"/>
    <w:rsid w:val="00E66F91"/>
    <w:rsid w:val="00E8421A"/>
    <w:rsid w:val="00E86AD2"/>
    <w:rsid w:val="00E91430"/>
    <w:rsid w:val="00EA7351"/>
    <w:rsid w:val="00EB1AAC"/>
    <w:rsid w:val="00EC5F65"/>
    <w:rsid w:val="00ED3B30"/>
    <w:rsid w:val="00EE46C7"/>
    <w:rsid w:val="00EE6757"/>
    <w:rsid w:val="00EE745F"/>
    <w:rsid w:val="00F12592"/>
    <w:rsid w:val="00F17A86"/>
    <w:rsid w:val="00F2261F"/>
    <w:rsid w:val="00F24BCB"/>
    <w:rsid w:val="00F35CF8"/>
    <w:rsid w:val="00F42243"/>
    <w:rsid w:val="00F42582"/>
    <w:rsid w:val="00F4753A"/>
    <w:rsid w:val="00F53C17"/>
    <w:rsid w:val="00F55CCE"/>
    <w:rsid w:val="00F6688A"/>
    <w:rsid w:val="00F70197"/>
    <w:rsid w:val="00F7296B"/>
    <w:rsid w:val="00F77AA0"/>
    <w:rsid w:val="00F90090"/>
    <w:rsid w:val="00F90A9C"/>
    <w:rsid w:val="00F91887"/>
    <w:rsid w:val="00F927DC"/>
    <w:rsid w:val="00F942F9"/>
    <w:rsid w:val="00FA1124"/>
    <w:rsid w:val="00FA214F"/>
    <w:rsid w:val="00FA7835"/>
    <w:rsid w:val="00FB1A9D"/>
    <w:rsid w:val="00FB3257"/>
    <w:rsid w:val="00FC62B9"/>
    <w:rsid w:val="00FC6540"/>
    <w:rsid w:val="00FF21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96C735"/>
  <w15:chartTrackingRefBased/>
  <w15:docId w15:val="{647EC752-3E0E-4D60-BB82-6173D1423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713B"/>
    <w:pPr>
      <w:tabs>
        <w:tab w:val="center" w:pos="4252"/>
        <w:tab w:val="right" w:pos="8504"/>
      </w:tabs>
      <w:snapToGrid w:val="0"/>
    </w:pPr>
  </w:style>
  <w:style w:type="character" w:customStyle="1" w:styleId="a4">
    <w:name w:val="ヘッダー (文字)"/>
    <w:basedOn w:val="a0"/>
    <w:link w:val="a3"/>
    <w:uiPriority w:val="99"/>
    <w:rsid w:val="0031713B"/>
  </w:style>
  <w:style w:type="paragraph" w:styleId="a5">
    <w:name w:val="footer"/>
    <w:basedOn w:val="a"/>
    <w:link w:val="a6"/>
    <w:uiPriority w:val="99"/>
    <w:unhideWhenUsed/>
    <w:rsid w:val="0031713B"/>
    <w:pPr>
      <w:tabs>
        <w:tab w:val="center" w:pos="4252"/>
        <w:tab w:val="right" w:pos="8504"/>
      </w:tabs>
      <w:snapToGrid w:val="0"/>
    </w:pPr>
  </w:style>
  <w:style w:type="character" w:customStyle="1" w:styleId="a6">
    <w:name w:val="フッター (文字)"/>
    <w:basedOn w:val="a0"/>
    <w:link w:val="a5"/>
    <w:uiPriority w:val="99"/>
    <w:rsid w:val="0031713B"/>
  </w:style>
  <w:style w:type="paragraph" w:styleId="a7">
    <w:name w:val="Balloon Text"/>
    <w:basedOn w:val="a"/>
    <w:link w:val="a8"/>
    <w:uiPriority w:val="99"/>
    <w:semiHidden/>
    <w:unhideWhenUsed/>
    <w:rsid w:val="00E9143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91430"/>
    <w:rPr>
      <w:rFonts w:asciiTheme="majorHAnsi" w:eastAsiaTheme="majorEastAsia" w:hAnsiTheme="majorHAnsi" w:cstheme="majorBidi"/>
      <w:sz w:val="18"/>
      <w:szCs w:val="18"/>
    </w:rPr>
  </w:style>
  <w:style w:type="character" w:styleId="a9">
    <w:name w:val="annotation reference"/>
    <w:basedOn w:val="a0"/>
    <w:uiPriority w:val="99"/>
    <w:semiHidden/>
    <w:unhideWhenUsed/>
    <w:rsid w:val="00E91430"/>
    <w:rPr>
      <w:sz w:val="18"/>
      <w:szCs w:val="18"/>
    </w:rPr>
  </w:style>
  <w:style w:type="paragraph" w:styleId="aa">
    <w:name w:val="annotation text"/>
    <w:basedOn w:val="a"/>
    <w:link w:val="ab"/>
    <w:uiPriority w:val="99"/>
    <w:unhideWhenUsed/>
    <w:rsid w:val="00E91430"/>
    <w:pPr>
      <w:jc w:val="left"/>
    </w:pPr>
  </w:style>
  <w:style w:type="character" w:customStyle="1" w:styleId="ab">
    <w:name w:val="コメント文字列 (文字)"/>
    <w:basedOn w:val="a0"/>
    <w:link w:val="aa"/>
    <w:uiPriority w:val="99"/>
    <w:rsid w:val="00E91430"/>
  </w:style>
  <w:style w:type="paragraph" w:styleId="ac">
    <w:name w:val="annotation subject"/>
    <w:basedOn w:val="aa"/>
    <w:next w:val="aa"/>
    <w:link w:val="ad"/>
    <w:uiPriority w:val="99"/>
    <w:semiHidden/>
    <w:unhideWhenUsed/>
    <w:rsid w:val="00E91430"/>
    <w:rPr>
      <w:b/>
      <w:bCs/>
    </w:rPr>
  </w:style>
  <w:style w:type="character" w:customStyle="1" w:styleId="ad">
    <w:name w:val="コメント内容 (文字)"/>
    <w:basedOn w:val="ab"/>
    <w:link w:val="ac"/>
    <w:uiPriority w:val="99"/>
    <w:semiHidden/>
    <w:rsid w:val="00E91430"/>
    <w:rPr>
      <w:b/>
      <w:bCs/>
    </w:rPr>
  </w:style>
  <w:style w:type="paragraph" w:styleId="ae">
    <w:name w:val="Revision"/>
    <w:hidden/>
    <w:uiPriority w:val="99"/>
    <w:semiHidden/>
    <w:rsid w:val="00CE41A7"/>
  </w:style>
  <w:style w:type="paragraph" w:styleId="af">
    <w:name w:val="List Paragraph"/>
    <w:basedOn w:val="a"/>
    <w:uiPriority w:val="34"/>
    <w:qFormat/>
    <w:rsid w:val="00963F3A"/>
    <w:pPr>
      <w:ind w:leftChars="400" w:left="840"/>
    </w:pPr>
  </w:style>
  <w:style w:type="character" w:styleId="af0">
    <w:name w:val="page number"/>
    <w:basedOn w:val="a0"/>
    <w:uiPriority w:val="99"/>
    <w:semiHidden/>
    <w:unhideWhenUsed/>
    <w:rsid w:val="00066D46"/>
  </w:style>
  <w:style w:type="character" w:styleId="af1">
    <w:name w:val="Hyperlink"/>
    <w:basedOn w:val="a0"/>
    <w:uiPriority w:val="99"/>
    <w:unhideWhenUsed/>
    <w:rsid w:val="0042597B"/>
    <w:rPr>
      <w:color w:val="0563C1" w:themeColor="hyperlink"/>
      <w:u w:val="single"/>
    </w:rPr>
  </w:style>
  <w:style w:type="character" w:styleId="af2">
    <w:name w:val="Unresolved Mention"/>
    <w:basedOn w:val="a0"/>
    <w:uiPriority w:val="99"/>
    <w:semiHidden/>
    <w:unhideWhenUsed/>
    <w:rsid w:val="004259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470632">
      <w:bodyDiv w:val="1"/>
      <w:marLeft w:val="0"/>
      <w:marRight w:val="0"/>
      <w:marTop w:val="0"/>
      <w:marBottom w:val="0"/>
      <w:divBdr>
        <w:top w:val="none" w:sz="0" w:space="0" w:color="auto"/>
        <w:left w:val="none" w:sz="0" w:space="0" w:color="auto"/>
        <w:bottom w:val="none" w:sz="0" w:space="0" w:color="auto"/>
        <w:right w:val="none" w:sz="0" w:space="0" w:color="auto"/>
      </w:divBdr>
    </w:div>
    <w:div w:id="455149974">
      <w:bodyDiv w:val="1"/>
      <w:marLeft w:val="0"/>
      <w:marRight w:val="0"/>
      <w:marTop w:val="0"/>
      <w:marBottom w:val="0"/>
      <w:divBdr>
        <w:top w:val="none" w:sz="0" w:space="0" w:color="auto"/>
        <w:left w:val="none" w:sz="0" w:space="0" w:color="auto"/>
        <w:bottom w:val="none" w:sz="0" w:space="0" w:color="auto"/>
        <w:right w:val="none" w:sz="0" w:space="0" w:color="auto"/>
      </w:divBdr>
    </w:div>
    <w:div w:id="509949422">
      <w:bodyDiv w:val="1"/>
      <w:marLeft w:val="0"/>
      <w:marRight w:val="0"/>
      <w:marTop w:val="0"/>
      <w:marBottom w:val="0"/>
      <w:divBdr>
        <w:top w:val="none" w:sz="0" w:space="0" w:color="auto"/>
        <w:left w:val="none" w:sz="0" w:space="0" w:color="auto"/>
        <w:bottom w:val="none" w:sz="0" w:space="0" w:color="auto"/>
        <w:right w:val="none" w:sz="0" w:space="0" w:color="auto"/>
      </w:divBdr>
    </w:div>
    <w:div w:id="966818498">
      <w:bodyDiv w:val="1"/>
      <w:marLeft w:val="0"/>
      <w:marRight w:val="0"/>
      <w:marTop w:val="0"/>
      <w:marBottom w:val="0"/>
      <w:divBdr>
        <w:top w:val="none" w:sz="0" w:space="0" w:color="auto"/>
        <w:left w:val="none" w:sz="0" w:space="0" w:color="auto"/>
        <w:bottom w:val="none" w:sz="0" w:space="0" w:color="auto"/>
        <w:right w:val="none" w:sz="0" w:space="0" w:color="auto"/>
      </w:divBdr>
      <w:divsChild>
        <w:div w:id="2146963782">
          <w:marLeft w:val="0"/>
          <w:marRight w:val="0"/>
          <w:marTop w:val="0"/>
          <w:marBottom w:val="0"/>
          <w:divBdr>
            <w:top w:val="none" w:sz="0" w:space="0" w:color="auto"/>
            <w:left w:val="none" w:sz="0" w:space="0" w:color="auto"/>
            <w:bottom w:val="none" w:sz="0" w:space="0" w:color="auto"/>
            <w:right w:val="none" w:sz="0" w:space="0" w:color="auto"/>
          </w:divBdr>
          <w:divsChild>
            <w:div w:id="846138305">
              <w:marLeft w:val="0"/>
              <w:marRight w:val="0"/>
              <w:marTop w:val="0"/>
              <w:marBottom w:val="0"/>
              <w:divBdr>
                <w:top w:val="none" w:sz="0" w:space="0" w:color="auto"/>
                <w:left w:val="none" w:sz="0" w:space="0" w:color="auto"/>
                <w:bottom w:val="none" w:sz="0" w:space="0" w:color="auto"/>
                <w:right w:val="none" w:sz="0" w:space="0" w:color="auto"/>
              </w:divBdr>
              <w:divsChild>
                <w:div w:id="628587673">
                  <w:marLeft w:val="0"/>
                  <w:marRight w:val="0"/>
                  <w:marTop w:val="0"/>
                  <w:marBottom w:val="0"/>
                  <w:divBdr>
                    <w:top w:val="none" w:sz="0" w:space="0" w:color="auto"/>
                    <w:left w:val="none" w:sz="0" w:space="0" w:color="auto"/>
                    <w:bottom w:val="none" w:sz="0" w:space="0" w:color="auto"/>
                    <w:right w:val="none" w:sz="0" w:space="0" w:color="auto"/>
                  </w:divBdr>
                  <w:divsChild>
                    <w:div w:id="1653485228">
                      <w:marLeft w:val="0"/>
                      <w:marRight w:val="0"/>
                      <w:marTop w:val="0"/>
                      <w:marBottom w:val="0"/>
                      <w:divBdr>
                        <w:top w:val="none" w:sz="0" w:space="0" w:color="auto"/>
                        <w:left w:val="none" w:sz="0" w:space="0" w:color="auto"/>
                        <w:bottom w:val="none" w:sz="0" w:space="0" w:color="auto"/>
                        <w:right w:val="none" w:sz="0" w:space="0" w:color="auto"/>
                      </w:divBdr>
                      <w:divsChild>
                        <w:div w:id="1468626358">
                          <w:marLeft w:val="0"/>
                          <w:marRight w:val="0"/>
                          <w:marTop w:val="0"/>
                          <w:marBottom w:val="0"/>
                          <w:divBdr>
                            <w:top w:val="none" w:sz="0" w:space="0" w:color="auto"/>
                            <w:left w:val="none" w:sz="0" w:space="0" w:color="auto"/>
                            <w:bottom w:val="none" w:sz="0" w:space="0" w:color="auto"/>
                            <w:right w:val="none" w:sz="0" w:space="0" w:color="auto"/>
                          </w:divBdr>
                          <w:divsChild>
                            <w:div w:id="234778470">
                              <w:marLeft w:val="0"/>
                              <w:marRight w:val="0"/>
                              <w:marTop w:val="0"/>
                              <w:marBottom w:val="0"/>
                              <w:divBdr>
                                <w:top w:val="none" w:sz="0" w:space="0" w:color="auto"/>
                                <w:left w:val="none" w:sz="0" w:space="0" w:color="auto"/>
                                <w:bottom w:val="none" w:sz="0" w:space="0" w:color="auto"/>
                                <w:right w:val="none" w:sz="0" w:space="0" w:color="auto"/>
                              </w:divBdr>
                              <w:divsChild>
                                <w:div w:id="4654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189842">
                  <w:marLeft w:val="0"/>
                  <w:marRight w:val="0"/>
                  <w:marTop w:val="0"/>
                  <w:marBottom w:val="0"/>
                  <w:divBdr>
                    <w:top w:val="none" w:sz="0" w:space="0" w:color="auto"/>
                    <w:left w:val="none" w:sz="0" w:space="0" w:color="auto"/>
                    <w:bottom w:val="none" w:sz="0" w:space="0" w:color="auto"/>
                    <w:right w:val="none" w:sz="0" w:space="0" w:color="auto"/>
                  </w:divBdr>
                  <w:divsChild>
                    <w:div w:id="952059734">
                      <w:marLeft w:val="0"/>
                      <w:marRight w:val="0"/>
                      <w:marTop w:val="0"/>
                      <w:marBottom w:val="0"/>
                      <w:divBdr>
                        <w:top w:val="none" w:sz="0" w:space="0" w:color="auto"/>
                        <w:left w:val="none" w:sz="0" w:space="0" w:color="auto"/>
                        <w:bottom w:val="none" w:sz="0" w:space="0" w:color="auto"/>
                        <w:right w:val="none" w:sz="0" w:space="0" w:color="auto"/>
                      </w:divBdr>
                      <w:divsChild>
                        <w:div w:id="1790273518">
                          <w:marLeft w:val="0"/>
                          <w:marRight w:val="0"/>
                          <w:marTop w:val="0"/>
                          <w:marBottom w:val="0"/>
                          <w:divBdr>
                            <w:top w:val="none" w:sz="0" w:space="0" w:color="auto"/>
                            <w:left w:val="none" w:sz="0" w:space="0" w:color="auto"/>
                            <w:bottom w:val="none" w:sz="0" w:space="0" w:color="auto"/>
                            <w:right w:val="none" w:sz="0" w:space="0" w:color="auto"/>
                          </w:divBdr>
                          <w:divsChild>
                            <w:div w:id="1874221385">
                              <w:marLeft w:val="0"/>
                              <w:marRight w:val="0"/>
                              <w:marTop w:val="0"/>
                              <w:marBottom w:val="0"/>
                              <w:divBdr>
                                <w:top w:val="none" w:sz="0" w:space="0" w:color="auto"/>
                                <w:left w:val="none" w:sz="0" w:space="0" w:color="auto"/>
                                <w:bottom w:val="none" w:sz="0" w:space="0" w:color="auto"/>
                                <w:right w:val="none" w:sz="0" w:space="0" w:color="auto"/>
                              </w:divBdr>
                              <w:divsChild>
                                <w:div w:id="1916016044">
                                  <w:marLeft w:val="0"/>
                                  <w:marRight w:val="0"/>
                                  <w:marTop w:val="0"/>
                                  <w:marBottom w:val="0"/>
                                  <w:divBdr>
                                    <w:top w:val="none" w:sz="0" w:space="0" w:color="auto"/>
                                    <w:left w:val="none" w:sz="0" w:space="0" w:color="auto"/>
                                    <w:bottom w:val="none" w:sz="0" w:space="0" w:color="auto"/>
                                    <w:right w:val="none" w:sz="0" w:space="0" w:color="auto"/>
                                  </w:divBdr>
                                  <w:divsChild>
                                    <w:div w:id="41670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1807010">
      <w:bodyDiv w:val="1"/>
      <w:marLeft w:val="0"/>
      <w:marRight w:val="0"/>
      <w:marTop w:val="0"/>
      <w:marBottom w:val="0"/>
      <w:divBdr>
        <w:top w:val="none" w:sz="0" w:space="0" w:color="auto"/>
        <w:left w:val="none" w:sz="0" w:space="0" w:color="auto"/>
        <w:bottom w:val="none" w:sz="0" w:space="0" w:color="auto"/>
        <w:right w:val="none" w:sz="0" w:space="0" w:color="auto"/>
      </w:divBdr>
    </w:div>
    <w:div w:id="1454443853">
      <w:bodyDiv w:val="1"/>
      <w:marLeft w:val="0"/>
      <w:marRight w:val="0"/>
      <w:marTop w:val="0"/>
      <w:marBottom w:val="0"/>
      <w:divBdr>
        <w:top w:val="none" w:sz="0" w:space="0" w:color="auto"/>
        <w:left w:val="none" w:sz="0" w:space="0" w:color="auto"/>
        <w:bottom w:val="none" w:sz="0" w:space="0" w:color="auto"/>
        <w:right w:val="none" w:sz="0" w:space="0" w:color="auto"/>
      </w:divBdr>
    </w:div>
    <w:div w:id="2070415860">
      <w:bodyDiv w:val="1"/>
      <w:marLeft w:val="0"/>
      <w:marRight w:val="0"/>
      <w:marTop w:val="0"/>
      <w:marBottom w:val="0"/>
      <w:divBdr>
        <w:top w:val="none" w:sz="0" w:space="0" w:color="auto"/>
        <w:left w:val="none" w:sz="0" w:space="0" w:color="auto"/>
        <w:bottom w:val="none" w:sz="0" w:space="0" w:color="auto"/>
        <w:right w:val="none" w:sz="0" w:space="0" w:color="auto"/>
      </w:divBdr>
    </w:div>
    <w:div w:id="210379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561</TotalTime>
  <Pages>3</Pages>
  <Words>718</Words>
  <Characters>3957</Characters>
  <Application>Microsoft Office Word</Application>
  <DocSecurity>0</DocSecurity>
  <Lines>73</Lines>
  <Paragraphs>35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中尾 寛</dc:creator>
  <cp:keywords/>
  <dc:description/>
  <cp:lastModifiedBy>hiro nakao</cp:lastModifiedBy>
  <cp:revision>198</cp:revision>
  <dcterms:created xsi:type="dcterms:W3CDTF">2023-09-03T08:30:00Z</dcterms:created>
  <dcterms:modified xsi:type="dcterms:W3CDTF">2025-04-15T07:06:00Z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a57e3912145ef2b6a25cd61b697c5e474804f632a90f8af870df78752ffb1f53</vt:lpwstr>
  </property>
</Properties>
</file>