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DEC" w:rsidRPr="00A7733A" w:rsidRDefault="00C75DEC" w:rsidP="00C75DEC">
      <w:pPr>
        <w:spacing w:after="0" w:line="240" w:lineRule="auto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</w:p>
    <w:p w:rsidR="00C75DEC" w:rsidRPr="00A7733A" w:rsidRDefault="00C75DEC" w:rsidP="00C75DEC">
      <w:pPr>
        <w:spacing w:after="0" w:line="240" w:lineRule="auto"/>
        <w:rPr>
          <w:rFonts w:ascii="Times New Roman" w:hAnsi="Times New Roman" w:cs="Times New Roman"/>
          <w:i/>
          <w:color w:val="4F81BD" w:themeColor="accent1"/>
          <w:sz w:val="24"/>
          <w:szCs w:val="24"/>
        </w:rPr>
      </w:pPr>
      <w:r w:rsidRPr="00A7733A">
        <w:rPr>
          <w:rFonts w:ascii="Times New Roman" w:hAnsi="Times New Roman" w:cs="Times New Roman"/>
          <w:i/>
          <w:color w:val="4F81BD" w:themeColor="accent1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i/>
          <w:color w:val="4F81BD" w:themeColor="accent1"/>
          <w:sz w:val="24"/>
          <w:szCs w:val="24"/>
        </w:rPr>
        <w:t>2</w:t>
      </w:r>
      <w:r w:rsidRPr="00A7733A">
        <w:rPr>
          <w:rFonts w:ascii="Times New Roman" w:hAnsi="Times New Roman" w:cs="Times New Roman"/>
          <w:i/>
          <w:color w:val="4F81BD" w:themeColor="accent1"/>
          <w:sz w:val="24"/>
          <w:szCs w:val="24"/>
        </w:rPr>
        <w:t xml:space="preserve">: Supplementary Figure </w:t>
      </w:r>
      <w:r>
        <w:rPr>
          <w:rFonts w:ascii="Times New Roman" w:hAnsi="Times New Roman" w:cs="Times New Roman"/>
          <w:i/>
          <w:color w:val="4F81BD" w:themeColor="accent1"/>
          <w:sz w:val="24"/>
          <w:szCs w:val="24"/>
        </w:rPr>
        <w:t>2</w:t>
      </w:r>
    </w:p>
    <w:p w:rsidR="00C75DEC" w:rsidRPr="00A7733A" w:rsidRDefault="00C75DEC" w:rsidP="00C75DEC">
      <w:pPr>
        <w:spacing w:after="0" w:line="240" w:lineRule="auto"/>
        <w:rPr>
          <w:rFonts w:ascii="Times New Roman" w:hAnsi="Times New Roman" w:cs="Times New Roman"/>
          <w:color w:val="4F81BD" w:themeColor="accent1"/>
          <w:sz w:val="24"/>
          <w:szCs w:val="24"/>
        </w:rPr>
      </w:pPr>
      <w:proofErr w:type="spellStart"/>
      <w:r w:rsidRPr="00A7733A">
        <w:rPr>
          <w:rFonts w:ascii="Times New Roman" w:hAnsi="Times New Roman" w:cs="Times New Roman"/>
          <w:color w:val="4F81BD" w:themeColor="accent1"/>
          <w:sz w:val="24"/>
          <w:szCs w:val="24"/>
        </w:rPr>
        <w:t>Andrographolide</w:t>
      </w:r>
      <w:proofErr w:type="spellEnd"/>
      <w:r w:rsidRPr="00A7733A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up-regulates </w:t>
      </w:r>
      <w:proofErr w:type="gramStart"/>
      <w:r w:rsidRPr="00A7733A">
        <w:rPr>
          <w:rFonts w:ascii="Times New Roman" w:hAnsi="Times New Roman" w:cs="Times New Roman"/>
          <w:color w:val="4F81BD" w:themeColor="accent1"/>
          <w:sz w:val="24"/>
          <w:szCs w:val="24"/>
        </w:rPr>
        <w:t>NAD(</w:t>
      </w:r>
      <w:proofErr w:type="gramEnd"/>
      <w:r w:rsidRPr="00A7733A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P)H </w:t>
      </w:r>
      <w:proofErr w:type="spellStart"/>
      <w:r w:rsidRPr="00A7733A">
        <w:rPr>
          <w:rFonts w:ascii="Times New Roman" w:hAnsi="Times New Roman" w:cs="Times New Roman"/>
          <w:color w:val="4F81BD" w:themeColor="accent1"/>
          <w:sz w:val="24"/>
          <w:szCs w:val="24"/>
        </w:rPr>
        <w:t>quinone</w:t>
      </w:r>
      <w:proofErr w:type="spellEnd"/>
      <w:r w:rsidRPr="00A7733A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proofErr w:type="spellStart"/>
      <w:r w:rsidRPr="00A7733A">
        <w:rPr>
          <w:rFonts w:ascii="Times New Roman" w:hAnsi="Times New Roman" w:cs="Times New Roman"/>
          <w:color w:val="4F81BD" w:themeColor="accent1"/>
          <w:sz w:val="24"/>
          <w:szCs w:val="24"/>
        </w:rPr>
        <w:t>oxoreductase</w:t>
      </w:r>
      <w:proofErr w:type="spellEnd"/>
      <w:r w:rsidRPr="00A7733A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1 (Nqo1) in </w:t>
      </w:r>
      <w:proofErr w:type="spellStart"/>
      <w:r w:rsidRPr="00A7733A">
        <w:rPr>
          <w:rFonts w:ascii="Times New Roman" w:hAnsi="Times New Roman" w:cs="Times New Roman"/>
          <w:color w:val="4F81BD" w:themeColor="accent1"/>
          <w:sz w:val="24"/>
          <w:szCs w:val="24"/>
        </w:rPr>
        <w:t>astrocytes</w:t>
      </w:r>
      <w:proofErr w:type="spellEnd"/>
    </w:p>
    <w:p w:rsidR="00C75DEC" w:rsidRPr="00A7733A" w:rsidRDefault="00C75DEC" w:rsidP="00C75DEC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</w:p>
    <w:p w:rsidR="00C75DEC" w:rsidRPr="00A7733A" w:rsidRDefault="00C75DEC" w:rsidP="00C75DEC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</w:p>
    <w:p w:rsidR="00C75DEC" w:rsidRPr="00A7733A" w:rsidRDefault="00C75DEC" w:rsidP="00C75DEC">
      <w:pPr>
        <w:spacing w:after="0" w:line="240" w:lineRule="auto"/>
        <w:rPr>
          <w:b/>
          <w:color w:val="4F81BD" w:themeColor="accent1"/>
        </w:rPr>
      </w:pPr>
    </w:p>
    <w:p w:rsidR="00C75DEC" w:rsidRPr="00A7733A" w:rsidRDefault="00C75DEC" w:rsidP="00C75DEC">
      <w:pPr>
        <w:spacing w:line="480" w:lineRule="auto"/>
        <w:jc w:val="center"/>
        <w:rPr>
          <w:b/>
          <w:color w:val="4F81BD" w:themeColor="accent1"/>
        </w:rPr>
      </w:pPr>
      <w:r w:rsidRPr="00A7733A">
        <w:rPr>
          <w:b/>
          <w:noProof/>
          <w:color w:val="4F81BD" w:themeColor="accent1"/>
        </w:rPr>
        <w:drawing>
          <wp:inline distT="0" distB="0" distL="0" distR="0">
            <wp:extent cx="5943600" cy="28219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ng andro NRF HO Fig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DEC" w:rsidRPr="00A7733A" w:rsidRDefault="00C75DEC" w:rsidP="00C75DEC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0"/>
          <w:szCs w:val="20"/>
        </w:rPr>
      </w:pPr>
      <w:proofErr w:type="gramStart"/>
      <w:r w:rsidRPr="00A7733A">
        <w:rPr>
          <w:rFonts w:ascii="Times New Roman" w:hAnsi="Times New Roman" w:cs="Times New Roman"/>
          <w:b/>
          <w:color w:val="4F81BD" w:themeColor="accent1"/>
          <w:sz w:val="20"/>
          <w:szCs w:val="20"/>
        </w:rPr>
        <w:t>Fig.</w:t>
      </w:r>
      <w:proofErr w:type="gramEnd"/>
      <w:r w:rsidRPr="00A7733A">
        <w:rPr>
          <w:rFonts w:ascii="Times New Roman" w:hAnsi="Times New Roman" w:cs="Times New Roman"/>
          <w:b/>
          <w:color w:val="4F81BD" w:themeColor="accent1"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color w:val="4F81BD" w:themeColor="accent1"/>
          <w:sz w:val="20"/>
          <w:szCs w:val="20"/>
        </w:rPr>
        <w:t>2</w:t>
      </w:r>
      <w:r w:rsidRPr="00A7733A">
        <w:rPr>
          <w:rFonts w:ascii="Times New Roman" w:hAnsi="Times New Roman" w:cs="Times New Roman"/>
          <w:b/>
          <w:color w:val="4F81BD" w:themeColor="accent1"/>
          <w:sz w:val="20"/>
          <w:szCs w:val="20"/>
        </w:rPr>
        <w:t xml:space="preserve"> </w:t>
      </w:r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Primary </w:t>
      </w:r>
      <w:proofErr w:type="spellStart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>astrocytes</w:t>
      </w:r>
      <w:proofErr w:type="spellEnd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were treated with </w:t>
      </w:r>
      <w:proofErr w:type="spellStart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>andrographolide</w:t>
      </w:r>
      <w:proofErr w:type="spellEnd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(50 </w:t>
      </w:r>
      <w:proofErr w:type="spellStart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>μM</w:t>
      </w:r>
      <w:proofErr w:type="spellEnd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) for the indicated time intervals and measured for Nqo1 </w:t>
      </w:r>
      <w:r w:rsidRPr="00A7733A">
        <w:rPr>
          <w:rFonts w:ascii="Times New Roman" w:hAnsi="Times New Roman" w:cs="Times New Roman"/>
          <w:b/>
          <w:color w:val="4F81BD" w:themeColor="accent1"/>
          <w:sz w:val="20"/>
          <w:szCs w:val="20"/>
        </w:rPr>
        <w:t>a</w:t>
      </w:r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mRNA and </w:t>
      </w:r>
      <w:r w:rsidRPr="00A7733A">
        <w:rPr>
          <w:rFonts w:ascii="Times New Roman" w:hAnsi="Times New Roman" w:cs="Times New Roman"/>
          <w:b/>
          <w:color w:val="4F81BD" w:themeColor="accent1"/>
          <w:sz w:val="20"/>
          <w:szCs w:val="20"/>
        </w:rPr>
        <w:t xml:space="preserve">b </w:t>
      </w:r>
      <w:proofErr w:type="spellStart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>immunoreactivity</w:t>
      </w:r>
      <w:proofErr w:type="spellEnd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(with representative </w:t>
      </w:r>
      <w:proofErr w:type="spellStart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>immunoblots</w:t>
      </w:r>
      <w:proofErr w:type="spellEnd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), together with respective bar graphs of mean ± S.E.M. fold changes in transcript level or optical density (OD), with vehicle-only (“0 h”) group set as 1, from 3 independent experiments. Raw transcript values were normalized to mean expression of housekeeping genes (see Methods) prior to conversion to fold-change values while Nqo1 </w:t>
      </w:r>
      <w:proofErr w:type="spellStart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>immunoreactivity</w:t>
      </w:r>
      <w:proofErr w:type="spellEnd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was normalized to β-</w:t>
      </w:r>
      <w:proofErr w:type="spellStart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>actin</w:t>
      </w:r>
      <w:proofErr w:type="spellEnd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. </w:t>
      </w:r>
      <w:proofErr w:type="gramStart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>***</w:t>
      </w:r>
      <w:r w:rsidRPr="00A7733A">
        <w:rPr>
          <w:rFonts w:ascii="Times New Roman" w:hAnsi="Times New Roman" w:cs="Times New Roman"/>
          <w:i/>
          <w:color w:val="4F81BD" w:themeColor="accent1"/>
          <w:sz w:val="20"/>
          <w:szCs w:val="20"/>
        </w:rPr>
        <w:t>p</w:t>
      </w:r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&lt; 0.001; significantly different from vehicle-only group (one-way ANOVA with </w:t>
      </w:r>
      <w:proofErr w:type="spellStart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>Dunnett’s</w:t>
      </w:r>
      <w:proofErr w:type="spellEnd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</w:t>
      </w:r>
      <w:r w:rsidRPr="00A7733A">
        <w:rPr>
          <w:rFonts w:ascii="Times New Roman" w:hAnsi="Times New Roman" w:cs="Times New Roman"/>
          <w:i/>
          <w:color w:val="4F81BD" w:themeColor="accent1"/>
          <w:sz w:val="20"/>
          <w:szCs w:val="20"/>
        </w:rPr>
        <w:t xml:space="preserve">post-hoc </w:t>
      </w:r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>tests).</w:t>
      </w:r>
      <w:proofErr w:type="gramEnd"/>
      <w:r w:rsidRPr="00A7733A">
        <w:rPr>
          <w:rFonts w:ascii="Times New Roman" w:hAnsi="Times New Roman" w:cs="Times New Roman"/>
          <w:color w:val="4F81BD" w:themeColor="accent1"/>
          <w:sz w:val="20"/>
          <w:szCs w:val="20"/>
        </w:rPr>
        <w:t xml:space="preserve"> </w:t>
      </w:r>
    </w:p>
    <w:p w:rsidR="00C75DEC" w:rsidRPr="00A7733A" w:rsidRDefault="00C75DEC" w:rsidP="00C75DEC">
      <w:pPr>
        <w:rPr>
          <w:color w:val="4F81BD" w:themeColor="accent1"/>
        </w:rPr>
      </w:pPr>
    </w:p>
    <w:p w:rsidR="00C75DEC" w:rsidRPr="00A7733A" w:rsidRDefault="00C75DEC" w:rsidP="00C75DEC">
      <w:pPr>
        <w:rPr>
          <w:color w:val="4F81BD" w:themeColor="accent1"/>
        </w:rPr>
      </w:pPr>
    </w:p>
    <w:p w:rsidR="00C75DEC" w:rsidRPr="00A7733A" w:rsidRDefault="00C75DEC" w:rsidP="00C75DEC">
      <w:pPr>
        <w:rPr>
          <w:color w:val="4F81BD" w:themeColor="accent1"/>
        </w:rPr>
      </w:pPr>
    </w:p>
    <w:p w:rsidR="00C75DEC" w:rsidRDefault="00C75DEC" w:rsidP="00C75D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5DEC" w:rsidRDefault="00C75DEC" w:rsidP="00C75D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5DEC" w:rsidRDefault="00C75DEC" w:rsidP="00C75D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5DEC" w:rsidRDefault="00C75DEC" w:rsidP="00C75D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E8E" w:rsidRDefault="00676E8E"/>
    <w:sectPr w:rsidR="00676E8E" w:rsidSect="002D44A3">
      <w:footerReference w:type="default" r:id="rId5"/>
      <w:pgSz w:w="11906" w:h="16838"/>
      <w:pgMar w:top="1440" w:right="1440" w:bottom="1440" w:left="1440" w:header="706" w:footer="706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76783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56E9" w:rsidRDefault="00C75D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56E9" w:rsidRDefault="00C75DEC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C75DEC"/>
    <w:rsid w:val="00186ABF"/>
    <w:rsid w:val="0023689D"/>
    <w:rsid w:val="00676E8E"/>
    <w:rsid w:val="00C75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E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75DEC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C75DE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D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695</Characters>
  <Application>Microsoft Office Word</Application>
  <DocSecurity>0</DocSecurity>
  <Lines>13</Lines>
  <Paragraphs>4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NCADAYONA</dc:creator>
  <cp:lastModifiedBy>NCADAYONA</cp:lastModifiedBy>
  <cp:revision>1</cp:revision>
  <dcterms:created xsi:type="dcterms:W3CDTF">2016-09-16T14:01:00Z</dcterms:created>
  <dcterms:modified xsi:type="dcterms:W3CDTF">2016-09-16T14:03:00Z</dcterms:modified>
</cp:coreProperties>
</file>