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73" w:rsidRDefault="001622A4"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BA874C8" wp14:editId="7894D825">
            <wp:extent cx="5943600" cy="2405375"/>
            <wp:effectExtent l="0" t="0" r="0" b="0"/>
            <wp:docPr id="23" name="Picture 23" descr="C:\Users\incom\Desktop\RKL_LW_Main_Project\JCI\S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com\Desktop\RKL_LW_Main_Project\JCI\S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A4" w:rsidRDefault="001622A4">
      <w:r w:rsidRPr="005A2DB7">
        <w:rPr>
          <w:rFonts w:ascii="Times New Roman" w:hAnsi="Times New Roman" w:cs="Times New Roman"/>
          <w:i/>
          <w:sz w:val="24"/>
          <w:szCs w:val="24"/>
        </w:rPr>
        <w:t>Fig</w:t>
      </w:r>
      <w:r w:rsidR="00A63FC5">
        <w:rPr>
          <w:rFonts w:ascii="Times New Roman" w:hAnsi="Times New Roman" w:cs="Times New Roman"/>
          <w:i/>
          <w:sz w:val="24"/>
          <w:szCs w:val="24"/>
        </w:rPr>
        <w:t>ure</w:t>
      </w:r>
      <w:r w:rsidRPr="005A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FC5">
        <w:rPr>
          <w:rFonts w:ascii="Times New Roman" w:hAnsi="Times New Roman" w:cs="Times New Roman"/>
          <w:i/>
          <w:sz w:val="24"/>
          <w:szCs w:val="24"/>
        </w:rPr>
        <w:t>S</w:t>
      </w:r>
      <w:bookmarkStart w:id="0" w:name="_GoBack"/>
      <w:bookmarkEnd w:id="0"/>
      <w:r w:rsidRPr="005A2DB7">
        <w:rPr>
          <w:rFonts w:ascii="Times New Roman" w:hAnsi="Times New Roman" w:cs="Times New Roman"/>
          <w:i/>
          <w:sz w:val="24"/>
          <w:szCs w:val="24"/>
        </w:rPr>
        <w:t>3: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2DB7">
        <w:rPr>
          <w:rFonts w:ascii="Times New Roman" w:hAnsi="Times New Roman" w:cs="Times New Roman"/>
          <w:i/>
          <w:sz w:val="24"/>
          <w:szCs w:val="24"/>
        </w:rPr>
        <w:t>Genetic changes in the whole brain of old mice reconstituted with young Sca-1</w:t>
      </w:r>
      <w:r w:rsidRPr="005A2DB7">
        <w:rPr>
          <w:rFonts w:ascii="Times New Roman" w:hAnsi="Times New Roman" w:cs="Times New Roman"/>
          <w:i/>
          <w:sz w:val="24"/>
          <w:szCs w:val="24"/>
          <w:vertAlign w:val="superscript"/>
        </w:rPr>
        <w:t>+</w:t>
      </w:r>
      <w:r w:rsidRPr="005A2DB7">
        <w:rPr>
          <w:rFonts w:ascii="Times New Roman" w:hAnsi="Times New Roman" w:cs="Times New Roman"/>
          <w:i/>
          <w:sz w:val="24"/>
          <w:szCs w:val="24"/>
        </w:rPr>
        <w:t xml:space="preserve"> or Sca-1</w:t>
      </w:r>
      <w:r w:rsidRPr="005A2DB7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5A2DB7">
        <w:rPr>
          <w:rFonts w:ascii="Times New Roman" w:hAnsi="Times New Roman" w:cs="Times New Roman"/>
          <w:i/>
          <w:sz w:val="24"/>
          <w:szCs w:val="24"/>
        </w:rPr>
        <w:t xml:space="preserve"> cells</w:t>
      </w:r>
      <w:r w:rsidRPr="005A2D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Hierarchical clustering on gene level counts of differentially expressed genes as a function of experimental treatment for </w:t>
      </w:r>
      <w:r w:rsidRPr="00D95585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3 mice per groups (FC ≥ 1.5,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≤ 0.05). (b) Volcano plot of 2056 significantly dysregulated genes and (c) a STRING interaction network for the norepinephrine transporter gene, SLC6A2, depicted by the black arrow (right).</w:t>
      </w:r>
    </w:p>
    <w:sectPr w:rsidR="00162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77273"/>
    <w:rsid w:val="001622A4"/>
    <w:rsid w:val="00177273"/>
    <w:rsid w:val="00186D65"/>
    <w:rsid w:val="003C2055"/>
    <w:rsid w:val="0057283B"/>
    <w:rsid w:val="00A6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273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273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MSARDAN</cp:lastModifiedBy>
  <cp:revision>3</cp:revision>
  <dcterms:created xsi:type="dcterms:W3CDTF">2019-12-19T01:07:00Z</dcterms:created>
  <dcterms:modified xsi:type="dcterms:W3CDTF">2020-01-06T05:20:00Z</dcterms:modified>
</cp:coreProperties>
</file>