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3B" w:rsidRDefault="00792CEF"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BA1954A" wp14:editId="60E91145">
            <wp:extent cx="5943600" cy="4328160"/>
            <wp:effectExtent l="0" t="0" r="0" b="0"/>
            <wp:docPr id="26" name="Picture 26" descr="C:\Users\incom\Desktop\RKL_LW_Main_Project\JCI\S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ncom\Desktop\RKL_LW_Main_Project\JCI\SF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CEF" w:rsidRDefault="00792CEF">
      <w:r w:rsidRPr="00801525">
        <w:rPr>
          <w:rFonts w:ascii="Times New Roman" w:hAnsi="Times New Roman" w:cs="Times New Roman"/>
          <w:i/>
          <w:sz w:val="24"/>
          <w:szCs w:val="24"/>
        </w:rPr>
        <w:t>Fig</w:t>
      </w:r>
      <w:r w:rsidR="00C56A48">
        <w:rPr>
          <w:rFonts w:ascii="Times New Roman" w:hAnsi="Times New Roman" w:cs="Times New Roman"/>
          <w:i/>
          <w:sz w:val="24"/>
          <w:szCs w:val="24"/>
        </w:rPr>
        <w:t>ure</w:t>
      </w:r>
      <w:r w:rsidRPr="0080152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56A48">
        <w:rPr>
          <w:rFonts w:ascii="Times New Roman" w:hAnsi="Times New Roman" w:cs="Times New Roman"/>
          <w:i/>
          <w:sz w:val="24"/>
          <w:szCs w:val="24"/>
        </w:rPr>
        <w:t>S</w:t>
      </w:r>
      <w:bookmarkStart w:id="0" w:name="_GoBack"/>
      <w:bookmarkEnd w:id="0"/>
      <w:r w:rsidRPr="00801525">
        <w:rPr>
          <w:rFonts w:ascii="Times New Roman" w:hAnsi="Times New Roman" w:cs="Times New Roman"/>
          <w:i/>
          <w:sz w:val="24"/>
          <w:szCs w:val="24"/>
        </w:rPr>
        <w:t>7: Young donor microglia can influence the polarized state of old host microglia</w:t>
      </w:r>
      <w:r w:rsidRPr="008015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(a) Immunostaining for anti-inflammatory (Arg-1</w:t>
      </w:r>
      <w:r w:rsidRPr="00AA670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) donor (GFP</w:t>
      </w:r>
      <w:r w:rsidRPr="00AA6700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>) and host (GFP</w:t>
      </w:r>
      <w:r w:rsidRPr="00AA6700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</w:rPr>
        <w:t>) microglia in a midbrain section containing the hippocampus. (b) Higher magnification inset from a Y</w:t>
      </w:r>
      <w:r w:rsidRPr="00A37DB5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>
        <w:rPr>
          <w:rFonts w:ascii="Times New Roman" w:hAnsi="Times New Roman" w:cs="Times New Roman"/>
          <w:sz w:val="24"/>
          <w:szCs w:val="24"/>
        </w:rPr>
        <w:t xml:space="preserve">-O mouse demonstrating signal localization and cell proximity (left) and quantification of immunostaining (right).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5 mice per group for five randomly selected regions. Scale bars 100 µm (</w:t>
      </w:r>
      <w:r w:rsidRPr="000426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 and 50 µm for inset (</w:t>
      </w:r>
      <w:r w:rsidRPr="0004261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). Data are mean ± s.e.m. ****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≤ 0.0001 (</w:t>
      </w:r>
      <w:r w:rsidRPr="000C718A">
        <w:rPr>
          <w:rFonts w:ascii="Times New Roman" w:hAnsi="Times New Roman" w:cs="Times New Roman"/>
          <w:sz w:val="24"/>
          <w:szCs w:val="24"/>
        </w:rPr>
        <w:t>unpaired</w:t>
      </w:r>
      <w:r>
        <w:rPr>
          <w:rFonts w:ascii="Times New Roman" w:hAnsi="Times New Roman" w:cs="Times New Roman"/>
          <w:sz w:val="24"/>
          <w:szCs w:val="24"/>
        </w:rPr>
        <w:t xml:space="preserve"> two-sided t-tests (</w:t>
      </w:r>
      <w:r w:rsidRPr="0004261D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)).</w:t>
      </w:r>
    </w:p>
    <w:sectPr w:rsidR="00792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177273"/>
    <w:rsid w:val="001622A4"/>
    <w:rsid w:val="00177273"/>
    <w:rsid w:val="00186D65"/>
    <w:rsid w:val="003C2055"/>
    <w:rsid w:val="0057283B"/>
    <w:rsid w:val="00744AA7"/>
    <w:rsid w:val="0076643B"/>
    <w:rsid w:val="0077149A"/>
    <w:rsid w:val="00792CEF"/>
    <w:rsid w:val="00C5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273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7273"/>
    <w:pPr>
      <w:spacing w:after="0" w:line="240" w:lineRule="auto"/>
    </w:pPr>
    <w:rPr>
      <w:rFonts w:eastAsiaTheme="minorEastAsia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5A0F9-2B7F-4843-BF31-F707658B9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OF47</dc:creator>
  <cp:lastModifiedBy>MSARDAN</cp:lastModifiedBy>
  <cp:revision>3</cp:revision>
  <dcterms:created xsi:type="dcterms:W3CDTF">2019-12-19T01:12:00Z</dcterms:created>
  <dcterms:modified xsi:type="dcterms:W3CDTF">2020-01-06T05:23:00Z</dcterms:modified>
</cp:coreProperties>
</file>