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C0216" w14:textId="11FF4A8D" w:rsidR="00E11077" w:rsidRPr="00FA7885" w:rsidRDefault="00E11077" w:rsidP="007D05ED">
      <w:r w:rsidRPr="00FA7885">
        <w:t xml:space="preserve">Supporting Information </w:t>
      </w:r>
      <w:r w:rsidR="00FA7885" w:rsidRPr="00FA7885">
        <w:t>f</w:t>
      </w:r>
      <w:r w:rsidRPr="00FA7885">
        <w:t>or:</w:t>
      </w:r>
    </w:p>
    <w:p w14:paraId="5A1DE798" w14:textId="6F01A3C3" w:rsidR="00E11077" w:rsidRPr="00E11077" w:rsidRDefault="00E11077" w:rsidP="00E11077">
      <w:pPr>
        <w:rPr>
          <w:rFonts w:eastAsia="Calibri"/>
          <w:b/>
        </w:rPr>
      </w:pPr>
      <w:r w:rsidRPr="00E11077">
        <w:rPr>
          <w:rFonts w:eastAsia="Calibri"/>
          <w:b/>
        </w:rPr>
        <w:t>A Primar</w:t>
      </w:r>
      <w:r w:rsidR="00311482">
        <w:rPr>
          <w:rFonts w:eastAsia="Calibri"/>
          <w:b/>
        </w:rPr>
        <w:t>y Neural Cell Culture Model to Study Neuron, Astrocyte and Microglia Interactions in Neuroinflammation</w:t>
      </w:r>
    </w:p>
    <w:p w14:paraId="484AA409" w14:textId="77777777" w:rsidR="00E11077" w:rsidRPr="00E11077" w:rsidRDefault="00E11077" w:rsidP="00E11077">
      <w:pPr>
        <w:rPr>
          <w:rFonts w:eastAsia="Calibri"/>
        </w:rPr>
      </w:pPr>
      <w:r w:rsidRPr="00E11077">
        <w:rPr>
          <w:rFonts w:eastAsia="Calibri"/>
        </w:rPr>
        <w:t>Noah Goshi</w:t>
      </w:r>
      <w:r w:rsidRPr="00E11077">
        <w:rPr>
          <w:rFonts w:eastAsia="Calibri"/>
          <w:vertAlign w:val="superscript"/>
        </w:rPr>
        <w:t>1</w:t>
      </w:r>
      <w:r w:rsidRPr="00E11077">
        <w:rPr>
          <w:rFonts w:eastAsia="Calibri"/>
        </w:rPr>
        <w:t>, Rhianna K. Morgan</w:t>
      </w:r>
      <w:r w:rsidRPr="00E11077">
        <w:rPr>
          <w:rFonts w:eastAsia="Calibri"/>
          <w:vertAlign w:val="superscript"/>
        </w:rPr>
        <w:t>2</w:t>
      </w:r>
      <w:r w:rsidRPr="00E11077">
        <w:rPr>
          <w:rFonts w:eastAsia="Calibri"/>
        </w:rPr>
        <w:t>, Pamela J. Lein</w:t>
      </w:r>
      <w:r w:rsidRPr="00E11077">
        <w:rPr>
          <w:rFonts w:eastAsia="Calibri"/>
          <w:vertAlign w:val="superscript"/>
        </w:rPr>
        <w:t>2</w:t>
      </w:r>
      <w:r w:rsidRPr="00E11077">
        <w:rPr>
          <w:rFonts w:eastAsia="Calibri"/>
        </w:rPr>
        <w:t>, Erkin Seker</w:t>
      </w:r>
      <w:r w:rsidRPr="00E11077">
        <w:rPr>
          <w:rFonts w:eastAsia="Calibri"/>
          <w:vertAlign w:val="superscript"/>
        </w:rPr>
        <w:t>3</w:t>
      </w:r>
    </w:p>
    <w:p w14:paraId="15EE7E2E" w14:textId="7283C3BC" w:rsidR="00E11077" w:rsidRPr="00E11077" w:rsidRDefault="00E11077" w:rsidP="00E11077">
      <w:pPr>
        <w:rPr>
          <w:b/>
          <w:bCs/>
        </w:rPr>
      </w:pPr>
      <w:r w:rsidRPr="00E11077">
        <w:rPr>
          <w:rFonts w:eastAsia="Calibri"/>
        </w:rPr>
        <w:t xml:space="preserve">Departments of </w:t>
      </w:r>
      <w:r w:rsidRPr="00E11077">
        <w:rPr>
          <w:rFonts w:eastAsia="Calibri"/>
          <w:vertAlign w:val="superscript"/>
        </w:rPr>
        <w:t>1</w:t>
      </w:r>
      <w:r w:rsidRPr="00E11077">
        <w:rPr>
          <w:rFonts w:eastAsia="Calibri"/>
        </w:rPr>
        <w:t xml:space="preserve">Biomedical Engineering, </w:t>
      </w:r>
      <w:r w:rsidRPr="00E11077">
        <w:rPr>
          <w:rFonts w:eastAsia="Calibri"/>
          <w:vertAlign w:val="superscript"/>
        </w:rPr>
        <w:t>2</w:t>
      </w:r>
      <w:r w:rsidRPr="00E11077">
        <w:rPr>
          <w:rFonts w:eastAsia="Calibri"/>
        </w:rPr>
        <w:t xml:space="preserve">Molecular Biosciences, and </w:t>
      </w:r>
      <w:r w:rsidRPr="00E11077">
        <w:rPr>
          <w:rFonts w:eastAsia="Calibri"/>
          <w:vertAlign w:val="superscript"/>
        </w:rPr>
        <w:t>3</w:t>
      </w:r>
      <w:r w:rsidRPr="00E11077">
        <w:rPr>
          <w:rFonts w:eastAsia="Calibri"/>
        </w:rPr>
        <w:t>Electrical and Computer Engineering, University of California - Davis, Davis, CA 95616</w:t>
      </w:r>
    </w:p>
    <w:p w14:paraId="39ADD0A1" w14:textId="76DE08FF" w:rsidR="00492494" w:rsidRDefault="00492494" w:rsidP="004F7F12">
      <w:r>
        <w:rPr>
          <w:noProof/>
        </w:rPr>
        <w:drawing>
          <wp:inline distT="0" distB="0" distL="0" distR="0" wp14:anchorId="3F0C1254" wp14:editId="3A13AEE0">
            <wp:extent cx="5076825" cy="2076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-actin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" t="5044" r="20971" b="71559"/>
                    <a:stretch/>
                  </pic:blipFill>
                  <pic:spPr bwMode="auto">
                    <a:xfrm>
                      <a:off x="0" y="0"/>
                      <a:ext cx="5076825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EEBDD" w14:textId="4BEFB8B8" w:rsidR="004F7F12" w:rsidRDefault="00492494" w:rsidP="00C740D2">
      <w:pPr>
        <w:jc w:val="both"/>
      </w:pPr>
      <w:r>
        <w:rPr>
          <w:b/>
          <w:sz w:val="18"/>
        </w:rPr>
        <w:t xml:space="preserve">Supplementary Figure 1: </w:t>
      </w:r>
      <w:proofErr w:type="spellStart"/>
      <w:r w:rsidRPr="009B568A">
        <w:rPr>
          <w:sz w:val="18"/>
        </w:rPr>
        <w:t>Immunostained</w:t>
      </w:r>
      <w:proofErr w:type="spellEnd"/>
      <w:r w:rsidRPr="009B568A">
        <w:rPr>
          <w:sz w:val="18"/>
        </w:rPr>
        <w:t xml:space="preserve"> images of the co- and tri-cultures at DIV 14 showing the co-localization of f-actin (cyan) and β-III tubulin (red) indicative of dendritic spines. Scale bar = 20 µm</w:t>
      </w:r>
      <w:r w:rsidR="00374EF6">
        <w:rPr>
          <w:sz w:val="18"/>
        </w:rPr>
        <w:t>.</w:t>
      </w:r>
      <w:r w:rsidR="004F7F12">
        <w:br w:type="page"/>
      </w:r>
    </w:p>
    <w:p w14:paraId="7C913E99" w14:textId="59A4E898" w:rsidR="007D05ED" w:rsidRDefault="007D05ED" w:rsidP="007D05ED">
      <w:r>
        <w:rPr>
          <w:noProof/>
        </w:rPr>
        <w:lastRenderedPageBreak/>
        <w:drawing>
          <wp:inline distT="0" distB="0" distL="0" distR="0" wp14:anchorId="2D6033BB" wp14:editId="5EAD5CE1">
            <wp:extent cx="4572000" cy="2762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_microglia_array.ti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45"/>
                    <a:stretch/>
                  </pic:blipFill>
                  <pic:spPr bwMode="auto"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D96B45" w14:textId="0510B9BE" w:rsidR="00EC46A4" w:rsidRDefault="007D05ED" w:rsidP="00C740D2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Figure </w:t>
      </w:r>
      <w:r w:rsidR="004F7F12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5C5079">
        <w:rPr>
          <w:sz w:val="18"/>
          <w:szCs w:val="18"/>
        </w:rPr>
        <w:t>T</w:t>
      </w:r>
      <w:r w:rsidR="00306D08">
        <w:rPr>
          <w:sz w:val="18"/>
          <w:szCs w:val="18"/>
        </w:rPr>
        <w:t xml:space="preserve">ri-culture media supplement requirements for microglia survival at DIV 7. The results indicate that IL-34 is required for microglial survival in the tri-culture. The figure shows the mean ± SD of the technical replicates (n = 4) of a single biological replicate. </w:t>
      </w:r>
    </w:p>
    <w:p w14:paraId="3AE71439" w14:textId="77777777" w:rsidR="00EC46A4" w:rsidRDefault="00EC46A4" w:rsidP="007D05ED">
      <w:pPr>
        <w:jc w:val="left"/>
        <w:rPr>
          <w:sz w:val="18"/>
          <w:szCs w:val="18"/>
        </w:rPr>
      </w:pPr>
    </w:p>
    <w:p w14:paraId="611D751F" w14:textId="77777777" w:rsidR="00EC46A4" w:rsidRDefault="00EC46A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737DFC44" w14:textId="4674AC7E" w:rsidR="00EC46A4" w:rsidRDefault="00EC46A4" w:rsidP="006B38B5">
      <w:r>
        <w:rPr>
          <w:noProof/>
        </w:rPr>
        <w:lastRenderedPageBreak/>
        <w:drawing>
          <wp:inline distT="0" distB="0" distL="0" distR="0" wp14:anchorId="050A4B19" wp14:editId="648FABB7">
            <wp:extent cx="27432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_Caspase_supplement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9DA4" w14:textId="65C0A8DA" w:rsidR="00EC46A4" w:rsidRDefault="00EC46A4" w:rsidP="00EC46A4">
      <w:pPr>
        <w:spacing w:before="240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</w:t>
      </w:r>
      <w:r>
        <w:rPr>
          <w:b/>
          <w:sz w:val="18"/>
          <w:szCs w:val="18"/>
        </w:rPr>
        <w:t xml:space="preserve">Figure </w:t>
      </w:r>
      <w:r w:rsidR="004F7F12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The tri-culture shows reduced caspase 3/7 activity at DIV 9 (n = 6). </w:t>
      </w:r>
      <w:r w:rsidRPr="0094087E">
        <w:rPr>
          <w:sz w:val="18"/>
          <w:szCs w:val="18"/>
        </w:rPr>
        <w:t>The</w:t>
      </w:r>
      <w:r>
        <w:rPr>
          <w:sz w:val="18"/>
          <w:szCs w:val="18"/>
        </w:rPr>
        <w:t xml:space="preserve"> letters above the bars indicate </w:t>
      </w:r>
      <w:proofErr w:type="gramStart"/>
      <w:r>
        <w:rPr>
          <w:sz w:val="18"/>
          <w:szCs w:val="18"/>
        </w:rPr>
        <w:t>statistically</w:t>
      </w:r>
      <w:r w:rsidR="00A51326">
        <w:rPr>
          <w:sz w:val="18"/>
          <w:szCs w:val="18"/>
        </w:rPr>
        <w:t>-</w:t>
      </w:r>
      <w:r>
        <w:rPr>
          <w:sz w:val="18"/>
          <w:szCs w:val="18"/>
        </w:rPr>
        <w:t>distinct</w:t>
      </w:r>
      <w:proofErr w:type="gramEnd"/>
      <w:r>
        <w:rPr>
          <w:sz w:val="18"/>
          <w:szCs w:val="18"/>
        </w:rPr>
        <w:t xml:space="preserve"> groups (p &lt; 0.0</w:t>
      </w:r>
      <w:r>
        <w:rPr>
          <w:sz w:val="18"/>
          <w:szCs w:val="18"/>
        </w:rPr>
        <w:t>5), while the points indicate the values of the technical replicates.</w:t>
      </w:r>
    </w:p>
    <w:p w14:paraId="18139296" w14:textId="17B8DC95" w:rsidR="00EC46A4" w:rsidRDefault="00EC46A4" w:rsidP="00EC46A4"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3D7C97A" w14:textId="4343AF6B" w:rsidR="00EC46A4" w:rsidRDefault="00CC7349" w:rsidP="00EC46A4">
      <w:pPr>
        <w:jc w:val="left"/>
      </w:pPr>
      <w:r>
        <w:br w:type="page"/>
      </w:r>
    </w:p>
    <w:p w14:paraId="170A99A2" w14:textId="77777777" w:rsidR="00782678" w:rsidRDefault="00F052AB">
      <w:r w:rsidRPr="00F052AB">
        <w:rPr>
          <w:noProof/>
        </w:rPr>
        <w:lastRenderedPageBreak/>
        <w:drawing>
          <wp:inline distT="0" distB="0" distL="0" distR="0" wp14:anchorId="3BD11CAC" wp14:editId="6045D2C4">
            <wp:extent cx="5781675" cy="18288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0" t="6295" r="8047" b="7369"/>
                    <a:stretch/>
                  </pic:blipFill>
                  <pic:spPr bwMode="auto">
                    <a:xfrm>
                      <a:off x="0" y="0"/>
                      <a:ext cx="5782210" cy="182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4A669" w14:textId="37E68450" w:rsidR="00F052AB" w:rsidRDefault="00F052AB" w:rsidP="00C12094">
      <w:pPr>
        <w:jc w:val="both"/>
        <w:rPr>
          <w:sz w:val="18"/>
        </w:rPr>
      </w:pPr>
      <w:r>
        <w:rPr>
          <w:b/>
          <w:sz w:val="18"/>
        </w:rPr>
        <w:t xml:space="preserve">Supplementary Data Table 1: </w:t>
      </w:r>
      <w:r>
        <w:rPr>
          <w:sz w:val="18"/>
        </w:rPr>
        <w:t xml:space="preserve">Analysis of the simple main effects </w:t>
      </w:r>
      <w:r w:rsidR="00AC7119">
        <w:rPr>
          <w:sz w:val="18"/>
        </w:rPr>
        <w:t xml:space="preserve">(Tukey test) </w:t>
      </w:r>
      <w:r>
        <w:rPr>
          <w:sz w:val="18"/>
        </w:rPr>
        <w:t xml:space="preserve">from </w:t>
      </w:r>
      <w:r w:rsidRPr="00F052AB">
        <w:rPr>
          <w:sz w:val="18"/>
        </w:rPr>
        <w:t>Figure 4B</w:t>
      </w:r>
      <w:r>
        <w:rPr>
          <w:sz w:val="18"/>
        </w:rPr>
        <w:t xml:space="preserve">. </w:t>
      </w:r>
      <w:r w:rsidR="00AC7119">
        <w:rPr>
          <w:sz w:val="18"/>
        </w:rPr>
        <w:t xml:space="preserve">The p-values from each pairwise result </w:t>
      </w:r>
      <w:proofErr w:type="gramStart"/>
      <w:r w:rsidR="00AC7119">
        <w:rPr>
          <w:sz w:val="18"/>
        </w:rPr>
        <w:t>are</w:t>
      </w:r>
      <w:proofErr w:type="gramEnd"/>
      <w:r w:rsidR="00AC7119">
        <w:rPr>
          <w:sz w:val="18"/>
        </w:rPr>
        <w:t xml:space="preserve"> shown on the table, with p-values less than 0.05 highlighted in green.</w:t>
      </w:r>
    </w:p>
    <w:p w14:paraId="0960B35C" w14:textId="77777777" w:rsidR="00C12094" w:rsidRDefault="00C12094">
      <w:pPr>
        <w:rPr>
          <w:sz w:val="18"/>
        </w:rPr>
      </w:pPr>
      <w:r>
        <w:rPr>
          <w:sz w:val="18"/>
        </w:rPr>
        <w:br w:type="page"/>
      </w:r>
    </w:p>
    <w:p w14:paraId="5DCD8026" w14:textId="77777777" w:rsidR="00C12094" w:rsidRDefault="00C12094" w:rsidP="00C12094">
      <w:pPr>
        <w:rPr>
          <w:sz w:val="18"/>
        </w:rPr>
      </w:pPr>
      <w:r w:rsidRPr="00C12094">
        <w:rPr>
          <w:noProof/>
          <w:sz w:val="18"/>
        </w:rPr>
        <w:lastRenderedPageBreak/>
        <w:drawing>
          <wp:inline distT="0" distB="0" distL="0" distR="0" wp14:anchorId="71B392B3" wp14:editId="110FD3A4">
            <wp:extent cx="5800725" cy="18000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7194" r="7900" b="7820"/>
                    <a:stretch/>
                  </pic:blipFill>
                  <pic:spPr bwMode="auto">
                    <a:xfrm>
                      <a:off x="0" y="0"/>
                      <a:ext cx="5801843" cy="180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A26B2" w14:textId="216EC98E" w:rsidR="00C12094" w:rsidRDefault="00C12094" w:rsidP="00C12094">
      <w:pPr>
        <w:jc w:val="both"/>
        <w:rPr>
          <w:sz w:val="18"/>
        </w:rPr>
      </w:pPr>
      <w:r>
        <w:rPr>
          <w:b/>
          <w:sz w:val="18"/>
        </w:rPr>
        <w:t xml:space="preserve">Supplementary Data Table 2: </w:t>
      </w:r>
      <w:r>
        <w:rPr>
          <w:sz w:val="18"/>
        </w:rPr>
        <w:t xml:space="preserve">Analysis of the simple main effects (Tukey test) from Figure 4C. The p-values from each pairwise result </w:t>
      </w:r>
      <w:proofErr w:type="gramStart"/>
      <w:r>
        <w:rPr>
          <w:sz w:val="18"/>
        </w:rPr>
        <w:t>are</w:t>
      </w:r>
      <w:proofErr w:type="gramEnd"/>
      <w:r>
        <w:rPr>
          <w:sz w:val="18"/>
        </w:rPr>
        <w:t xml:space="preserve"> shown on the table, with p-values less than 0.05 highlighted in green.</w:t>
      </w:r>
    </w:p>
    <w:p w14:paraId="49D23633" w14:textId="3C5A87C0" w:rsidR="00BC4882" w:rsidRDefault="00BC4882">
      <w:pPr>
        <w:rPr>
          <w:sz w:val="18"/>
        </w:rPr>
      </w:pPr>
      <w:r>
        <w:rPr>
          <w:sz w:val="18"/>
        </w:rPr>
        <w:br w:type="page"/>
      </w:r>
    </w:p>
    <w:p w14:paraId="7816A7BD" w14:textId="089D19B8" w:rsidR="00BC4882" w:rsidRDefault="00BC4882" w:rsidP="00C12094">
      <w:pPr>
        <w:jc w:val="both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0DF05914" wp14:editId="5B1459C7">
            <wp:extent cx="6715125" cy="18097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589" b="7589"/>
                    <a:stretch/>
                  </pic:blipFill>
                  <pic:spPr bwMode="auto">
                    <a:xfrm>
                      <a:off x="0" y="0"/>
                      <a:ext cx="6715125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BF2F8" w14:textId="60E30676" w:rsidR="00BC4882" w:rsidRDefault="00BC4882" w:rsidP="00BC4882">
      <w:pPr>
        <w:jc w:val="both"/>
        <w:rPr>
          <w:sz w:val="18"/>
        </w:rPr>
      </w:pPr>
      <w:r>
        <w:rPr>
          <w:b/>
          <w:sz w:val="18"/>
        </w:rPr>
        <w:t xml:space="preserve">Supplementary Data Table </w:t>
      </w:r>
      <w:r w:rsidR="00311482">
        <w:rPr>
          <w:b/>
          <w:sz w:val="18"/>
        </w:rPr>
        <w:t>3</w:t>
      </w:r>
      <w:r>
        <w:rPr>
          <w:b/>
          <w:sz w:val="18"/>
        </w:rPr>
        <w:t xml:space="preserve">: </w:t>
      </w:r>
      <w:r>
        <w:rPr>
          <w:sz w:val="18"/>
        </w:rPr>
        <w:t>Analysis of the simple main effects (Tukey test) from Figure 4</w:t>
      </w:r>
      <w:r w:rsidR="00311482">
        <w:rPr>
          <w:sz w:val="18"/>
        </w:rPr>
        <w:t>E</w:t>
      </w:r>
      <w:r>
        <w:rPr>
          <w:sz w:val="18"/>
        </w:rPr>
        <w:t xml:space="preserve">. The p-values from each pairwise result </w:t>
      </w:r>
      <w:proofErr w:type="gramStart"/>
      <w:r>
        <w:rPr>
          <w:sz w:val="18"/>
        </w:rPr>
        <w:t>are</w:t>
      </w:r>
      <w:proofErr w:type="gramEnd"/>
      <w:r>
        <w:rPr>
          <w:sz w:val="18"/>
        </w:rPr>
        <w:t xml:space="preserve"> shown on the table, with p-values less than 0.05 highlighted in green.</w:t>
      </w:r>
    </w:p>
    <w:p w14:paraId="0CF815A7" w14:textId="77777777" w:rsidR="00BC4882" w:rsidRDefault="00BC4882" w:rsidP="00C12094">
      <w:pPr>
        <w:jc w:val="both"/>
        <w:rPr>
          <w:sz w:val="18"/>
        </w:rPr>
      </w:pPr>
    </w:p>
    <w:p w14:paraId="136B3BEE" w14:textId="77777777" w:rsidR="00C12094" w:rsidRPr="00F052AB" w:rsidRDefault="00C12094" w:rsidP="00C12094">
      <w:pPr>
        <w:jc w:val="left"/>
        <w:rPr>
          <w:sz w:val="18"/>
        </w:rPr>
      </w:pPr>
    </w:p>
    <w:p w14:paraId="13E6D4F5" w14:textId="77777777" w:rsidR="00B64F5E" w:rsidRDefault="00B64F5E">
      <w:r>
        <w:br w:type="page"/>
      </w:r>
    </w:p>
    <w:p w14:paraId="19847706" w14:textId="77777777" w:rsidR="00F052AB" w:rsidRDefault="00B64F5E">
      <w:r>
        <w:rPr>
          <w:noProof/>
        </w:rPr>
        <w:lastRenderedPageBreak/>
        <w:drawing>
          <wp:inline distT="0" distB="0" distL="0" distR="0" wp14:anchorId="273702BC" wp14:editId="0470BD11">
            <wp:extent cx="6858000" cy="78771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xtended Data Figure 4.t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1" t="4356" r="5881" b="17324"/>
                    <a:stretch/>
                  </pic:blipFill>
                  <pic:spPr bwMode="auto">
                    <a:xfrm>
                      <a:off x="0" y="0"/>
                      <a:ext cx="6858202" cy="7877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6E79E" w14:textId="7409FE3D" w:rsidR="00B64F5E" w:rsidRPr="00B64F5E" w:rsidRDefault="00B64F5E" w:rsidP="002F62F3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Figure </w:t>
      </w:r>
      <w:r w:rsidR="004F7F12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 xml:space="preserve">Representative images of the </w:t>
      </w:r>
      <w:r w:rsidR="004F7F12">
        <w:rPr>
          <w:sz w:val="18"/>
          <w:szCs w:val="18"/>
        </w:rPr>
        <w:t>co</w:t>
      </w:r>
      <w:r>
        <w:rPr>
          <w:sz w:val="18"/>
          <w:szCs w:val="18"/>
        </w:rPr>
        <w:t xml:space="preserve">- and </w:t>
      </w:r>
      <w:r w:rsidR="004F7F12">
        <w:rPr>
          <w:sz w:val="18"/>
          <w:szCs w:val="18"/>
        </w:rPr>
        <w:t>tri</w:t>
      </w:r>
      <w:r>
        <w:rPr>
          <w:sz w:val="18"/>
          <w:szCs w:val="18"/>
        </w:rPr>
        <w:t xml:space="preserve">-cultures 48 h following a 1 h treatment with different concentrations of glutamate or vehicle control. The cultures were </w:t>
      </w:r>
      <w:proofErr w:type="spellStart"/>
      <w:r>
        <w:rPr>
          <w:sz w:val="18"/>
          <w:szCs w:val="18"/>
        </w:rPr>
        <w:t>immunostained</w:t>
      </w:r>
      <w:proofErr w:type="spellEnd"/>
      <w:r>
        <w:rPr>
          <w:sz w:val="18"/>
          <w:szCs w:val="18"/>
        </w:rPr>
        <w:t xml:space="preserve"> for the three cell types of interest: neurons – anti-βIII-tubulin (red), astrocytes – anti-GFAP (green), microglia – anti-Iba1 (orange) and the general nuclear stain DAPI (blue). Scale bar = 100 µM.</w:t>
      </w:r>
    </w:p>
    <w:p w14:paraId="148041FD" w14:textId="77777777" w:rsidR="003B2148" w:rsidRDefault="003B2148">
      <w:r>
        <w:br w:type="page"/>
      </w:r>
    </w:p>
    <w:p w14:paraId="1770331F" w14:textId="0F067052" w:rsidR="00F052AB" w:rsidRDefault="009938FC">
      <w:r>
        <w:rPr>
          <w:noProof/>
        </w:rPr>
        <w:lastRenderedPageBreak/>
        <w:drawing>
          <wp:inline distT="0" distB="0" distL="0" distR="0" wp14:anchorId="11AD0614" wp14:editId="35A49EC0">
            <wp:extent cx="1676400" cy="8858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465" t="1875" r="14230" b="1251"/>
                    <a:stretch/>
                  </pic:blipFill>
                  <pic:spPr bwMode="auto">
                    <a:xfrm>
                      <a:off x="0" y="0"/>
                      <a:ext cx="1676400" cy="885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5E62E" w14:textId="29FD1A30" w:rsidR="003B2148" w:rsidRDefault="003B2148" w:rsidP="003B2148">
      <w:pPr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Figure </w:t>
      </w:r>
      <w:r w:rsidR="004F7F12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 xml:space="preserve">Complete </w:t>
      </w:r>
      <w:r w:rsidR="00891481">
        <w:rPr>
          <w:sz w:val="18"/>
          <w:szCs w:val="18"/>
        </w:rPr>
        <w:t xml:space="preserve">cytokine </w:t>
      </w:r>
      <w:r>
        <w:rPr>
          <w:sz w:val="18"/>
          <w:szCs w:val="18"/>
        </w:rPr>
        <w:t>profile from Figure 5A.</w:t>
      </w:r>
    </w:p>
    <w:p w14:paraId="4E3C5C36" w14:textId="74C0DDA8" w:rsidR="003B2148" w:rsidRDefault="00205B3B" w:rsidP="003B2148">
      <w:pPr>
        <w:rPr>
          <w:sz w:val="18"/>
          <w:szCs w:val="18"/>
        </w:rPr>
      </w:pPr>
      <w:r w:rsidRPr="00205B3B">
        <w:rPr>
          <w:noProof/>
          <w:sz w:val="18"/>
          <w:szCs w:val="18"/>
        </w:rPr>
        <w:lastRenderedPageBreak/>
        <w:drawing>
          <wp:inline distT="0" distB="0" distL="0" distR="0" wp14:anchorId="199BABD2" wp14:editId="7709130F">
            <wp:extent cx="6858000" cy="202282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7" r="5816" b="10780"/>
                    <a:stretch/>
                  </pic:blipFill>
                  <pic:spPr bwMode="auto">
                    <a:xfrm>
                      <a:off x="0" y="0"/>
                      <a:ext cx="6858000" cy="202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A53DD" w14:textId="6FB39F10" w:rsidR="007A29BB" w:rsidRDefault="007A29BB" w:rsidP="00C740D2">
      <w:pPr>
        <w:jc w:val="both"/>
        <w:rPr>
          <w:sz w:val="18"/>
        </w:rPr>
      </w:pPr>
      <w:r>
        <w:rPr>
          <w:b/>
          <w:sz w:val="18"/>
        </w:rPr>
        <w:t xml:space="preserve">Supplementary Data Table </w:t>
      </w:r>
      <w:r w:rsidR="004F7F12">
        <w:rPr>
          <w:b/>
          <w:sz w:val="18"/>
        </w:rPr>
        <w:t>4</w:t>
      </w:r>
      <w:r>
        <w:rPr>
          <w:b/>
          <w:sz w:val="18"/>
        </w:rPr>
        <w:t xml:space="preserve">: </w:t>
      </w:r>
      <w:r>
        <w:rPr>
          <w:sz w:val="18"/>
        </w:rPr>
        <w:t>Statistical analysis of Figure 5B-J. The p-values from the 2-way ANOVA and simple main effects analysis (Tukey Test) are shown. p-values &lt; 0.05 are highlighted in green.</w:t>
      </w:r>
    </w:p>
    <w:p w14:paraId="6D8C0B92" w14:textId="77777777" w:rsidR="004F7F12" w:rsidRDefault="004F7F12" w:rsidP="007A29BB">
      <w:pPr>
        <w:jc w:val="left"/>
        <w:rPr>
          <w:sz w:val="18"/>
        </w:rPr>
      </w:pPr>
    </w:p>
    <w:p w14:paraId="30A4BED3" w14:textId="3B3975F3" w:rsidR="004F7F12" w:rsidRDefault="004F7F12">
      <w:pPr>
        <w:rPr>
          <w:sz w:val="18"/>
        </w:rPr>
      </w:pPr>
      <w:r>
        <w:rPr>
          <w:sz w:val="18"/>
        </w:rPr>
        <w:br w:type="page"/>
      </w:r>
    </w:p>
    <w:p w14:paraId="266EC831" w14:textId="6688DDA8" w:rsidR="004F7F12" w:rsidRDefault="00492494" w:rsidP="009B568A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 wp14:anchorId="2BAC6274" wp14:editId="3A53F4C5">
            <wp:extent cx="6553200" cy="26193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_NG2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2" t="4640" r="7842" b="69316"/>
                    <a:stretch/>
                  </pic:blipFill>
                  <pic:spPr bwMode="auto">
                    <a:xfrm>
                      <a:off x="0" y="0"/>
                      <a:ext cx="6553395" cy="2619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1F325" w14:textId="26D3E4CB" w:rsidR="00492494" w:rsidRDefault="00492494" w:rsidP="00C740D2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Figure 6: </w:t>
      </w:r>
      <w:r>
        <w:rPr>
          <w:sz w:val="18"/>
          <w:szCs w:val="18"/>
        </w:rPr>
        <w:t>There are approximately 2% of the total cell population that was not clearly identifiable as neurons, astrocytes or microglia. (</w:t>
      </w:r>
      <w:r>
        <w:rPr>
          <w:b/>
          <w:sz w:val="18"/>
          <w:szCs w:val="18"/>
        </w:rPr>
        <w:t>A</w:t>
      </w:r>
      <w:r>
        <w:rPr>
          <w:sz w:val="18"/>
          <w:szCs w:val="18"/>
        </w:rPr>
        <w:t>) Mean ± SD of cells from each culture type not reactive for antibodies selective for neurons, astrocytes or microglia (n = 3). (</w:t>
      </w:r>
      <w:r>
        <w:rPr>
          <w:b/>
          <w:sz w:val="18"/>
          <w:szCs w:val="18"/>
        </w:rPr>
        <w:t>B</w:t>
      </w:r>
      <w:r>
        <w:rPr>
          <w:sz w:val="18"/>
          <w:szCs w:val="18"/>
        </w:rPr>
        <w:t xml:space="preserve">) Representative images from DIV 7 co- and tri-cultures </w:t>
      </w:r>
      <w:proofErr w:type="spellStart"/>
      <w:r>
        <w:rPr>
          <w:sz w:val="18"/>
          <w:szCs w:val="18"/>
        </w:rPr>
        <w:t>immunostained</w:t>
      </w:r>
      <w:proofErr w:type="spellEnd"/>
      <w:r>
        <w:rPr>
          <w:sz w:val="18"/>
          <w:szCs w:val="18"/>
        </w:rPr>
        <w:t xml:space="preserve"> for NG2 (red), a biomarker of </w:t>
      </w:r>
      <w:r w:rsidR="00A1362A" w:rsidRPr="00A1362A">
        <w:rPr>
          <w:sz w:val="18"/>
          <w:szCs w:val="18"/>
        </w:rPr>
        <w:t>oligodendrocyte precursor cells (OPCs)</w:t>
      </w:r>
      <w:r>
        <w:rPr>
          <w:sz w:val="18"/>
          <w:szCs w:val="18"/>
        </w:rPr>
        <w:t>, and reacted with DAPI (blue), scale bar = 100 µm.</w:t>
      </w:r>
    </w:p>
    <w:p w14:paraId="4D4EF4FA" w14:textId="77777777" w:rsidR="00492494" w:rsidRDefault="00492494" w:rsidP="00492494">
      <w:pPr>
        <w:jc w:val="left"/>
        <w:rPr>
          <w:sz w:val="18"/>
          <w:szCs w:val="18"/>
        </w:rPr>
      </w:pPr>
    </w:p>
    <w:p w14:paraId="6918FAF3" w14:textId="7E603E33" w:rsidR="00492494" w:rsidRDefault="0049249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35CF097" w14:textId="77777777" w:rsidR="00492494" w:rsidRDefault="00492494" w:rsidP="009B568A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 wp14:anchorId="6F62DCE6" wp14:editId="3EC152AC">
            <wp:extent cx="6515100" cy="27527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_treat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3" t="4829" r="5881" b="67802"/>
                    <a:stretch/>
                  </pic:blipFill>
                  <pic:spPr bwMode="auto">
                    <a:xfrm>
                      <a:off x="0" y="0"/>
                      <a:ext cx="6515292" cy="2752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6BF39" w14:textId="635CAAFE" w:rsidR="00492494" w:rsidRPr="00CB41AE" w:rsidRDefault="00492494" w:rsidP="00C740D2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Supplementary Figure 7: </w:t>
      </w:r>
      <w:r>
        <w:rPr>
          <w:sz w:val="18"/>
          <w:szCs w:val="18"/>
        </w:rPr>
        <w:t>Change in number of cells following incubation with LPS or 25 µM glutamate. (</w:t>
      </w:r>
      <w:r>
        <w:rPr>
          <w:b/>
          <w:sz w:val="18"/>
          <w:szCs w:val="18"/>
        </w:rPr>
        <w:t>A</w:t>
      </w:r>
      <w:r>
        <w:rPr>
          <w:sz w:val="18"/>
          <w:szCs w:val="18"/>
        </w:rPr>
        <w:t>) Percent change in cell number following incubation with LPS. (</w:t>
      </w:r>
      <w:r>
        <w:rPr>
          <w:b/>
          <w:sz w:val="18"/>
          <w:szCs w:val="18"/>
        </w:rPr>
        <w:t>B</w:t>
      </w:r>
      <w:r>
        <w:rPr>
          <w:sz w:val="18"/>
          <w:szCs w:val="18"/>
        </w:rPr>
        <w:t>) Percent change in cell number following incubation with 25 µM glutamate. All graphs display mean ± SD (n = 3).</w:t>
      </w:r>
    </w:p>
    <w:p w14:paraId="4D3F2961" w14:textId="77777777" w:rsidR="00492494" w:rsidRPr="009B568A" w:rsidRDefault="00492494" w:rsidP="009B568A">
      <w:pPr>
        <w:rPr>
          <w:sz w:val="18"/>
          <w:szCs w:val="18"/>
        </w:rPr>
      </w:pPr>
    </w:p>
    <w:sectPr w:rsidR="00492494" w:rsidRPr="009B568A" w:rsidSect="00953E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B"/>
    <w:rsid w:val="000205AF"/>
    <w:rsid w:val="000852B9"/>
    <w:rsid w:val="000948EB"/>
    <w:rsid w:val="000D0059"/>
    <w:rsid w:val="00100378"/>
    <w:rsid w:val="00124B85"/>
    <w:rsid w:val="0019395E"/>
    <w:rsid w:val="00205B3B"/>
    <w:rsid w:val="00251537"/>
    <w:rsid w:val="002E0185"/>
    <w:rsid w:val="002F62F3"/>
    <w:rsid w:val="00306D08"/>
    <w:rsid w:val="00311482"/>
    <w:rsid w:val="00374EF6"/>
    <w:rsid w:val="003B2148"/>
    <w:rsid w:val="00435D8D"/>
    <w:rsid w:val="00465BEC"/>
    <w:rsid w:val="00492494"/>
    <w:rsid w:val="004F7F12"/>
    <w:rsid w:val="005925C3"/>
    <w:rsid w:val="005C5079"/>
    <w:rsid w:val="006B38B5"/>
    <w:rsid w:val="007A29BB"/>
    <w:rsid w:val="007C69F5"/>
    <w:rsid w:val="007D05ED"/>
    <w:rsid w:val="00891481"/>
    <w:rsid w:val="008F6428"/>
    <w:rsid w:val="00953E47"/>
    <w:rsid w:val="009938FC"/>
    <w:rsid w:val="009B568A"/>
    <w:rsid w:val="00A1362A"/>
    <w:rsid w:val="00A51326"/>
    <w:rsid w:val="00AC7119"/>
    <w:rsid w:val="00B64F5E"/>
    <w:rsid w:val="00BC4882"/>
    <w:rsid w:val="00C12094"/>
    <w:rsid w:val="00C740D2"/>
    <w:rsid w:val="00CC7349"/>
    <w:rsid w:val="00D3594E"/>
    <w:rsid w:val="00E11077"/>
    <w:rsid w:val="00EC46A4"/>
    <w:rsid w:val="00F052AB"/>
    <w:rsid w:val="00FA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7BF2B"/>
  <w15:chartTrackingRefBased/>
  <w15:docId w15:val="{67A9606C-523E-498F-8FFB-F592BA1A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6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A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2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4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png"/><Relationship Id="rId5" Type="http://schemas.openxmlformats.org/officeDocument/2006/relationships/image" Target="media/image2.tif"/><Relationship Id="rId15" Type="http://schemas.openxmlformats.org/officeDocument/2006/relationships/fontTable" Target="fontTable.xml"/><Relationship Id="rId10" Type="http://schemas.openxmlformats.org/officeDocument/2006/relationships/image" Target="media/image7.tif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Goshi</dc:creator>
  <cp:keywords/>
  <dc:description/>
  <cp:lastModifiedBy>Erkin Seker</cp:lastModifiedBy>
  <cp:revision>11</cp:revision>
  <cp:lastPrinted>2020-03-20T22:32:00Z</cp:lastPrinted>
  <dcterms:created xsi:type="dcterms:W3CDTF">2020-03-20T05:32:00Z</dcterms:created>
  <dcterms:modified xsi:type="dcterms:W3CDTF">2020-04-26T17:17:00Z</dcterms:modified>
</cp:coreProperties>
</file>