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9E72E" w14:textId="77777777" w:rsidR="00667EAB" w:rsidRPr="00162791" w:rsidRDefault="00667EAB" w:rsidP="00667EAB">
      <w:pPr>
        <w:rPr>
          <w:rFonts w:ascii="Arial" w:hAnsi="Arial" w:cs="Arial"/>
          <w:b/>
          <w:bCs/>
          <w:sz w:val="22"/>
          <w:szCs w:val="22"/>
        </w:rPr>
      </w:pPr>
      <w:r w:rsidRPr="00162791">
        <w:rPr>
          <w:rFonts w:ascii="Arial" w:hAnsi="Arial" w:cs="Arial"/>
          <w:b/>
          <w:bCs/>
          <w:sz w:val="22"/>
          <w:szCs w:val="22"/>
        </w:rPr>
        <w:t>Supplementary Table 1:  Increases in immune cell types or functions lacking statistically significant associations with risk of Gd+ and T2 lesions, with an exception for CD3+CD8+CXCR3+ T cells and T2 lesions</w:t>
      </w:r>
      <w:r>
        <w:rPr>
          <w:rFonts w:ascii="Arial" w:hAnsi="Arial" w:cs="Arial"/>
          <w:b/>
          <w:bCs/>
          <w:sz w:val="22"/>
          <w:szCs w:val="22"/>
        </w:rPr>
        <w:t xml:space="preserve"> (in bold type)</w:t>
      </w:r>
      <w:r w:rsidRPr="00162791">
        <w:rPr>
          <w:rFonts w:ascii="Arial" w:hAnsi="Arial" w:cs="Arial"/>
          <w:b/>
          <w:bCs/>
          <w:sz w:val="22"/>
          <w:szCs w:val="22"/>
        </w:rPr>
        <w:t xml:space="preserve">. </w:t>
      </w:r>
    </w:p>
    <w:p w14:paraId="12F68D01" w14:textId="77777777" w:rsidR="00667EAB" w:rsidRPr="00162791" w:rsidRDefault="00667EAB" w:rsidP="00667EAB">
      <w:pPr>
        <w:rPr>
          <w:rFonts w:ascii="Arial" w:hAnsi="Arial" w:cs="Arial"/>
        </w:rPr>
      </w:pPr>
    </w:p>
    <w:tbl>
      <w:tblPr>
        <w:tblW w:w="88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40"/>
        <w:gridCol w:w="925"/>
        <w:gridCol w:w="940"/>
        <w:gridCol w:w="1134"/>
      </w:tblGrid>
      <w:tr w:rsidR="00667EAB" w:rsidRPr="00162791" w14:paraId="5AE1C50E" w14:textId="77777777" w:rsidTr="0042609B">
        <w:trPr>
          <w:trHeight w:val="260"/>
        </w:trPr>
        <w:tc>
          <w:tcPr>
            <w:tcW w:w="5940" w:type="dxa"/>
            <w:shd w:val="clear" w:color="auto" w:fill="auto"/>
            <w:noWrap/>
            <w:vAlign w:val="bottom"/>
            <w:hideMark/>
          </w:tcPr>
          <w:p w14:paraId="178C292C"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Immune cell type or function</w:t>
            </w:r>
          </w:p>
        </w:tc>
        <w:tc>
          <w:tcPr>
            <w:tcW w:w="900" w:type="dxa"/>
            <w:shd w:val="clear" w:color="auto" w:fill="auto"/>
            <w:noWrap/>
            <w:vAlign w:val="bottom"/>
            <w:hideMark/>
          </w:tcPr>
          <w:p w14:paraId="77142D3C"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Lesion</w:t>
            </w:r>
          </w:p>
        </w:tc>
        <w:tc>
          <w:tcPr>
            <w:tcW w:w="940" w:type="dxa"/>
            <w:shd w:val="clear" w:color="auto" w:fill="auto"/>
            <w:noWrap/>
            <w:vAlign w:val="bottom"/>
            <w:hideMark/>
          </w:tcPr>
          <w:p w14:paraId="5C185619"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rr*</w:t>
            </w:r>
          </w:p>
        </w:tc>
        <w:tc>
          <w:tcPr>
            <w:tcW w:w="1040" w:type="dxa"/>
            <w:shd w:val="clear" w:color="auto" w:fill="auto"/>
            <w:noWrap/>
            <w:vAlign w:val="bottom"/>
            <w:hideMark/>
          </w:tcPr>
          <w:p w14:paraId="2CABEE4D"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p-value</w:t>
            </w:r>
          </w:p>
        </w:tc>
      </w:tr>
      <w:tr w:rsidR="00667EAB" w:rsidRPr="00162791" w14:paraId="6120F57B" w14:textId="77777777" w:rsidTr="0042609B">
        <w:trPr>
          <w:trHeight w:val="260"/>
        </w:trPr>
        <w:tc>
          <w:tcPr>
            <w:tcW w:w="5940" w:type="dxa"/>
            <w:shd w:val="clear" w:color="auto" w:fill="auto"/>
            <w:noWrap/>
            <w:vAlign w:val="bottom"/>
            <w:hideMark/>
          </w:tcPr>
          <w:p w14:paraId="2251960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CD4+IL17A+ Th17 cells</w:t>
            </w:r>
          </w:p>
        </w:tc>
        <w:tc>
          <w:tcPr>
            <w:tcW w:w="900" w:type="dxa"/>
            <w:shd w:val="clear" w:color="auto" w:fill="auto"/>
            <w:noWrap/>
            <w:vAlign w:val="bottom"/>
            <w:hideMark/>
          </w:tcPr>
          <w:p w14:paraId="2EF68D7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Gd+</w:t>
            </w:r>
          </w:p>
        </w:tc>
        <w:tc>
          <w:tcPr>
            <w:tcW w:w="940" w:type="dxa"/>
            <w:shd w:val="clear" w:color="auto" w:fill="auto"/>
            <w:noWrap/>
            <w:vAlign w:val="bottom"/>
            <w:hideMark/>
          </w:tcPr>
          <w:p w14:paraId="439E347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0.45</w:t>
            </w:r>
          </w:p>
        </w:tc>
        <w:tc>
          <w:tcPr>
            <w:tcW w:w="1040" w:type="dxa"/>
            <w:shd w:val="clear" w:color="auto" w:fill="auto"/>
            <w:noWrap/>
            <w:vAlign w:val="bottom"/>
            <w:hideMark/>
          </w:tcPr>
          <w:p w14:paraId="2750C84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0.071383</w:t>
            </w:r>
          </w:p>
        </w:tc>
      </w:tr>
      <w:tr w:rsidR="00667EAB" w:rsidRPr="00162791" w14:paraId="1DF6CDF4" w14:textId="77777777" w:rsidTr="0042609B">
        <w:trPr>
          <w:trHeight w:val="260"/>
        </w:trPr>
        <w:tc>
          <w:tcPr>
            <w:tcW w:w="5940" w:type="dxa"/>
            <w:shd w:val="clear" w:color="auto" w:fill="auto"/>
            <w:noWrap/>
            <w:vAlign w:val="bottom"/>
            <w:hideMark/>
          </w:tcPr>
          <w:p w14:paraId="487662C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CD3+CD4+CXCR3+ (Th1)</w:t>
            </w:r>
          </w:p>
        </w:tc>
        <w:tc>
          <w:tcPr>
            <w:tcW w:w="900" w:type="dxa"/>
            <w:shd w:val="clear" w:color="auto" w:fill="auto"/>
            <w:noWrap/>
            <w:vAlign w:val="bottom"/>
            <w:hideMark/>
          </w:tcPr>
          <w:p w14:paraId="00B81FC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32A79A3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0.52</w:t>
            </w:r>
          </w:p>
        </w:tc>
        <w:tc>
          <w:tcPr>
            <w:tcW w:w="1040" w:type="dxa"/>
            <w:shd w:val="clear" w:color="auto" w:fill="auto"/>
            <w:noWrap/>
            <w:vAlign w:val="bottom"/>
            <w:hideMark/>
          </w:tcPr>
          <w:p w14:paraId="62D4EF8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0.072915</w:t>
            </w:r>
          </w:p>
        </w:tc>
      </w:tr>
      <w:tr w:rsidR="00667EAB" w:rsidRPr="00162791" w14:paraId="0922A9C7" w14:textId="77777777" w:rsidTr="0042609B">
        <w:trPr>
          <w:trHeight w:val="300"/>
        </w:trPr>
        <w:tc>
          <w:tcPr>
            <w:tcW w:w="5940" w:type="dxa"/>
            <w:shd w:val="clear" w:color="auto" w:fill="auto"/>
            <w:noWrap/>
            <w:vAlign w:val="bottom"/>
            <w:hideMark/>
          </w:tcPr>
          <w:p w14:paraId="2047BDA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IL-10 (pg/mL)</w:t>
            </w:r>
          </w:p>
        </w:tc>
        <w:tc>
          <w:tcPr>
            <w:tcW w:w="900" w:type="dxa"/>
            <w:shd w:val="clear" w:color="auto" w:fill="auto"/>
            <w:noWrap/>
            <w:vAlign w:val="bottom"/>
            <w:hideMark/>
          </w:tcPr>
          <w:p w14:paraId="7B4318A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81614A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0.58</w:t>
            </w:r>
          </w:p>
        </w:tc>
        <w:tc>
          <w:tcPr>
            <w:tcW w:w="1040" w:type="dxa"/>
            <w:shd w:val="clear" w:color="auto" w:fill="auto"/>
            <w:noWrap/>
            <w:vAlign w:val="bottom"/>
            <w:hideMark/>
          </w:tcPr>
          <w:p w14:paraId="62238E9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0.040365</w:t>
            </w:r>
          </w:p>
        </w:tc>
      </w:tr>
      <w:tr w:rsidR="00667EAB" w:rsidRPr="00162791" w14:paraId="293C13A7" w14:textId="77777777" w:rsidTr="0042609B">
        <w:trPr>
          <w:trHeight w:val="260"/>
        </w:trPr>
        <w:tc>
          <w:tcPr>
            <w:tcW w:w="5940" w:type="dxa"/>
            <w:shd w:val="clear" w:color="auto" w:fill="auto"/>
            <w:noWrap/>
            <w:vAlign w:val="bottom"/>
            <w:hideMark/>
          </w:tcPr>
          <w:p w14:paraId="11D7E62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 effector memory T cells (</w:t>
            </w:r>
            <w:r>
              <w:rPr>
                <w:rFonts w:ascii="Arial" w:eastAsia="Times New Roman" w:hAnsi="Arial" w:cs="Arial"/>
                <w:color w:val="000000"/>
                <w:sz w:val="22"/>
                <w:szCs w:val="22"/>
              </w:rPr>
              <w:t xml:space="preserve">TEM:  </w:t>
            </w:r>
            <w:r w:rsidRPr="00D8526D">
              <w:rPr>
                <w:rFonts w:ascii="Arial" w:eastAsia="Times New Roman" w:hAnsi="Arial" w:cs="Arial"/>
                <w:color w:val="000000"/>
                <w:sz w:val="22"/>
                <w:szCs w:val="22"/>
              </w:rPr>
              <w:t>CD4+CD45RA-CD27-)</w:t>
            </w:r>
          </w:p>
        </w:tc>
        <w:tc>
          <w:tcPr>
            <w:tcW w:w="900" w:type="dxa"/>
            <w:shd w:val="clear" w:color="auto" w:fill="auto"/>
            <w:noWrap/>
            <w:vAlign w:val="bottom"/>
            <w:hideMark/>
          </w:tcPr>
          <w:p w14:paraId="22A4214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D9CAD5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0.79</w:t>
            </w:r>
          </w:p>
        </w:tc>
        <w:tc>
          <w:tcPr>
            <w:tcW w:w="1040" w:type="dxa"/>
            <w:shd w:val="clear" w:color="auto" w:fill="auto"/>
            <w:noWrap/>
            <w:vAlign w:val="bottom"/>
            <w:hideMark/>
          </w:tcPr>
          <w:p w14:paraId="4EB24CE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0.244907</w:t>
            </w:r>
          </w:p>
        </w:tc>
      </w:tr>
      <w:tr w:rsidR="00667EAB" w:rsidRPr="00162791" w14:paraId="71A71579" w14:textId="77777777" w:rsidTr="0042609B">
        <w:trPr>
          <w:trHeight w:val="260"/>
        </w:trPr>
        <w:tc>
          <w:tcPr>
            <w:tcW w:w="5940" w:type="dxa"/>
            <w:shd w:val="clear" w:color="auto" w:fill="auto"/>
            <w:noWrap/>
            <w:vAlign w:val="bottom"/>
            <w:hideMark/>
          </w:tcPr>
          <w:p w14:paraId="00CAC53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CD3+CD8+CCR5+</w:t>
            </w:r>
          </w:p>
        </w:tc>
        <w:tc>
          <w:tcPr>
            <w:tcW w:w="900" w:type="dxa"/>
            <w:shd w:val="clear" w:color="auto" w:fill="auto"/>
            <w:noWrap/>
            <w:vAlign w:val="bottom"/>
            <w:hideMark/>
          </w:tcPr>
          <w:p w14:paraId="7DFB7BE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33CD595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0.82</w:t>
            </w:r>
          </w:p>
        </w:tc>
        <w:tc>
          <w:tcPr>
            <w:tcW w:w="1040" w:type="dxa"/>
            <w:shd w:val="clear" w:color="auto" w:fill="auto"/>
            <w:noWrap/>
            <w:vAlign w:val="bottom"/>
            <w:hideMark/>
          </w:tcPr>
          <w:p w14:paraId="67E9066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0.585868</w:t>
            </w:r>
          </w:p>
        </w:tc>
      </w:tr>
      <w:tr w:rsidR="00667EAB" w:rsidRPr="00162791" w14:paraId="53D7147A" w14:textId="77777777" w:rsidTr="0042609B">
        <w:trPr>
          <w:trHeight w:val="300"/>
        </w:trPr>
        <w:tc>
          <w:tcPr>
            <w:tcW w:w="5940" w:type="dxa"/>
            <w:shd w:val="clear" w:color="auto" w:fill="auto"/>
            <w:noWrap/>
            <w:vAlign w:val="bottom"/>
            <w:hideMark/>
          </w:tcPr>
          <w:p w14:paraId="31EFB96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Teff (CD4+CD25+CD127+foxP3-)</w:t>
            </w:r>
          </w:p>
        </w:tc>
        <w:tc>
          <w:tcPr>
            <w:tcW w:w="900" w:type="dxa"/>
            <w:shd w:val="clear" w:color="auto" w:fill="auto"/>
            <w:noWrap/>
            <w:vAlign w:val="bottom"/>
            <w:hideMark/>
          </w:tcPr>
          <w:p w14:paraId="54A91E7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7702272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0.94</w:t>
            </w:r>
          </w:p>
        </w:tc>
        <w:tc>
          <w:tcPr>
            <w:tcW w:w="1040" w:type="dxa"/>
            <w:shd w:val="clear" w:color="auto" w:fill="auto"/>
            <w:noWrap/>
            <w:vAlign w:val="bottom"/>
            <w:hideMark/>
          </w:tcPr>
          <w:p w14:paraId="28A4C2E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0.819047</w:t>
            </w:r>
          </w:p>
        </w:tc>
      </w:tr>
      <w:tr w:rsidR="00667EAB" w:rsidRPr="00162791" w14:paraId="67FFB47C" w14:textId="77777777" w:rsidTr="0042609B">
        <w:trPr>
          <w:trHeight w:val="260"/>
        </w:trPr>
        <w:tc>
          <w:tcPr>
            <w:tcW w:w="5940" w:type="dxa"/>
            <w:shd w:val="clear" w:color="auto" w:fill="auto"/>
            <w:noWrap/>
            <w:vAlign w:val="bottom"/>
            <w:hideMark/>
          </w:tcPr>
          <w:p w14:paraId="7D397B5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IL-17 (pg/mL)</w:t>
            </w:r>
          </w:p>
        </w:tc>
        <w:tc>
          <w:tcPr>
            <w:tcW w:w="900" w:type="dxa"/>
            <w:shd w:val="clear" w:color="auto" w:fill="auto"/>
            <w:noWrap/>
            <w:vAlign w:val="bottom"/>
            <w:hideMark/>
          </w:tcPr>
          <w:p w14:paraId="213E7FF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75C0173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0.96</w:t>
            </w:r>
          </w:p>
        </w:tc>
        <w:tc>
          <w:tcPr>
            <w:tcW w:w="1040" w:type="dxa"/>
            <w:shd w:val="clear" w:color="auto" w:fill="auto"/>
            <w:noWrap/>
            <w:vAlign w:val="bottom"/>
            <w:hideMark/>
          </w:tcPr>
          <w:p w14:paraId="6546CBA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0.574791</w:t>
            </w:r>
          </w:p>
        </w:tc>
      </w:tr>
      <w:tr w:rsidR="00667EAB" w:rsidRPr="00162791" w14:paraId="7A5B4628" w14:textId="77777777" w:rsidTr="0042609B">
        <w:trPr>
          <w:trHeight w:val="260"/>
        </w:trPr>
        <w:tc>
          <w:tcPr>
            <w:tcW w:w="5940" w:type="dxa"/>
            <w:shd w:val="clear" w:color="auto" w:fill="auto"/>
            <w:noWrap/>
            <w:vAlign w:val="bottom"/>
            <w:hideMark/>
          </w:tcPr>
          <w:p w14:paraId="57BBEBB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xml:space="preserve">Ratio of Teff/Treg </w:t>
            </w:r>
          </w:p>
        </w:tc>
        <w:tc>
          <w:tcPr>
            <w:tcW w:w="900" w:type="dxa"/>
            <w:shd w:val="clear" w:color="auto" w:fill="auto"/>
            <w:noWrap/>
            <w:vAlign w:val="bottom"/>
            <w:hideMark/>
          </w:tcPr>
          <w:p w14:paraId="5F4D955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3E66A1E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1.20</w:t>
            </w:r>
          </w:p>
        </w:tc>
        <w:tc>
          <w:tcPr>
            <w:tcW w:w="1040" w:type="dxa"/>
            <w:shd w:val="clear" w:color="auto" w:fill="auto"/>
            <w:noWrap/>
            <w:vAlign w:val="bottom"/>
            <w:hideMark/>
          </w:tcPr>
          <w:p w14:paraId="025E652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0.281685</w:t>
            </w:r>
          </w:p>
        </w:tc>
      </w:tr>
      <w:tr w:rsidR="00667EAB" w:rsidRPr="00162791" w14:paraId="20C764DF" w14:textId="77777777" w:rsidTr="0042609B">
        <w:trPr>
          <w:trHeight w:val="260"/>
        </w:trPr>
        <w:tc>
          <w:tcPr>
            <w:tcW w:w="5940" w:type="dxa"/>
            <w:shd w:val="clear" w:color="auto" w:fill="auto"/>
            <w:noWrap/>
            <w:vAlign w:val="bottom"/>
            <w:hideMark/>
          </w:tcPr>
          <w:p w14:paraId="1A9F673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IFN-g (pg/mL)</w:t>
            </w:r>
          </w:p>
        </w:tc>
        <w:tc>
          <w:tcPr>
            <w:tcW w:w="900" w:type="dxa"/>
            <w:shd w:val="clear" w:color="auto" w:fill="auto"/>
            <w:noWrap/>
            <w:vAlign w:val="bottom"/>
            <w:hideMark/>
          </w:tcPr>
          <w:p w14:paraId="70469A8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FA394D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1.20</w:t>
            </w:r>
          </w:p>
        </w:tc>
        <w:tc>
          <w:tcPr>
            <w:tcW w:w="1040" w:type="dxa"/>
            <w:shd w:val="clear" w:color="auto" w:fill="auto"/>
            <w:noWrap/>
            <w:vAlign w:val="bottom"/>
            <w:hideMark/>
          </w:tcPr>
          <w:p w14:paraId="219308D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0.166076</w:t>
            </w:r>
          </w:p>
        </w:tc>
      </w:tr>
      <w:tr w:rsidR="00667EAB" w:rsidRPr="00162791" w14:paraId="3BA20589" w14:textId="77777777" w:rsidTr="0042609B">
        <w:trPr>
          <w:trHeight w:val="260"/>
        </w:trPr>
        <w:tc>
          <w:tcPr>
            <w:tcW w:w="5940" w:type="dxa"/>
            <w:shd w:val="clear" w:color="auto" w:fill="auto"/>
            <w:noWrap/>
            <w:vAlign w:val="bottom"/>
            <w:hideMark/>
          </w:tcPr>
          <w:p w14:paraId="1C75720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New Teff (CD4+CD45RA+CD27-)</w:t>
            </w:r>
          </w:p>
        </w:tc>
        <w:tc>
          <w:tcPr>
            <w:tcW w:w="900" w:type="dxa"/>
            <w:shd w:val="clear" w:color="auto" w:fill="auto"/>
            <w:noWrap/>
            <w:vAlign w:val="bottom"/>
            <w:hideMark/>
          </w:tcPr>
          <w:p w14:paraId="60A4B7D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2A2E3EA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1.26</w:t>
            </w:r>
          </w:p>
        </w:tc>
        <w:tc>
          <w:tcPr>
            <w:tcW w:w="1040" w:type="dxa"/>
            <w:shd w:val="clear" w:color="auto" w:fill="auto"/>
            <w:noWrap/>
            <w:vAlign w:val="bottom"/>
            <w:hideMark/>
          </w:tcPr>
          <w:p w14:paraId="4B273ED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0.103185</w:t>
            </w:r>
          </w:p>
        </w:tc>
      </w:tr>
      <w:tr w:rsidR="00667EAB" w:rsidRPr="00162791" w14:paraId="1669A8F0" w14:textId="77777777" w:rsidTr="0042609B">
        <w:trPr>
          <w:trHeight w:val="260"/>
        </w:trPr>
        <w:tc>
          <w:tcPr>
            <w:tcW w:w="5940" w:type="dxa"/>
            <w:shd w:val="clear" w:color="auto" w:fill="auto"/>
            <w:noWrap/>
            <w:vAlign w:val="bottom"/>
            <w:hideMark/>
          </w:tcPr>
          <w:p w14:paraId="51BB2D4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00" w:type="dxa"/>
            <w:shd w:val="clear" w:color="auto" w:fill="auto"/>
            <w:noWrap/>
            <w:vAlign w:val="bottom"/>
            <w:hideMark/>
          </w:tcPr>
          <w:p w14:paraId="14C5458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6F09171E"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1040" w:type="dxa"/>
            <w:shd w:val="clear" w:color="auto" w:fill="auto"/>
            <w:noWrap/>
            <w:vAlign w:val="bottom"/>
            <w:hideMark/>
          </w:tcPr>
          <w:p w14:paraId="4AC8DA4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r>
      <w:tr w:rsidR="00667EAB" w:rsidRPr="00162791" w14:paraId="5EFDA1E4" w14:textId="77777777" w:rsidTr="0042609B">
        <w:trPr>
          <w:trHeight w:val="260"/>
        </w:trPr>
        <w:tc>
          <w:tcPr>
            <w:tcW w:w="5940" w:type="dxa"/>
            <w:shd w:val="clear" w:color="auto" w:fill="auto"/>
            <w:noWrap/>
            <w:vAlign w:val="bottom"/>
            <w:hideMark/>
          </w:tcPr>
          <w:p w14:paraId="6E82B0F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Total memory B cells (CD19+CD20+CD27+)</w:t>
            </w:r>
          </w:p>
        </w:tc>
        <w:tc>
          <w:tcPr>
            <w:tcW w:w="900" w:type="dxa"/>
            <w:shd w:val="clear" w:color="auto" w:fill="auto"/>
            <w:noWrap/>
            <w:vAlign w:val="bottom"/>
            <w:hideMark/>
          </w:tcPr>
          <w:p w14:paraId="26CAD86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T2</w:t>
            </w:r>
          </w:p>
        </w:tc>
        <w:tc>
          <w:tcPr>
            <w:tcW w:w="940" w:type="dxa"/>
            <w:shd w:val="clear" w:color="auto" w:fill="auto"/>
            <w:noWrap/>
            <w:vAlign w:val="bottom"/>
            <w:hideMark/>
          </w:tcPr>
          <w:p w14:paraId="4EDCD2F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0.32</w:t>
            </w:r>
          </w:p>
        </w:tc>
        <w:tc>
          <w:tcPr>
            <w:tcW w:w="1040" w:type="dxa"/>
            <w:shd w:val="clear" w:color="auto" w:fill="auto"/>
            <w:noWrap/>
            <w:vAlign w:val="bottom"/>
            <w:hideMark/>
          </w:tcPr>
          <w:p w14:paraId="0895342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0.161127</w:t>
            </w:r>
          </w:p>
        </w:tc>
      </w:tr>
      <w:tr w:rsidR="00667EAB" w:rsidRPr="00162791" w14:paraId="5722CFAC" w14:textId="77777777" w:rsidTr="0042609B">
        <w:trPr>
          <w:trHeight w:val="260"/>
        </w:trPr>
        <w:tc>
          <w:tcPr>
            <w:tcW w:w="5940" w:type="dxa"/>
            <w:shd w:val="clear" w:color="auto" w:fill="auto"/>
            <w:noWrap/>
            <w:vAlign w:val="bottom"/>
            <w:hideMark/>
          </w:tcPr>
          <w:p w14:paraId="433881BE"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IL-2 (pg/mL)</w:t>
            </w:r>
          </w:p>
        </w:tc>
        <w:tc>
          <w:tcPr>
            <w:tcW w:w="900" w:type="dxa"/>
            <w:shd w:val="clear" w:color="auto" w:fill="auto"/>
            <w:noWrap/>
            <w:vAlign w:val="bottom"/>
            <w:hideMark/>
          </w:tcPr>
          <w:p w14:paraId="69D62EA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8C9050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0.45</w:t>
            </w:r>
          </w:p>
        </w:tc>
        <w:tc>
          <w:tcPr>
            <w:tcW w:w="1040" w:type="dxa"/>
            <w:shd w:val="clear" w:color="auto" w:fill="auto"/>
            <w:noWrap/>
            <w:vAlign w:val="bottom"/>
            <w:hideMark/>
          </w:tcPr>
          <w:p w14:paraId="32D2AC2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0.729302</w:t>
            </w:r>
          </w:p>
        </w:tc>
      </w:tr>
      <w:tr w:rsidR="00667EAB" w:rsidRPr="00162791" w14:paraId="73B4CD6D" w14:textId="77777777" w:rsidTr="0042609B">
        <w:trPr>
          <w:trHeight w:val="300"/>
        </w:trPr>
        <w:tc>
          <w:tcPr>
            <w:tcW w:w="5940" w:type="dxa"/>
            <w:shd w:val="clear" w:color="auto" w:fill="auto"/>
            <w:noWrap/>
            <w:vAlign w:val="bottom"/>
            <w:hideMark/>
          </w:tcPr>
          <w:p w14:paraId="6D85D73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Ratio of CD3+CD56+ NKT cells to CD3-56</w:t>
            </w:r>
            <w:r w:rsidRPr="00D8526D">
              <w:rPr>
                <w:rFonts w:ascii="Arial" w:eastAsia="Times New Roman" w:hAnsi="Arial" w:cs="Arial"/>
                <w:color w:val="000000"/>
                <w:sz w:val="22"/>
                <w:szCs w:val="22"/>
                <w:vertAlign w:val="superscript"/>
              </w:rPr>
              <w:t>bright</w:t>
            </w:r>
            <w:r w:rsidRPr="00D8526D">
              <w:rPr>
                <w:rFonts w:ascii="Arial" w:eastAsia="Times New Roman" w:hAnsi="Arial" w:cs="Arial"/>
                <w:color w:val="000000"/>
                <w:sz w:val="22"/>
                <w:szCs w:val="22"/>
              </w:rPr>
              <w:t xml:space="preserve"> NK cells</w:t>
            </w:r>
          </w:p>
        </w:tc>
        <w:tc>
          <w:tcPr>
            <w:tcW w:w="900" w:type="dxa"/>
            <w:shd w:val="clear" w:color="auto" w:fill="auto"/>
            <w:noWrap/>
            <w:vAlign w:val="bottom"/>
            <w:hideMark/>
          </w:tcPr>
          <w:p w14:paraId="429E621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126428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0.46</w:t>
            </w:r>
          </w:p>
        </w:tc>
        <w:tc>
          <w:tcPr>
            <w:tcW w:w="1040" w:type="dxa"/>
            <w:shd w:val="clear" w:color="auto" w:fill="auto"/>
            <w:noWrap/>
            <w:vAlign w:val="bottom"/>
            <w:hideMark/>
          </w:tcPr>
          <w:p w14:paraId="43D23E8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0.067480</w:t>
            </w:r>
          </w:p>
        </w:tc>
      </w:tr>
      <w:tr w:rsidR="00667EAB" w:rsidRPr="00162791" w14:paraId="78CC18A9" w14:textId="77777777" w:rsidTr="0042609B">
        <w:trPr>
          <w:trHeight w:val="300"/>
        </w:trPr>
        <w:tc>
          <w:tcPr>
            <w:tcW w:w="5940" w:type="dxa"/>
            <w:shd w:val="clear" w:color="auto" w:fill="auto"/>
            <w:noWrap/>
            <w:vAlign w:val="bottom"/>
            <w:hideMark/>
          </w:tcPr>
          <w:p w14:paraId="7A39C46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xml:space="preserve">Ratio of Teff/Treg </w:t>
            </w:r>
          </w:p>
        </w:tc>
        <w:tc>
          <w:tcPr>
            <w:tcW w:w="900" w:type="dxa"/>
            <w:shd w:val="clear" w:color="auto" w:fill="auto"/>
            <w:noWrap/>
            <w:vAlign w:val="bottom"/>
            <w:hideMark/>
          </w:tcPr>
          <w:p w14:paraId="152FD22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669CC61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0.71</w:t>
            </w:r>
          </w:p>
        </w:tc>
        <w:tc>
          <w:tcPr>
            <w:tcW w:w="1040" w:type="dxa"/>
            <w:shd w:val="clear" w:color="auto" w:fill="auto"/>
            <w:noWrap/>
            <w:vAlign w:val="bottom"/>
            <w:hideMark/>
          </w:tcPr>
          <w:p w14:paraId="2768C14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0.199753</w:t>
            </w:r>
          </w:p>
        </w:tc>
      </w:tr>
      <w:tr w:rsidR="00667EAB" w:rsidRPr="00162791" w14:paraId="2368ADB1" w14:textId="77777777" w:rsidTr="0042609B">
        <w:trPr>
          <w:trHeight w:val="260"/>
        </w:trPr>
        <w:tc>
          <w:tcPr>
            <w:tcW w:w="5940" w:type="dxa"/>
            <w:shd w:val="clear" w:color="auto" w:fill="auto"/>
            <w:noWrap/>
            <w:vAlign w:val="bottom"/>
            <w:hideMark/>
          </w:tcPr>
          <w:p w14:paraId="48DAF0F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CD3+CD4+ T cells</w:t>
            </w:r>
          </w:p>
        </w:tc>
        <w:tc>
          <w:tcPr>
            <w:tcW w:w="900" w:type="dxa"/>
            <w:shd w:val="clear" w:color="auto" w:fill="auto"/>
            <w:noWrap/>
            <w:vAlign w:val="bottom"/>
            <w:hideMark/>
          </w:tcPr>
          <w:p w14:paraId="125C4C2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79E2C5D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0.71</w:t>
            </w:r>
          </w:p>
        </w:tc>
        <w:tc>
          <w:tcPr>
            <w:tcW w:w="1040" w:type="dxa"/>
            <w:shd w:val="clear" w:color="auto" w:fill="auto"/>
            <w:noWrap/>
            <w:vAlign w:val="bottom"/>
            <w:hideMark/>
          </w:tcPr>
          <w:p w14:paraId="0BCBC59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0.127871</w:t>
            </w:r>
          </w:p>
        </w:tc>
      </w:tr>
      <w:tr w:rsidR="00667EAB" w:rsidRPr="00162791" w14:paraId="2557E4B0" w14:textId="77777777" w:rsidTr="0042609B">
        <w:trPr>
          <w:trHeight w:val="260"/>
        </w:trPr>
        <w:tc>
          <w:tcPr>
            <w:tcW w:w="5940" w:type="dxa"/>
            <w:shd w:val="clear" w:color="auto" w:fill="auto"/>
            <w:noWrap/>
            <w:vAlign w:val="bottom"/>
            <w:hideMark/>
          </w:tcPr>
          <w:p w14:paraId="01DC25B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xml:space="preserve">Total CD3+ T cells </w:t>
            </w:r>
          </w:p>
        </w:tc>
        <w:tc>
          <w:tcPr>
            <w:tcW w:w="900" w:type="dxa"/>
            <w:shd w:val="clear" w:color="auto" w:fill="auto"/>
            <w:noWrap/>
            <w:vAlign w:val="bottom"/>
            <w:hideMark/>
          </w:tcPr>
          <w:p w14:paraId="75A06D3E"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268BDC7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0.74</w:t>
            </w:r>
          </w:p>
        </w:tc>
        <w:tc>
          <w:tcPr>
            <w:tcW w:w="1040" w:type="dxa"/>
            <w:shd w:val="clear" w:color="auto" w:fill="auto"/>
            <w:noWrap/>
            <w:vAlign w:val="bottom"/>
            <w:hideMark/>
          </w:tcPr>
          <w:p w14:paraId="5E956BD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0.201236</w:t>
            </w:r>
          </w:p>
        </w:tc>
      </w:tr>
      <w:tr w:rsidR="00667EAB" w:rsidRPr="00162791" w14:paraId="79B6EBB1" w14:textId="77777777" w:rsidTr="0042609B">
        <w:trPr>
          <w:trHeight w:val="260"/>
        </w:trPr>
        <w:tc>
          <w:tcPr>
            <w:tcW w:w="5940" w:type="dxa"/>
            <w:shd w:val="clear" w:color="auto" w:fill="auto"/>
            <w:noWrap/>
            <w:vAlign w:val="bottom"/>
            <w:hideMark/>
          </w:tcPr>
          <w:p w14:paraId="37ED00E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IFN-g (pg/mL)</w:t>
            </w:r>
          </w:p>
        </w:tc>
        <w:tc>
          <w:tcPr>
            <w:tcW w:w="900" w:type="dxa"/>
            <w:shd w:val="clear" w:color="auto" w:fill="auto"/>
            <w:noWrap/>
            <w:vAlign w:val="bottom"/>
            <w:hideMark/>
          </w:tcPr>
          <w:p w14:paraId="1A47F33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54A23E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0.82</w:t>
            </w:r>
          </w:p>
        </w:tc>
        <w:tc>
          <w:tcPr>
            <w:tcW w:w="1040" w:type="dxa"/>
            <w:shd w:val="clear" w:color="auto" w:fill="auto"/>
            <w:noWrap/>
            <w:vAlign w:val="bottom"/>
            <w:hideMark/>
          </w:tcPr>
          <w:p w14:paraId="1851159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0.835727</w:t>
            </w:r>
          </w:p>
        </w:tc>
      </w:tr>
      <w:tr w:rsidR="00667EAB" w:rsidRPr="00162791" w14:paraId="560ADF85" w14:textId="77777777" w:rsidTr="0042609B">
        <w:trPr>
          <w:trHeight w:val="260"/>
        </w:trPr>
        <w:tc>
          <w:tcPr>
            <w:tcW w:w="5940" w:type="dxa"/>
            <w:shd w:val="clear" w:color="auto" w:fill="auto"/>
            <w:noWrap/>
            <w:vAlign w:val="bottom"/>
            <w:hideMark/>
          </w:tcPr>
          <w:p w14:paraId="797CE65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IL-10 (pg/mL)</w:t>
            </w:r>
          </w:p>
        </w:tc>
        <w:tc>
          <w:tcPr>
            <w:tcW w:w="900" w:type="dxa"/>
            <w:shd w:val="clear" w:color="auto" w:fill="auto"/>
            <w:noWrap/>
            <w:vAlign w:val="bottom"/>
            <w:hideMark/>
          </w:tcPr>
          <w:p w14:paraId="479CF64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6BA048C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0.82</w:t>
            </w:r>
          </w:p>
        </w:tc>
        <w:tc>
          <w:tcPr>
            <w:tcW w:w="1040" w:type="dxa"/>
            <w:shd w:val="clear" w:color="auto" w:fill="auto"/>
            <w:noWrap/>
            <w:vAlign w:val="bottom"/>
            <w:hideMark/>
          </w:tcPr>
          <w:p w14:paraId="7F14A50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0.282977</w:t>
            </w:r>
          </w:p>
        </w:tc>
      </w:tr>
      <w:tr w:rsidR="00667EAB" w:rsidRPr="00162791" w14:paraId="58DF6F60" w14:textId="77777777" w:rsidTr="0042609B">
        <w:trPr>
          <w:trHeight w:val="260"/>
        </w:trPr>
        <w:tc>
          <w:tcPr>
            <w:tcW w:w="5940" w:type="dxa"/>
            <w:shd w:val="clear" w:color="auto" w:fill="auto"/>
            <w:noWrap/>
            <w:vAlign w:val="bottom"/>
            <w:hideMark/>
          </w:tcPr>
          <w:p w14:paraId="7A2DC82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NKT cells (CD3+CD56+)</w:t>
            </w:r>
          </w:p>
        </w:tc>
        <w:tc>
          <w:tcPr>
            <w:tcW w:w="900" w:type="dxa"/>
            <w:shd w:val="clear" w:color="auto" w:fill="auto"/>
            <w:noWrap/>
            <w:vAlign w:val="bottom"/>
            <w:hideMark/>
          </w:tcPr>
          <w:p w14:paraId="4964946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329D0BCE"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0.85</w:t>
            </w:r>
          </w:p>
        </w:tc>
        <w:tc>
          <w:tcPr>
            <w:tcW w:w="1040" w:type="dxa"/>
            <w:shd w:val="clear" w:color="auto" w:fill="auto"/>
            <w:noWrap/>
            <w:vAlign w:val="bottom"/>
            <w:hideMark/>
          </w:tcPr>
          <w:p w14:paraId="4DDAAB0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0.793409</w:t>
            </w:r>
          </w:p>
        </w:tc>
      </w:tr>
      <w:tr w:rsidR="00667EAB" w:rsidRPr="00162791" w14:paraId="0399AE0A" w14:textId="77777777" w:rsidTr="0042609B">
        <w:trPr>
          <w:trHeight w:val="260"/>
        </w:trPr>
        <w:tc>
          <w:tcPr>
            <w:tcW w:w="5940" w:type="dxa"/>
            <w:shd w:val="clear" w:color="auto" w:fill="auto"/>
            <w:noWrap/>
            <w:vAlign w:val="bottom"/>
            <w:hideMark/>
          </w:tcPr>
          <w:p w14:paraId="0EC0953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IL-17 (pg/mL)</w:t>
            </w:r>
          </w:p>
        </w:tc>
        <w:tc>
          <w:tcPr>
            <w:tcW w:w="900" w:type="dxa"/>
            <w:shd w:val="clear" w:color="auto" w:fill="auto"/>
            <w:noWrap/>
            <w:vAlign w:val="bottom"/>
            <w:hideMark/>
          </w:tcPr>
          <w:p w14:paraId="0D2807B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3BCB09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0.91</w:t>
            </w:r>
          </w:p>
        </w:tc>
        <w:tc>
          <w:tcPr>
            <w:tcW w:w="1040" w:type="dxa"/>
            <w:shd w:val="clear" w:color="auto" w:fill="auto"/>
            <w:noWrap/>
            <w:vAlign w:val="bottom"/>
            <w:hideMark/>
          </w:tcPr>
          <w:p w14:paraId="08CEE0F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0.420195</w:t>
            </w:r>
          </w:p>
        </w:tc>
      </w:tr>
      <w:tr w:rsidR="00667EAB" w:rsidRPr="00162791" w14:paraId="264377BD" w14:textId="77777777" w:rsidTr="0042609B">
        <w:trPr>
          <w:trHeight w:val="260"/>
        </w:trPr>
        <w:tc>
          <w:tcPr>
            <w:tcW w:w="5940" w:type="dxa"/>
            <w:shd w:val="clear" w:color="auto" w:fill="auto"/>
            <w:noWrap/>
            <w:vAlign w:val="bottom"/>
            <w:hideMark/>
          </w:tcPr>
          <w:p w14:paraId="39B6799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Central memory T cells (</w:t>
            </w:r>
            <w:r>
              <w:rPr>
                <w:rFonts w:ascii="Arial" w:eastAsia="Times New Roman" w:hAnsi="Arial" w:cs="Arial"/>
                <w:color w:val="000000"/>
                <w:sz w:val="22"/>
                <w:szCs w:val="22"/>
              </w:rPr>
              <w:t xml:space="preserve">TCM:  </w:t>
            </w:r>
            <w:r w:rsidRPr="00D8526D">
              <w:rPr>
                <w:rFonts w:ascii="Arial" w:eastAsia="Times New Roman" w:hAnsi="Arial" w:cs="Arial"/>
                <w:color w:val="000000"/>
                <w:sz w:val="22"/>
                <w:szCs w:val="22"/>
              </w:rPr>
              <w:t>CD4+CD45RA-CD27+)</w:t>
            </w:r>
          </w:p>
        </w:tc>
        <w:tc>
          <w:tcPr>
            <w:tcW w:w="900" w:type="dxa"/>
            <w:shd w:val="clear" w:color="auto" w:fill="auto"/>
            <w:noWrap/>
            <w:vAlign w:val="bottom"/>
            <w:hideMark/>
          </w:tcPr>
          <w:p w14:paraId="28638C6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E0DBFC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0.92</w:t>
            </w:r>
          </w:p>
        </w:tc>
        <w:tc>
          <w:tcPr>
            <w:tcW w:w="1040" w:type="dxa"/>
            <w:shd w:val="clear" w:color="auto" w:fill="auto"/>
            <w:noWrap/>
            <w:vAlign w:val="bottom"/>
            <w:hideMark/>
          </w:tcPr>
          <w:p w14:paraId="408415C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0.820981</w:t>
            </w:r>
          </w:p>
        </w:tc>
      </w:tr>
      <w:tr w:rsidR="00667EAB" w:rsidRPr="00162791" w14:paraId="10B00004" w14:textId="77777777" w:rsidTr="0042609B">
        <w:trPr>
          <w:trHeight w:val="260"/>
        </w:trPr>
        <w:tc>
          <w:tcPr>
            <w:tcW w:w="5940" w:type="dxa"/>
            <w:shd w:val="clear" w:color="auto" w:fill="auto"/>
            <w:noWrap/>
            <w:vAlign w:val="bottom"/>
            <w:hideMark/>
          </w:tcPr>
          <w:p w14:paraId="0555535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Teff (CD4+CD25+CD127+foxP3-)</w:t>
            </w:r>
          </w:p>
        </w:tc>
        <w:tc>
          <w:tcPr>
            <w:tcW w:w="900" w:type="dxa"/>
            <w:shd w:val="clear" w:color="auto" w:fill="auto"/>
            <w:noWrap/>
            <w:vAlign w:val="bottom"/>
            <w:hideMark/>
          </w:tcPr>
          <w:p w14:paraId="356B2DF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6BCF0BC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0.93</w:t>
            </w:r>
          </w:p>
        </w:tc>
        <w:tc>
          <w:tcPr>
            <w:tcW w:w="1040" w:type="dxa"/>
            <w:shd w:val="clear" w:color="auto" w:fill="auto"/>
            <w:noWrap/>
            <w:vAlign w:val="bottom"/>
            <w:hideMark/>
          </w:tcPr>
          <w:p w14:paraId="0103FA8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0.933177</w:t>
            </w:r>
          </w:p>
        </w:tc>
      </w:tr>
      <w:tr w:rsidR="00667EAB" w:rsidRPr="00162791" w14:paraId="1C9B9145" w14:textId="77777777" w:rsidTr="0042609B">
        <w:trPr>
          <w:trHeight w:val="260"/>
        </w:trPr>
        <w:tc>
          <w:tcPr>
            <w:tcW w:w="5940" w:type="dxa"/>
            <w:shd w:val="clear" w:color="auto" w:fill="auto"/>
            <w:noWrap/>
            <w:vAlign w:val="bottom"/>
            <w:hideMark/>
          </w:tcPr>
          <w:p w14:paraId="4AFD588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Total naïve T cells (CD4+CD45RA+)</w:t>
            </w:r>
          </w:p>
        </w:tc>
        <w:tc>
          <w:tcPr>
            <w:tcW w:w="900" w:type="dxa"/>
            <w:shd w:val="clear" w:color="auto" w:fill="auto"/>
            <w:noWrap/>
            <w:vAlign w:val="bottom"/>
            <w:hideMark/>
          </w:tcPr>
          <w:p w14:paraId="743AAF9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A6F02F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0.94</w:t>
            </w:r>
          </w:p>
        </w:tc>
        <w:tc>
          <w:tcPr>
            <w:tcW w:w="1040" w:type="dxa"/>
            <w:shd w:val="clear" w:color="auto" w:fill="auto"/>
            <w:noWrap/>
            <w:vAlign w:val="bottom"/>
            <w:hideMark/>
          </w:tcPr>
          <w:p w14:paraId="5FD229D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0.900257</w:t>
            </w:r>
          </w:p>
        </w:tc>
      </w:tr>
      <w:tr w:rsidR="00667EAB" w:rsidRPr="00162791" w14:paraId="6784A300" w14:textId="77777777" w:rsidTr="0042609B">
        <w:trPr>
          <w:trHeight w:val="300"/>
        </w:trPr>
        <w:tc>
          <w:tcPr>
            <w:tcW w:w="5940" w:type="dxa"/>
            <w:shd w:val="clear" w:color="auto" w:fill="auto"/>
            <w:noWrap/>
            <w:vAlign w:val="bottom"/>
            <w:hideMark/>
          </w:tcPr>
          <w:p w14:paraId="1720C31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New Teff (CD4+CD45RA+CD27-)</w:t>
            </w:r>
          </w:p>
        </w:tc>
        <w:tc>
          <w:tcPr>
            <w:tcW w:w="900" w:type="dxa"/>
            <w:shd w:val="clear" w:color="auto" w:fill="auto"/>
            <w:noWrap/>
            <w:vAlign w:val="bottom"/>
            <w:hideMark/>
          </w:tcPr>
          <w:p w14:paraId="5EE8CD4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2416FB2D"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0.96</w:t>
            </w:r>
          </w:p>
        </w:tc>
        <w:tc>
          <w:tcPr>
            <w:tcW w:w="1040" w:type="dxa"/>
            <w:shd w:val="clear" w:color="auto" w:fill="auto"/>
            <w:noWrap/>
            <w:vAlign w:val="bottom"/>
            <w:hideMark/>
          </w:tcPr>
          <w:p w14:paraId="20AEA88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0.964534</w:t>
            </w:r>
          </w:p>
        </w:tc>
      </w:tr>
      <w:tr w:rsidR="00667EAB" w:rsidRPr="00162791" w14:paraId="76847CC2" w14:textId="77777777" w:rsidTr="0042609B">
        <w:trPr>
          <w:trHeight w:val="260"/>
        </w:trPr>
        <w:tc>
          <w:tcPr>
            <w:tcW w:w="5940" w:type="dxa"/>
            <w:shd w:val="clear" w:color="auto" w:fill="auto"/>
            <w:noWrap/>
            <w:vAlign w:val="bottom"/>
            <w:hideMark/>
          </w:tcPr>
          <w:p w14:paraId="666E344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CD3+CD8+CCR5+</w:t>
            </w:r>
          </w:p>
        </w:tc>
        <w:tc>
          <w:tcPr>
            <w:tcW w:w="900" w:type="dxa"/>
            <w:shd w:val="clear" w:color="auto" w:fill="auto"/>
            <w:noWrap/>
            <w:vAlign w:val="bottom"/>
            <w:hideMark/>
          </w:tcPr>
          <w:p w14:paraId="2CD87C9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83126F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0.98</w:t>
            </w:r>
          </w:p>
        </w:tc>
        <w:tc>
          <w:tcPr>
            <w:tcW w:w="1040" w:type="dxa"/>
            <w:shd w:val="clear" w:color="auto" w:fill="auto"/>
            <w:noWrap/>
            <w:vAlign w:val="bottom"/>
            <w:hideMark/>
          </w:tcPr>
          <w:p w14:paraId="60B0B7B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0.975366</w:t>
            </w:r>
          </w:p>
        </w:tc>
      </w:tr>
      <w:tr w:rsidR="00667EAB" w:rsidRPr="00162791" w14:paraId="09C252BB" w14:textId="77777777" w:rsidTr="0042609B">
        <w:trPr>
          <w:trHeight w:val="260"/>
        </w:trPr>
        <w:tc>
          <w:tcPr>
            <w:tcW w:w="5940" w:type="dxa"/>
            <w:shd w:val="clear" w:color="auto" w:fill="auto"/>
            <w:noWrap/>
            <w:vAlign w:val="bottom"/>
            <w:hideMark/>
          </w:tcPr>
          <w:p w14:paraId="53B30EC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Total B cells (CD19+CD20+)</w:t>
            </w:r>
          </w:p>
        </w:tc>
        <w:tc>
          <w:tcPr>
            <w:tcW w:w="900" w:type="dxa"/>
            <w:shd w:val="clear" w:color="auto" w:fill="auto"/>
            <w:noWrap/>
            <w:vAlign w:val="bottom"/>
            <w:hideMark/>
          </w:tcPr>
          <w:p w14:paraId="174B666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42A3488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0.99</w:t>
            </w:r>
          </w:p>
        </w:tc>
        <w:tc>
          <w:tcPr>
            <w:tcW w:w="1040" w:type="dxa"/>
            <w:shd w:val="clear" w:color="auto" w:fill="auto"/>
            <w:noWrap/>
            <w:vAlign w:val="bottom"/>
            <w:hideMark/>
          </w:tcPr>
          <w:p w14:paraId="0D22C3E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1.000000</w:t>
            </w:r>
          </w:p>
        </w:tc>
      </w:tr>
      <w:tr w:rsidR="00667EAB" w:rsidRPr="00162791" w14:paraId="3BAA046E" w14:textId="77777777" w:rsidTr="0042609B">
        <w:trPr>
          <w:trHeight w:val="260"/>
        </w:trPr>
        <w:tc>
          <w:tcPr>
            <w:tcW w:w="5940" w:type="dxa"/>
            <w:shd w:val="clear" w:color="auto" w:fill="auto"/>
            <w:noWrap/>
            <w:vAlign w:val="bottom"/>
            <w:hideMark/>
          </w:tcPr>
          <w:p w14:paraId="7EEC934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Total memory T cells (CD4+CD45RO+)</w:t>
            </w:r>
          </w:p>
        </w:tc>
        <w:tc>
          <w:tcPr>
            <w:tcW w:w="900" w:type="dxa"/>
            <w:shd w:val="clear" w:color="auto" w:fill="auto"/>
            <w:noWrap/>
            <w:vAlign w:val="bottom"/>
            <w:hideMark/>
          </w:tcPr>
          <w:p w14:paraId="54DB896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532F04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0.99</w:t>
            </w:r>
          </w:p>
        </w:tc>
        <w:tc>
          <w:tcPr>
            <w:tcW w:w="1040" w:type="dxa"/>
            <w:shd w:val="clear" w:color="auto" w:fill="auto"/>
            <w:noWrap/>
            <w:vAlign w:val="bottom"/>
            <w:hideMark/>
          </w:tcPr>
          <w:p w14:paraId="0E38FF6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1.000000</w:t>
            </w:r>
          </w:p>
        </w:tc>
      </w:tr>
      <w:tr w:rsidR="00667EAB" w:rsidRPr="00162791" w14:paraId="730885A7" w14:textId="77777777" w:rsidTr="0042609B">
        <w:trPr>
          <w:trHeight w:val="260"/>
        </w:trPr>
        <w:tc>
          <w:tcPr>
            <w:tcW w:w="5940" w:type="dxa"/>
            <w:shd w:val="clear" w:color="auto" w:fill="auto"/>
            <w:noWrap/>
            <w:vAlign w:val="bottom"/>
            <w:hideMark/>
          </w:tcPr>
          <w:p w14:paraId="0478C1C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Total CD3+CD8+ T cells</w:t>
            </w:r>
          </w:p>
        </w:tc>
        <w:tc>
          <w:tcPr>
            <w:tcW w:w="900" w:type="dxa"/>
            <w:shd w:val="clear" w:color="auto" w:fill="auto"/>
            <w:noWrap/>
            <w:vAlign w:val="bottom"/>
            <w:hideMark/>
          </w:tcPr>
          <w:p w14:paraId="27AEFCF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7F2C158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1.00</w:t>
            </w:r>
          </w:p>
        </w:tc>
        <w:tc>
          <w:tcPr>
            <w:tcW w:w="1040" w:type="dxa"/>
            <w:shd w:val="clear" w:color="auto" w:fill="auto"/>
            <w:noWrap/>
            <w:vAlign w:val="bottom"/>
            <w:hideMark/>
          </w:tcPr>
          <w:p w14:paraId="5942CEE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0.987911</w:t>
            </w:r>
          </w:p>
        </w:tc>
      </w:tr>
      <w:tr w:rsidR="00667EAB" w:rsidRPr="00162791" w14:paraId="0B07218E" w14:textId="77777777" w:rsidTr="0042609B">
        <w:trPr>
          <w:trHeight w:val="260"/>
        </w:trPr>
        <w:tc>
          <w:tcPr>
            <w:tcW w:w="5940" w:type="dxa"/>
            <w:shd w:val="clear" w:color="auto" w:fill="auto"/>
            <w:noWrap/>
            <w:vAlign w:val="bottom"/>
            <w:hideMark/>
          </w:tcPr>
          <w:p w14:paraId="28FC3CA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CD3+CD4+CCR5+ (Th1)</w:t>
            </w:r>
          </w:p>
        </w:tc>
        <w:tc>
          <w:tcPr>
            <w:tcW w:w="900" w:type="dxa"/>
            <w:shd w:val="clear" w:color="auto" w:fill="auto"/>
            <w:noWrap/>
            <w:vAlign w:val="bottom"/>
            <w:hideMark/>
          </w:tcPr>
          <w:p w14:paraId="6FB066A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5D5E07A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1.03</w:t>
            </w:r>
          </w:p>
        </w:tc>
        <w:tc>
          <w:tcPr>
            <w:tcW w:w="1040" w:type="dxa"/>
            <w:shd w:val="clear" w:color="auto" w:fill="auto"/>
            <w:noWrap/>
            <w:vAlign w:val="bottom"/>
            <w:hideMark/>
          </w:tcPr>
          <w:p w14:paraId="7B58717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1.000000</w:t>
            </w:r>
          </w:p>
        </w:tc>
      </w:tr>
      <w:tr w:rsidR="00667EAB" w:rsidRPr="00162791" w14:paraId="0516E30A" w14:textId="77777777" w:rsidTr="0042609B">
        <w:trPr>
          <w:trHeight w:val="260"/>
        </w:trPr>
        <w:tc>
          <w:tcPr>
            <w:tcW w:w="5940" w:type="dxa"/>
            <w:shd w:val="clear" w:color="auto" w:fill="auto"/>
            <w:noWrap/>
            <w:vAlign w:val="bottom"/>
            <w:hideMark/>
          </w:tcPr>
          <w:p w14:paraId="2B9F075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CD3+CD4+CXCR3+ (Th1)</w:t>
            </w:r>
          </w:p>
        </w:tc>
        <w:tc>
          <w:tcPr>
            <w:tcW w:w="900" w:type="dxa"/>
            <w:shd w:val="clear" w:color="auto" w:fill="auto"/>
            <w:noWrap/>
            <w:vAlign w:val="bottom"/>
            <w:hideMark/>
          </w:tcPr>
          <w:p w14:paraId="0EE9B51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36D58322"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1.08</w:t>
            </w:r>
          </w:p>
        </w:tc>
        <w:tc>
          <w:tcPr>
            <w:tcW w:w="1040" w:type="dxa"/>
            <w:shd w:val="clear" w:color="auto" w:fill="auto"/>
            <w:noWrap/>
            <w:vAlign w:val="bottom"/>
            <w:hideMark/>
          </w:tcPr>
          <w:p w14:paraId="38147D4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0.902724</w:t>
            </w:r>
          </w:p>
        </w:tc>
      </w:tr>
      <w:tr w:rsidR="00667EAB" w:rsidRPr="00162791" w14:paraId="35DDE579" w14:textId="77777777" w:rsidTr="0042609B">
        <w:trPr>
          <w:trHeight w:val="260"/>
        </w:trPr>
        <w:tc>
          <w:tcPr>
            <w:tcW w:w="5940" w:type="dxa"/>
            <w:shd w:val="clear" w:color="auto" w:fill="auto"/>
            <w:noWrap/>
            <w:vAlign w:val="bottom"/>
            <w:hideMark/>
          </w:tcPr>
          <w:p w14:paraId="5A10ACB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Total naïve B cells (CD19+CD20+CD27-)</w:t>
            </w:r>
          </w:p>
        </w:tc>
        <w:tc>
          <w:tcPr>
            <w:tcW w:w="900" w:type="dxa"/>
            <w:shd w:val="clear" w:color="auto" w:fill="auto"/>
            <w:noWrap/>
            <w:vAlign w:val="bottom"/>
            <w:hideMark/>
          </w:tcPr>
          <w:p w14:paraId="4CBF615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6505430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1.09</w:t>
            </w:r>
          </w:p>
        </w:tc>
        <w:tc>
          <w:tcPr>
            <w:tcW w:w="1040" w:type="dxa"/>
            <w:shd w:val="clear" w:color="auto" w:fill="auto"/>
            <w:noWrap/>
            <w:vAlign w:val="bottom"/>
            <w:hideMark/>
          </w:tcPr>
          <w:p w14:paraId="15E9653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0.896128</w:t>
            </w:r>
          </w:p>
        </w:tc>
      </w:tr>
      <w:tr w:rsidR="00667EAB" w:rsidRPr="00162791" w14:paraId="1482F8FD" w14:textId="77777777" w:rsidTr="0042609B">
        <w:trPr>
          <w:trHeight w:val="260"/>
        </w:trPr>
        <w:tc>
          <w:tcPr>
            <w:tcW w:w="5940" w:type="dxa"/>
            <w:shd w:val="clear" w:color="auto" w:fill="auto"/>
            <w:noWrap/>
            <w:vAlign w:val="bottom"/>
            <w:hideMark/>
          </w:tcPr>
          <w:p w14:paraId="1CB926A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Treg function</w:t>
            </w:r>
          </w:p>
        </w:tc>
        <w:tc>
          <w:tcPr>
            <w:tcW w:w="900" w:type="dxa"/>
            <w:shd w:val="clear" w:color="auto" w:fill="auto"/>
            <w:noWrap/>
            <w:vAlign w:val="bottom"/>
            <w:hideMark/>
          </w:tcPr>
          <w:p w14:paraId="060CAA6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2EF16A0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1.09</w:t>
            </w:r>
          </w:p>
        </w:tc>
        <w:tc>
          <w:tcPr>
            <w:tcW w:w="1040" w:type="dxa"/>
            <w:shd w:val="clear" w:color="auto" w:fill="auto"/>
            <w:noWrap/>
            <w:vAlign w:val="bottom"/>
            <w:hideMark/>
          </w:tcPr>
          <w:p w14:paraId="7E7CCAF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0.696094</w:t>
            </w:r>
          </w:p>
        </w:tc>
      </w:tr>
      <w:tr w:rsidR="00667EAB" w:rsidRPr="00162791" w14:paraId="231FACAC" w14:textId="77777777" w:rsidTr="0042609B">
        <w:trPr>
          <w:trHeight w:val="260"/>
        </w:trPr>
        <w:tc>
          <w:tcPr>
            <w:tcW w:w="5940" w:type="dxa"/>
            <w:shd w:val="clear" w:color="auto" w:fill="auto"/>
            <w:noWrap/>
            <w:vAlign w:val="bottom"/>
            <w:hideMark/>
          </w:tcPr>
          <w:p w14:paraId="7F96CF9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 effector memory T cells (CD4+CD45RA-CD27-)</w:t>
            </w:r>
          </w:p>
        </w:tc>
        <w:tc>
          <w:tcPr>
            <w:tcW w:w="900" w:type="dxa"/>
            <w:shd w:val="clear" w:color="auto" w:fill="auto"/>
            <w:noWrap/>
            <w:vAlign w:val="bottom"/>
            <w:hideMark/>
          </w:tcPr>
          <w:p w14:paraId="57A77B5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4F34D456"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1.09</w:t>
            </w:r>
          </w:p>
        </w:tc>
        <w:tc>
          <w:tcPr>
            <w:tcW w:w="1040" w:type="dxa"/>
            <w:shd w:val="clear" w:color="auto" w:fill="auto"/>
            <w:noWrap/>
            <w:vAlign w:val="bottom"/>
            <w:hideMark/>
          </w:tcPr>
          <w:p w14:paraId="38C2C58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0.692561</w:t>
            </w:r>
          </w:p>
        </w:tc>
      </w:tr>
      <w:tr w:rsidR="00667EAB" w:rsidRPr="00162791" w14:paraId="5D6FFC39" w14:textId="77777777" w:rsidTr="0042609B">
        <w:trPr>
          <w:trHeight w:val="260"/>
        </w:trPr>
        <w:tc>
          <w:tcPr>
            <w:tcW w:w="5940" w:type="dxa"/>
            <w:shd w:val="clear" w:color="auto" w:fill="auto"/>
            <w:noWrap/>
            <w:vAlign w:val="bottom"/>
            <w:hideMark/>
          </w:tcPr>
          <w:p w14:paraId="11300EE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CD4+IFNg+ Th1 cells</w:t>
            </w:r>
          </w:p>
        </w:tc>
        <w:tc>
          <w:tcPr>
            <w:tcW w:w="900" w:type="dxa"/>
            <w:shd w:val="clear" w:color="auto" w:fill="auto"/>
            <w:noWrap/>
            <w:vAlign w:val="bottom"/>
            <w:hideMark/>
          </w:tcPr>
          <w:p w14:paraId="7BB8E4F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7F35069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1.12</w:t>
            </w:r>
          </w:p>
        </w:tc>
        <w:tc>
          <w:tcPr>
            <w:tcW w:w="1040" w:type="dxa"/>
            <w:shd w:val="clear" w:color="auto" w:fill="auto"/>
            <w:noWrap/>
            <w:vAlign w:val="bottom"/>
            <w:hideMark/>
          </w:tcPr>
          <w:p w14:paraId="304B8D14"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0.600649</w:t>
            </w:r>
          </w:p>
        </w:tc>
      </w:tr>
      <w:tr w:rsidR="00667EAB" w:rsidRPr="00162791" w14:paraId="401E3B52" w14:textId="77777777" w:rsidTr="0042609B">
        <w:trPr>
          <w:trHeight w:val="300"/>
        </w:trPr>
        <w:tc>
          <w:tcPr>
            <w:tcW w:w="5940" w:type="dxa"/>
            <w:shd w:val="clear" w:color="auto" w:fill="auto"/>
            <w:noWrap/>
            <w:vAlign w:val="bottom"/>
            <w:hideMark/>
          </w:tcPr>
          <w:p w14:paraId="2C2C0D3F"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Treg (CD4+CD25</w:t>
            </w:r>
            <w:r w:rsidRPr="00D8526D">
              <w:rPr>
                <w:rFonts w:ascii="Arial" w:eastAsia="Times New Roman" w:hAnsi="Arial" w:cs="Arial"/>
                <w:color w:val="000000"/>
                <w:sz w:val="22"/>
                <w:szCs w:val="22"/>
                <w:vertAlign w:val="superscript"/>
              </w:rPr>
              <w:t>hi</w:t>
            </w:r>
            <w:r w:rsidRPr="00D8526D">
              <w:rPr>
                <w:rFonts w:ascii="Arial" w:eastAsia="Times New Roman" w:hAnsi="Arial" w:cs="Arial"/>
                <w:color w:val="000000"/>
                <w:sz w:val="22"/>
                <w:szCs w:val="22"/>
              </w:rPr>
              <w:t>CD127</w:t>
            </w:r>
            <w:r w:rsidRPr="00D8526D">
              <w:rPr>
                <w:rFonts w:ascii="Arial" w:eastAsia="Times New Roman" w:hAnsi="Arial" w:cs="Arial"/>
                <w:color w:val="000000"/>
                <w:sz w:val="22"/>
                <w:szCs w:val="22"/>
                <w:vertAlign w:val="superscript"/>
              </w:rPr>
              <w:t>lo/neg</w:t>
            </w:r>
            <w:r w:rsidRPr="00D8526D">
              <w:rPr>
                <w:rFonts w:ascii="Arial" w:eastAsia="Times New Roman" w:hAnsi="Arial" w:cs="Arial"/>
                <w:color w:val="000000"/>
                <w:sz w:val="22"/>
                <w:szCs w:val="22"/>
              </w:rPr>
              <w:t>foxP3+)</w:t>
            </w:r>
          </w:p>
        </w:tc>
        <w:tc>
          <w:tcPr>
            <w:tcW w:w="900" w:type="dxa"/>
            <w:shd w:val="clear" w:color="auto" w:fill="auto"/>
            <w:noWrap/>
            <w:vAlign w:val="bottom"/>
            <w:hideMark/>
          </w:tcPr>
          <w:p w14:paraId="3104EB00"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24B832E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1.15</w:t>
            </w:r>
          </w:p>
        </w:tc>
        <w:tc>
          <w:tcPr>
            <w:tcW w:w="1040" w:type="dxa"/>
            <w:shd w:val="clear" w:color="auto" w:fill="auto"/>
            <w:noWrap/>
            <w:vAlign w:val="bottom"/>
            <w:hideMark/>
          </w:tcPr>
          <w:p w14:paraId="49864BFE"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0.263371</w:t>
            </w:r>
          </w:p>
        </w:tc>
      </w:tr>
      <w:tr w:rsidR="00667EAB" w:rsidRPr="00162791" w14:paraId="6740D31E" w14:textId="77777777" w:rsidTr="0042609B">
        <w:trPr>
          <w:trHeight w:val="300"/>
        </w:trPr>
        <w:tc>
          <w:tcPr>
            <w:tcW w:w="5940" w:type="dxa"/>
            <w:shd w:val="clear" w:color="auto" w:fill="auto"/>
            <w:noWrap/>
            <w:vAlign w:val="bottom"/>
            <w:hideMark/>
          </w:tcPr>
          <w:p w14:paraId="62D68FC7"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CD3-56</w:t>
            </w:r>
            <w:r w:rsidRPr="00D8526D">
              <w:rPr>
                <w:rFonts w:ascii="Arial" w:eastAsia="Times New Roman" w:hAnsi="Arial" w:cs="Arial"/>
                <w:color w:val="000000"/>
                <w:sz w:val="22"/>
                <w:szCs w:val="22"/>
                <w:vertAlign w:val="superscript"/>
              </w:rPr>
              <w:t>bright</w:t>
            </w:r>
            <w:r w:rsidRPr="00D8526D">
              <w:rPr>
                <w:rFonts w:ascii="Arial" w:eastAsia="Times New Roman" w:hAnsi="Arial" w:cs="Arial"/>
                <w:color w:val="000000"/>
                <w:sz w:val="22"/>
                <w:szCs w:val="22"/>
              </w:rPr>
              <w:t xml:space="preserve"> NK cells</w:t>
            </w:r>
          </w:p>
        </w:tc>
        <w:tc>
          <w:tcPr>
            <w:tcW w:w="900" w:type="dxa"/>
            <w:shd w:val="clear" w:color="auto" w:fill="auto"/>
            <w:noWrap/>
            <w:vAlign w:val="bottom"/>
            <w:hideMark/>
          </w:tcPr>
          <w:p w14:paraId="5C56C11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739D27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1.20</w:t>
            </w:r>
          </w:p>
        </w:tc>
        <w:tc>
          <w:tcPr>
            <w:tcW w:w="1040" w:type="dxa"/>
            <w:shd w:val="clear" w:color="auto" w:fill="auto"/>
            <w:noWrap/>
            <w:vAlign w:val="bottom"/>
            <w:hideMark/>
          </w:tcPr>
          <w:p w14:paraId="504AF90A"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0.271407</w:t>
            </w:r>
          </w:p>
        </w:tc>
      </w:tr>
      <w:tr w:rsidR="00667EAB" w:rsidRPr="00162791" w14:paraId="23FE2B3A" w14:textId="77777777" w:rsidTr="0042609B">
        <w:trPr>
          <w:trHeight w:val="260"/>
        </w:trPr>
        <w:tc>
          <w:tcPr>
            <w:tcW w:w="5940" w:type="dxa"/>
            <w:shd w:val="clear" w:color="auto" w:fill="auto"/>
            <w:noWrap/>
            <w:vAlign w:val="bottom"/>
            <w:hideMark/>
          </w:tcPr>
          <w:p w14:paraId="3CF0019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Naïve "regulatory" B cells (CD19+CD20+CD27-CD24hiCD38hi)</w:t>
            </w:r>
          </w:p>
        </w:tc>
        <w:tc>
          <w:tcPr>
            <w:tcW w:w="900" w:type="dxa"/>
            <w:shd w:val="clear" w:color="auto" w:fill="auto"/>
            <w:noWrap/>
            <w:vAlign w:val="bottom"/>
            <w:hideMark/>
          </w:tcPr>
          <w:p w14:paraId="5E7AA41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21F63889"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1.23</w:t>
            </w:r>
          </w:p>
        </w:tc>
        <w:tc>
          <w:tcPr>
            <w:tcW w:w="1040" w:type="dxa"/>
            <w:shd w:val="clear" w:color="auto" w:fill="auto"/>
            <w:noWrap/>
            <w:vAlign w:val="bottom"/>
            <w:hideMark/>
          </w:tcPr>
          <w:p w14:paraId="7DE3B75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0.521709</w:t>
            </w:r>
          </w:p>
        </w:tc>
      </w:tr>
      <w:tr w:rsidR="00667EAB" w:rsidRPr="00162791" w14:paraId="4F7C63D8" w14:textId="77777777" w:rsidTr="0042609B">
        <w:trPr>
          <w:trHeight w:val="260"/>
        </w:trPr>
        <w:tc>
          <w:tcPr>
            <w:tcW w:w="5940" w:type="dxa"/>
            <w:shd w:val="clear" w:color="auto" w:fill="auto"/>
            <w:noWrap/>
            <w:vAlign w:val="bottom"/>
            <w:hideMark/>
          </w:tcPr>
          <w:p w14:paraId="68CD0BA3"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CD3-56+ NK cells</w:t>
            </w:r>
          </w:p>
        </w:tc>
        <w:tc>
          <w:tcPr>
            <w:tcW w:w="900" w:type="dxa"/>
            <w:shd w:val="clear" w:color="auto" w:fill="auto"/>
            <w:noWrap/>
            <w:vAlign w:val="bottom"/>
            <w:hideMark/>
          </w:tcPr>
          <w:p w14:paraId="1D44559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61935DFC"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1.23</w:t>
            </w:r>
          </w:p>
        </w:tc>
        <w:tc>
          <w:tcPr>
            <w:tcW w:w="1040" w:type="dxa"/>
            <w:shd w:val="clear" w:color="auto" w:fill="auto"/>
            <w:noWrap/>
            <w:vAlign w:val="bottom"/>
            <w:hideMark/>
          </w:tcPr>
          <w:p w14:paraId="6D89833B"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0.288450</w:t>
            </w:r>
          </w:p>
        </w:tc>
      </w:tr>
      <w:tr w:rsidR="00667EAB" w:rsidRPr="00162791" w14:paraId="14401E89" w14:textId="77777777" w:rsidTr="0042609B">
        <w:trPr>
          <w:trHeight w:val="260"/>
        </w:trPr>
        <w:tc>
          <w:tcPr>
            <w:tcW w:w="5940" w:type="dxa"/>
            <w:shd w:val="clear" w:color="auto" w:fill="auto"/>
            <w:noWrap/>
            <w:vAlign w:val="bottom"/>
            <w:hideMark/>
          </w:tcPr>
          <w:p w14:paraId="720F479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CD4+IL17A+ Th17 cells</w:t>
            </w:r>
          </w:p>
        </w:tc>
        <w:tc>
          <w:tcPr>
            <w:tcW w:w="900" w:type="dxa"/>
            <w:shd w:val="clear" w:color="auto" w:fill="auto"/>
            <w:noWrap/>
            <w:vAlign w:val="bottom"/>
            <w:hideMark/>
          </w:tcPr>
          <w:p w14:paraId="4F3A1178"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 </w:t>
            </w:r>
          </w:p>
        </w:tc>
        <w:tc>
          <w:tcPr>
            <w:tcW w:w="940" w:type="dxa"/>
            <w:shd w:val="clear" w:color="auto" w:fill="auto"/>
            <w:noWrap/>
            <w:vAlign w:val="bottom"/>
            <w:hideMark/>
          </w:tcPr>
          <w:p w14:paraId="01BD09A1"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1.30</w:t>
            </w:r>
          </w:p>
        </w:tc>
        <w:tc>
          <w:tcPr>
            <w:tcW w:w="1040" w:type="dxa"/>
            <w:shd w:val="clear" w:color="auto" w:fill="auto"/>
            <w:noWrap/>
            <w:vAlign w:val="bottom"/>
            <w:hideMark/>
          </w:tcPr>
          <w:p w14:paraId="4C272195" w14:textId="77777777" w:rsidR="00667EAB" w:rsidRPr="00D8526D" w:rsidRDefault="00667EAB" w:rsidP="0042609B">
            <w:pPr>
              <w:rPr>
                <w:rFonts w:ascii="Arial" w:eastAsia="Times New Roman" w:hAnsi="Arial" w:cs="Arial"/>
                <w:color w:val="000000"/>
                <w:sz w:val="22"/>
                <w:szCs w:val="22"/>
              </w:rPr>
            </w:pPr>
            <w:r w:rsidRPr="00D8526D">
              <w:rPr>
                <w:rFonts w:ascii="Arial" w:eastAsia="Times New Roman" w:hAnsi="Arial" w:cs="Arial"/>
                <w:color w:val="000000"/>
                <w:sz w:val="22"/>
                <w:szCs w:val="22"/>
              </w:rPr>
              <w:t>0.171289</w:t>
            </w:r>
          </w:p>
        </w:tc>
      </w:tr>
      <w:tr w:rsidR="00667EAB" w:rsidRPr="00162791" w14:paraId="46019432" w14:textId="77777777" w:rsidTr="0042609B">
        <w:trPr>
          <w:trHeight w:val="260"/>
        </w:trPr>
        <w:tc>
          <w:tcPr>
            <w:tcW w:w="5940" w:type="dxa"/>
            <w:shd w:val="clear" w:color="auto" w:fill="auto"/>
            <w:noWrap/>
            <w:vAlign w:val="bottom"/>
            <w:hideMark/>
          </w:tcPr>
          <w:p w14:paraId="7AE02A3C"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CD3+CD8+CXCR3+ T cells</w:t>
            </w:r>
          </w:p>
        </w:tc>
        <w:tc>
          <w:tcPr>
            <w:tcW w:w="900" w:type="dxa"/>
            <w:shd w:val="clear" w:color="auto" w:fill="auto"/>
            <w:noWrap/>
            <w:vAlign w:val="bottom"/>
            <w:hideMark/>
          </w:tcPr>
          <w:p w14:paraId="04C1300B"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 </w:t>
            </w:r>
          </w:p>
        </w:tc>
        <w:tc>
          <w:tcPr>
            <w:tcW w:w="940" w:type="dxa"/>
            <w:shd w:val="clear" w:color="auto" w:fill="auto"/>
            <w:noWrap/>
            <w:vAlign w:val="bottom"/>
            <w:hideMark/>
          </w:tcPr>
          <w:p w14:paraId="025CCD5F"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1.54</w:t>
            </w:r>
          </w:p>
        </w:tc>
        <w:tc>
          <w:tcPr>
            <w:tcW w:w="1040" w:type="dxa"/>
            <w:shd w:val="clear" w:color="auto" w:fill="auto"/>
            <w:noWrap/>
            <w:vAlign w:val="bottom"/>
            <w:hideMark/>
          </w:tcPr>
          <w:p w14:paraId="3D3F71E8" w14:textId="77777777" w:rsidR="00667EAB" w:rsidRPr="00D8526D" w:rsidRDefault="00667EAB" w:rsidP="0042609B">
            <w:pPr>
              <w:rPr>
                <w:rFonts w:ascii="Arial" w:eastAsia="Times New Roman" w:hAnsi="Arial" w:cs="Arial"/>
                <w:b/>
                <w:bCs/>
                <w:color w:val="000000"/>
                <w:sz w:val="22"/>
                <w:szCs w:val="22"/>
              </w:rPr>
            </w:pPr>
            <w:r w:rsidRPr="00D8526D">
              <w:rPr>
                <w:rFonts w:ascii="Arial" w:eastAsia="Times New Roman" w:hAnsi="Arial" w:cs="Arial"/>
                <w:b/>
                <w:bCs/>
                <w:color w:val="000000"/>
                <w:sz w:val="22"/>
                <w:szCs w:val="22"/>
              </w:rPr>
              <w:t>0.016988</w:t>
            </w:r>
          </w:p>
        </w:tc>
      </w:tr>
    </w:tbl>
    <w:p w14:paraId="459F1483" w14:textId="28F14B63" w:rsidR="00667EAB" w:rsidRPr="00162791" w:rsidRDefault="00667EAB" w:rsidP="00667EAB">
      <w:pPr>
        <w:spacing w:line="360" w:lineRule="auto"/>
        <w:rPr>
          <w:rFonts w:ascii="Arial" w:hAnsi="Arial" w:cs="Arial"/>
          <w:sz w:val="22"/>
          <w:szCs w:val="22"/>
        </w:rPr>
      </w:pPr>
      <w:r w:rsidRPr="00162791">
        <w:rPr>
          <w:rFonts w:ascii="Arial" w:hAnsi="Arial" w:cs="Arial"/>
          <w:sz w:val="22"/>
          <w:szCs w:val="22"/>
        </w:rPr>
        <w:lastRenderedPageBreak/>
        <w:t xml:space="preserve">*  </w:t>
      </w:r>
      <w:r w:rsidRPr="00162791">
        <w:rPr>
          <w:rFonts w:ascii="Arial" w:eastAsia="MS Mincho" w:hAnsi="Arial" w:cs="Arial"/>
          <w:sz w:val="22"/>
          <w:szCs w:val="22"/>
        </w:rPr>
        <w:t xml:space="preserve">Data represent findings from random </w:t>
      </w:r>
      <w:r>
        <w:rPr>
          <w:rFonts w:ascii="Arial" w:eastAsia="MS Mincho" w:hAnsi="Arial" w:cs="Arial"/>
          <w:sz w:val="22"/>
          <w:szCs w:val="22"/>
        </w:rPr>
        <w:t xml:space="preserve">GEE </w:t>
      </w:r>
      <w:r w:rsidRPr="00162791">
        <w:rPr>
          <w:rFonts w:ascii="Arial" w:eastAsia="MS Mincho" w:hAnsi="Arial" w:cs="Arial"/>
          <w:sz w:val="22"/>
          <w:szCs w:val="22"/>
        </w:rPr>
        <w:t xml:space="preserve">Poisson analyses sorted from low to high rate ratios (rr).  </w:t>
      </w:r>
      <w:r>
        <w:rPr>
          <w:rFonts w:ascii="Arial" w:eastAsia="MS Mincho" w:hAnsi="Arial" w:cs="Arial"/>
          <w:sz w:val="22"/>
          <w:szCs w:val="22"/>
        </w:rPr>
        <w:t xml:space="preserve">If statistical significance were achieved, </w:t>
      </w:r>
      <w:r>
        <w:rPr>
          <w:rFonts w:ascii="Arial" w:hAnsi="Arial" w:cs="Arial"/>
          <w:sz w:val="22"/>
          <w:szCs w:val="22"/>
        </w:rPr>
        <w:t>rr</w:t>
      </w:r>
      <w:r w:rsidRPr="00162791">
        <w:rPr>
          <w:rFonts w:ascii="Arial" w:hAnsi="Arial" w:cs="Arial"/>
          <w:sz w:val="22"/>
          <w:szCs w:val="22"/>
        </w:rPr>
        <w:t xml:space="preserve"> </w:t>
      </w:r>
      <w:r>
        <w:rPr>
          <w:rFonts w:ascii="Arial" w:hAnsi="Arial" w:cs="Arial"/>
          <w:sz w:val="22"/>
          <w:szCs w:val="22"/>
        </w:rPr>
        <w:sym w:font="Symbol" w:char="F0A3"/>
      </w:r>
      <w:r w:rsidRPr="00162791">
        <w:rPr>
          <w:rFonts w:ascii="Arial" w:hAnsi="Arial" w:cs="Arial"/>
          <w:sz w:val="22"/>
          <w:szCs w:val="22"/>
        </w:rPr>
        <w:t xml:space="preserve"> 0.5 </w:t>
      </w:r>
      <w:r>
        <w:rPr>
          <w:rFonts w:ascii="Arial" w:hAnsi="Arial" w:cs="Arial"/>
          <w:sz w:val="22"/>
          <w:szCs w:val="22"/>
        </w:rPr>
        <w:t xml:space="preserve">would </w:t>
      </w:r>
      <w:r w:rsidRPr="00162791">
        <w:rPr>
          <w:rFonts w:ascii="Arial" w:hAnsi="Arial" w:cs="Arial"/>
          <w:sz w:val="22"/>
          <w:szCs w:val="22"/>
        </w:rPr>
        <w:t xml:space="preserve">indicate that immune measures that increase one standard deviation from the mean </w:t>
      </w:r>
      <w:r w:rsidR="00CA5283">
        <w:rPr>
          <w:rFonts w:ascii="Arial" w:hAnsi="Arial" w:cs="Arial"/>
          <w:sz w:val="22"/>
          <w:szCs w:val="22"/>
        </w:rPr>
        <w:t>z</w:t>
      </w:r>
      <w:r w:rsidR="00521B7A">
        <w:rPr>
          <w:rFonts w:ascii="Arial" w:hAnsi="Arial" w:cs="Arial"/>
          <w:sz w:val="22"/>
          <w:szCs w:val="22"/>
        </w:rPr>
        <w:t xml:space="preserve"> scores, as described in the methods, </w:t>
      </w:r>
      <w:r w:rsidRPr="00162791">
        <w:rPr>
          <w:rFonts w:ascii="Arial" w:hAnsi="Arial" w:cs="Arial"/>
          <w:sz w:val="22"/>
          <w:szCs w:val="22"/>
        </w:rPr>
        <w:t xml:space="preserve">are associated with </w:t>
      </w:r>
      <w:r>
        <w:rPr>
          <w:rFonts w:ascii="Arial" w:hAnsi="Arial" w:cs="Arial"/>
          <w:sz w:val="22"/>
          <w:szCs w:val="22"/>
        </w:rPr>
        <w:t xml:space="preserve">a protective effect, </w:t>
      </w:r>
      <w:r w:rsidRPr="00162791">
        <w:rPr>
          <w:rFonts w:ascii="Arial" w:hAnsi="Arial" w:cs="Arial"/>
          <w:sz w:val="22"/>
          <w:szCs w:val="22"/>
        </w:rPr>
        <w:t xml:space="preserve">while rr </w:t>
      </w:r>
      <w:r>
        <w:rPr>
          <w:rFonts w:ascii="Arial" w:hAnsi="Arial" w:cs="Arial"/>
          <w:sz w:val="22"/>
          <w:szCs w:val="22"/>
        </w:rPr>
        <w:sym w:font="Symbol" w:char="F0B3"/>
      </w:r>
      <w:r w:rsidRPr="00162791">
        <w:rPr>
          <w:rFonts w:ascii="Arial" w:hAnsi="Arial" w:cs="Arial"/>
          <w:sz w:val="22"/>
          <w:szCs w:val="22"/>
        </w:rPr>
        <w:t xml:space="preserve"> 1.0 </w:t>
      </w:r>
      <w:r>
        <w:rPr>
          <w:rFonts w:ascii="Arial" w:hAnsi="Arial" w:cs="Arial"/>
          <w:sz w:val="22"/>
          <w:szCs w:val="22"/>
        </w:rPr>
        <w:t xml:space="preserve">would </w:t>
      </w:r>
      <w:r w:rsidRPr="00162791">
        <w:rPr>
          <w:rFonts w:ascii="Arial" w:hAnsi="Arial" w:cs="Arial"/>
          <w:sz w:val="22"/>
          <w:szCs w:val="22"/>
        </w:rPr>
        <w:t xml:space="preserve">indicate </w:t>
      </w:r>
      <w:r>
        <w:rPr>
          <w:rFonts w:ascii="Arial" w:hAnsi="Arial" w:cs="Arial"/>
          <w:sz w:val="22"/>
          <w:szCs w:val="22"/>
        </w:rPr>
        <w:t>an</w:t>
      </w:r>
      <w:r w:rsidRPr="00162791">
        <w:rPr>
          <w:rFonts w:ascii="Arial" w:hAnsi="Arial" w:cs="Arial"/>
          <w:sz w:val="22"/>
          <w:szCs w:val="22"/>
        </w:rPr>
        <w:t xml:space="preserve"> increased risk for lesions</w:t>
      </w:r>
      <w:r>
        <w:rPr>
          <w:rFonts w:ascii="Arial" w:hAnsi="Arial" w:cs="Arial"/>
          <w:sz w:val="22"/>
          <w:szCs w:val="22"/>
        </w:rPr>
        <w:t xml:space="preserve">.  All study timepoints were included in the analyses.  </w:t>
      </w:r>
    </w:p>
    <w:p w14:paraId="02E2B0F9" w14:textId="77777777" w:rsidR="00667EAB" w:rsidRDefault="00667EAB" w:rsidP="00667EAB">
      <w:pPr>
        <w:spacing w:line="360" w:lineRule="auto"/>
        <w:rPr>
          <w:rFonts w:ascii="Arial" w:hAnsi="Arial" w:cs="Arial"/>
          <w:b/>
          <w:bCs/>
          <w:sz w:val="22"/>
          <w:szCs w:val="22"/>
        </w:rPr>
      </w:pPr>
    </w:p>
    <w:p w14:paraId="282F37E7" w14:textId="33FC289E" w:rsidR="00667EAB" w:rsidRDefault="00667EAB"/>
    <w:p w14:paraId="6BAF0100" w14:textId="33C64168" w:rsidR="00667EAB" w:rsidRDefault="00667EAB"/>
    <w:p w14:paraId="57C7F58B" w14:textId="2D23A944" w:rsidR="00667EAB" w:rsidRDefault="00667EAB"/>
    <w:p w14:paraId="4C217264" w14:textId="3A2E3441" w:rsidR="00667EAB" w:rsidRDefault="00667EAB"/>
    <w:p w14:paraId="199777DC" w14:textId="62DDE905" w:rsidR="00667EAB" w:rsidRDefault="00667EAB">
      <w:r>
        <w:br w:type="page"/>
      </w:r>
    </w:p>
    <w:p w14:paraId="40E23B22" w14:textId="77777777" w:rsidR="00667EAB" w:rsidRDefault="00667EAB" w:rsidP="00667EAB">
      <w:pPr>
        <w:spacing w:line="360" w:lineRule="auto"/>
        <w:rPr>
          <w:rFonts w:ascii="Arial" w:hAnsi="Arial" w:cs="Arial"/>
          <w:b/>
          <w:bCs/>
          <w:sz w:val="22"/>
          <w:szCs w:val="22"/>
        </w:rPr>
      </w:pPr>
      <w:r w:rsidRPr="00F27952">
        <w:rPr>
          <w:rFonts w:ascii="Arial" w:hAnsi="Arial" w:cs="Arial"/>
          <w:b/>
          <w:bCs/>
          <w:color w:val="000000" w:themeColor="text1"/>
          <w:kern w:val="24"/>
          <w:sz w:val="22"/>
          <w:szCs w:val="22"/>
        </w:rPr>
        <w:lastRenderedPageBreak/>
        <w:t>Figure S1</w:t>
      </w:r>
      <w:r w:rsidRPr="00F27952">
        <w:rPr>
          <w:rFonts w:ascii="Arial" w:hAnsi="Arial" w:cs="Arial"/>
          <w:bCs/>
          <w:color w:val="000000" w:themeColor="text1"/>
          <w:kern w:val="24"/>
          <w:sz w:val="22"/>
          <w:szCs w:val="22"/>
        </w:rPr>
        <w:t xml:space="preserve">:  </w:t>
      </w:r>
      <w:r w:rsidRPr="00F27952">
        <w:rPr>
          <w:rFonts w:ascii="Arial" w:hAnsi="Arial" w:cs="Arial"/>
          <w:b/>
          <w:bCs/>
          <w:sz w:val="22"/>
          <w:szCs w:val="22"/>
        </w:rPr>
        <w:t xml:space="preserve">Typical patterns of changes in lymphocyte and monocyte counts </w:t>
      </w:r>
      <w:r>
        <w:rPr>
          <w:rFonts w:ascii="Arial" w:hAnsi="Arial" w:cs="Arial"/>
          <w:b/>
          <w:bCs/>
          <w:sz w:val="22"/>
          <w:szCs w:val="22"/>
        </w:rPr>
        <w:t xml:space="preserve">assessed every six months </w:t>
      </w:r>
      <w:r w:rsidRPr="00F27952">
        <w:rPr>
          <w:rFonts w:ascii="Arial" w:hAnsi="Arial" w:cs="Arial"/>
          <w:b/>
          <w:bCs/>
          <w:sz w:val="22"/>
          <w:szCs w:val="22"/>
        </w:rPr>
        <w:t>following alemtuzumab treatment</w:t>
      </w:r>
      <w:r>
        <w:rPr>
          <w:rFonts w:ascii="Arial" w:hAnsi="Arial" w:cs="Arial"/>
          <w:b/>
          <w:bCs/>
          <w:sz w:val="22"/>
          <w:szCs w:val="22"/>
        </w:rPr>
        <w:t xml:space="preserve"> in whole blood assessed in clinical TBNK assays</w:t>
      </w:r>
      <w:r>
        <w:rPr>
          <w:rFonts w:ascii="Arial" w:hAnsi="Arial" w:cs="Arial"/>
          <w:sz w:val="22"/>
          <w:szCs w:val="22"/>
        </w:rPr>
        <w:t xml:space="preserve">. </w:t>
      </w:r>
      <w:r w:rsidRPr="00F27952">
        <w:rPr>
          <w:rFonts w:ascii="Arial" w:hAnsi="Arial" w:cs="Arial"/>
          <w:sz w:val="22"/>
          <w:szCs w:val="22"/>
        </w:rPr>
        <w:t xml:space="preserve"> Numbers of lymphocytes (panel A) and CD3+ T cells (panel B) were significantly reduced from M6 to M24 and M6-M36, respectively, while CD4+ T cell counts (panel C) remained reduced throughout M48.  CD8+ T cell counts (panel D) were reduced at M6, M18 and M24.  By contrast, CD19+ B cell (panel E), CD16+CD56+ NK cell (panel F) and monocyte counts (panel G) did not show significant changes over time.  </w:t>
      </w:r>
      <w:r w:rsidRPr="00F27952">
        <w:rPr>
          <w:rFonts w:ascii="Arial" w:hAnsi="Arial" w:cs="Arial"/>
          <w:bCs/>
          <w:sz w:val="22"/>
          <w:szCs w:val="22"/>
        </w:rPr>
        <w:t xml:space="preserve">Data </w:t>
      </w:r>
      <w:r>
        <w:rPr>
          <w:rFonts w:ascii="Arial" w:hAnsi="Arial" w:cs="Arial"/>
          <w:bCs/>
          <w:sz w:val="22"/>
          <w:szCs w:val="22"/>
        </w:rPr>
        <w:t xml:space="preserve">represent median/IQR values for all patients at each timepoint; open circles indicate data points for each individual patient.  P values indicate significant changes from baseline (M0) values as follows:  </w:t>
      </w:r>
      <w:r w:rsidRPr="00F27952">
        <w:rPr>
          <w:rFonts w:ascii="Arial" w:hAnsi="Arial" w:cs="Arial"/>
          <w:bCs/>
          <w:color w:val="000000" w:themeColor="text1"/>
          <w:kern w:val="24"/>
          <w:sz w:val="22"/>
          <w:szCs w:val="22"/>
        </w:rPr>
        <w:t xml:space="preserve">****p ≤ 0.0001, ***p ≤ 0.001, **p ≤ 0.01, * p ≤ 0.05; mixed effects ANOVA with Tukey’s corrections for multiple comparisons. </w:t>
      </w:r>
    </w:p>
    <w:p w14:paraId="420362B0" w14:textId="77777777" w:rsidR="00667EAB" w:rsidRDefault="00667EAB" w:rsidP="00667EAB">
      <w:pPr>
        <w:spacing w:line="360" w:lineRule="auto"/>
        <w:rPr>
          <w:rFonts w:ascii="Arial" w:hAnsi="Arial" w:cs="Arial"/>
          <w:b/>
          <w:bCs/>
          <w:color w:val="000000" w:themeColor="text1"/>
          <w:kern w:val="24"/>
          <w:sz w:val="22"/>
          <w:szCs w:val="22"/>
        </w:rPr>
      </w:pPr>
    </w:p>
    <w:p w14:paraId="16EDE3E4" w14:textId="77777777" w:rsidR="00667EAB" w:rsidRDefault="00667EAB" w:rsidP="00667EAB">
      <w:pPr>
        <w:spacing w:line="360" w:lineRule="auto"/>
        <w:rPr>
          <w:rFonts w:ascii="Arial" w:hAnsi="Arial" w:cs="Arial"/>
          <w:b/>
          <w:bCs/>
          <w:sz w:val="22"/>
          <w:szCs w:val="22"/>
        </w:rPr>
      </w:pPr>
      <w:r>
        <w:rPr>
          <w:rFonts w:ascii="Arial" w:hAnsi="Arial" w:cs="Arial"/>
          <w:b/>
          <w:bCs/>
          <w:color w:val="000000" w:themeColor="text1"/>
          <w:kern w:val="24"/>
          <w:sz w:val="22"/>
          <w:szCs w:val="22"/>
        </w:rPr>
        <w:t>Figure S2:</w:t>
      </w:r>
      <w:r w:rsidRPr="00564A74">
        <w:rPr>
          <w:rFonts w:ascii="Arial" w:hAnsi="Arial" w:cs="Arial"/>
          <w:b/>
          <w:bCs/>
          <w:sz w:val="22"/>
          <w:szCs w:val="22"/>
        </w:rPr>
        <w:t xml:space="preserve"> </w:t>
      </w:r>
      <w:r>
        <w:rPr>
          <w:rFonts w:ascii="Arial" w:hAnsi="Arial" w:cs="Arial"/>
          <w:b/>
          <w:bCs/>
          <w:sz w:val="22"/>
          <w:szCs w:val="22"/>
        </w:rPr>
        <w:t xml:space="preserve"> Expanded characteristics of Treg phenotypes in PBMC.  </w:t>
      </w:r>
      <w:r w:rsidRPr="0087299F">
        <w:rPr>
          <w:rFonts w:ascii="Arial" w:hAnsi="Arial" w:cs="Arial"/>
          <w:sz w:val="22"/>
          <w:szCs w:val="22"/>
        </w:rPr>
        <w:t>The</w:t>
      </w:r>
      <w:r w:rsidRPr="00F27952">
        <w:rPr>
          <w:rFonts w:ascii="Arial" w:hAnsi="Arial" w:cs="Arial"/>
          <w:bCs/>
          <w:sz w:val="22"/>
          <w:szCs w:val="22"/>
        </w:rPr>
        <w:t xml:space="preserve"> majority of CD4+CD25</w:t>
      </w:r>
      <w:r w:rsidRPr="00F27952">
        <w:rPr>
          <w:rFonts w:ascii="Arial" w:hAnsi="Arial" w:cs="Arial"/>
          <w:bCs/>
          <w:sz w:val="22"/>
          <w:szCs w:val="22"/>
          <w:vertAlign w:val="superscript"/>
        </w:rPr>
        <w:t>hi</w:t>
      </w:r>
      <w:r w:rsidRPr="00F27952">
        <w:rPr>
          <w:rFonts w:ascii="Arial" w:hAnsi="Arial" w:cs="Arial"/>
          <w:bCs/>
          <w:sz w:val="22"/>
          <w:szCs w:val="22"/>
        </w:rPr>
        <w:t xml:space="preserve">foxP3+ Tregs expressed CD39 and increased modestly, but significantly at M5 (panel </w:t>
      </w:r>
      <w:r>
        <w:rPr>
          <w:rFonts w:ascii="Arial" w:hAnsi="Arial" w:cs="Arial"/>
          <w:bCs/>
          <w:sz w:val="22"/>
          <w:szCs w:val="22"/>
        </w:rPr>
        <w:t>A</w:t>
      </w:r>
      <w:r w:rsidRPr="00F27952">
        <w:rPr>
          <w:rFonts w:ascii="Arial" w:hAnsi="Arial" w:cs="Arial"/>
          <w:bCs/>
          <w:sz w:val="22"/>
          <w:szCs w:val="22"/>
        </w:rPr>
        <w:t xml:space="preserve">), though CD39 was expressed on both foxP3+ (panel </w:t>
      </w:r>
      <w:r>
        <w:rPr>
          <w:rFonts w:ascii="Arial" w:hAnsi="Arial" w:cs="Arial"/>
          <w:bCs/>
          <w:sz w:val="22"/>
          <w:szCs w:val="22"/>
        </w:rPr>
        <w:t>B</w:t>
      </w:r>
      <w:r w:rsidRPr="00F27952">
        <w:rPr>
          <w:rFonts w:ascii="Arial" w:hAnsi="Arial" w:cs="Arial"/>
          <w:bCs/>
          <w:sz w:val="22"/>
          <w:szCs w:val="22"/>
        </w:rPr>
        <w:t xml:space="preserve">) and foxP3 negative (panel </w:t>
      </w:r>
      <w:r>
        <w:rPr>
          <w:rFonts w:ascii="Arial" w:hAnsi="Arial" w:cs="Arial"/>
          <w:bCs/>
          <w:sz w:val="22"/>
          <w:szCs w:val="22"/>
        </w:rPr>
        <w:t>C</w:t>
      </w:r>
      <w:r w:rsidRPr="00F27952">
        <w:rPr>
          <w:rFonts w:ascii="Arial" w:hAnsi="Arial" w:cs="Arial"/>
          <w:bCs/>
          <w:sz w:val="22"/>
          <w:szCs w:val="22"/>
        </w:rPr>
        <w:t>) CD4+ T cells and showed a pattern of increase over time similar to classical Tregs (</w:t>
      </w:r>
      <w:r>
        <w:rPr>
          <w:rFonts w:ascii="Arial" w:hAnsi="Arial" w:cs="Arial"/>
          <w:bCs/>
          <w:sz w:val="22"/>
          <w:szCs w:val="22"/>
        </w:rPr>
        <w:t xml:space="preserve">Figure 1, </w:t>
      </w:r>
      <w:r w:rsidRPr="00F27952">
        <w:rPr>
          <w:rFonts w:ascii="Arial" w:hAnsi="Arial" w:cs="Arial"/>
          <w:bCs/>
          <w:sz w:val="22"/>
          <w:szCs w:val="22"/>
        </w:rPr>
        <w:t xml:space="preserve">panel </w:t>
      </w:r>
      <w:r>
        <w:rPr>
          <w:rFonts w:ascii="Arial" w:hAnsi="Arial" w:cs="Arial"/>
          <w:bCs/>
          <w:sz w:val="22"/>
          <w:szCs w:val="22"/>
        </w:rPr>
        <w:t>B</w:t>
      </w:r>
      <w:r w:rsidRPr="00F27952">
        <w:rPr>
          <w:rFonts w:ascii="Arial" w:hAnsi="Arial" w:cs="Arial"/>
          <w:bCs/>
          <w:sz w:val="22"/>
          <w:szCs w:val="22"/>
        </w:rPr>
        <w:t>).  In addition, CD39 bearing Tregs were largely represented in CD4+CD25</w:t>
      </w:r>
      <w:r w:rsidRPr="00F27952">
        <w:rPr>
          <w:rFonts w:ascii="Arial" w:hAnsi="Arial" w:cs="Arial"/>
          <w:bCs/>
          <w:sz w:val="22"/>
          <w:szCs w:val="22"/>
          <w:vertAlign w:val="superscript"/>
        </w:rPr>
        <w:t>hi</w:t>
      </w:r>
      <w:r w:rsidRPr="00F27952">
        <w:rPr>
          <w:rFonts w:ascii="Arial" w:hAnsi="Arial" w:cs="Arial"/>
          <w:bCs/>
          <w:sz w:val="22"/>
          <w:szCs w:val="22"/>
        </w:rPr>
        <w:t xml:space="preserve"> </w:t>
      </w:r>
      <w:r>
        <w:rPr>
          <w:rFonts w:ascii="Arial" w:hAnsi="Arial" w:cs="Arial"/>
          <w:bCs/>
          <w:sz w:val="22"/>
          <w:szCs w:val="22"/>
        </w:rPr>
        <w:t xml:space="preserve">gated </w:t>
      </w:r>
      <w:r w:rsidRPr="00F27952">
        <w:rPr>
          <w:rFonts w:ascii="Arial" w:hAnsi="Arial" w:cs="Arial"/>
          <w:bCs/>
          <w:sz w:val="22"/>
          <w:szCs w:val="22"/>
        </w:rPr>
        <w:t xml:space="preserve">cells (panel </w:t>
      </w:r>
      <w:r>
        <w:rPr>
          <w:rFonts w:ascii="Arial" w:hAnsi="Arial" w:cs="Arial"/>
          <w:bCs/>
          <w:sz w:val="22"/>
          <w:szCs w:val="22"/>
        </w:rPr>
        <w:t>D</w:t>
      </w:r>
      <w:r w:rsidRPr="00F27952">
        <w:rPr>
          <w:rFonts w:ascii="Arial" w:hAnsi="Arial" w:cs="Arial"/>
          <w:bCs/>
          <w:sz w:val="22"/>
          <w:szCs w:val="22"/>
        </w:rPr>
        <w:t xml:space="preserve">), with little variability over time, while the percentage of CD39+ cells in </w:t>
      </w:r>
      <w:r>
        <w:rPr>
          <w:rFonts w:ascii="Arial" w:hAnsi="Arial" w:cs="Arial"/>
          <w:bCs/>
          <w:sz w:val="22"/>
          <w:szCs w:val="22"/>
        </w:rPr>
        <w:t xml:space="preserve">the </w:t>
      </w:r>
      <w:r w:rsidRPr="00F27952">
        <w:rPr>
          <w:rFonts w:ascii="Arial" w:hAnsi="Arial" w:cs="Arial"/>
          <w:bCs/>
          <w:sz w:val="22"/>
          <w:szCs w:val="22"/>
        </w:rPr>
        <w:t>CD4+CD25</w:t>
      </w:r>
      <w:r>
        <w:rPr>
          <w:rFonts w:ascii="Arial" w:hAnsi="Arial" w:cs="Arial"/>
          <w:bCs/>
          <w:sz w:val="22"/>
          <w:szCs w:val="22"/>
        </w:rPr>
        <w:t>-</w:t>
      </w:r>
      <w:r w:rsidRPr="00F27952">
        <w:rPr>
          <w:rFonts w:ascii="Arial" w:hAnsi="Arial" w:cs="Arial"/>
          <w:bCs/>
          <w:sz w:val="22"/>
          <w:szCs w:val="22"/>
        </w:rPr>
        <w:t xml:space="preserve"> </w:t>
      </w:r>
      <w:r>
        <w:rPr>
          <w:rFonts w:ascii="Arial" w:hAnsi="Arial" w:cs="Arial"/>
          <w:bCs/>
          <w:sz w:val="22"/>
          <w:szCs w:val="22"/>
        </w:rPr>
        <w:t xml:space="preserve">gate </w:t>
      </w:r>
      <w:r w:rsidRPr="00F27952">
        <w:rPr>
          <w:rFonts w:ascii="Arial" w:hAnsi="Arial" w:cs="Arial"/>
          <w:bCs/>
          <w:sz w:val="22"/>
          <w:szCs w:val="22"/>
        </w:rPr>
        <w:t xml:space="preserve">was increased at M5 and M11 (panel </w:t>
      </w:r>
      <w:r>
        <w:rPr>
          <w:rFonts w:ascii="Arial" w:hAnsi="Arial" w:cs="Arial"/>
          <w:bCs/>
          <w:sz w:val="22"/>
          <w:szCs w:val="22"/>
        </w:rPr>
        <w:t>E</w:t>
      </w:r>
      <w:r w:rsidRPr="00F27952">
        <w:rPr>
          <w:rFonts w:ascii="Arial" w:hAnsi="Arial" w:cs="Arial"/>
          <w:bCs/>
          <w:sz w:val="22"/>
          <w:szCs w:val="22"/>
        </w:rPr>
        <w:t xml:space="preserve">).  The majority of CD4+foxP3+ Tregs expressed the memory T cell marker CD45RO (panel </w:t>
      </w:r>
      <w:r>
        <w:rPr>
          <w:rFonts w:ascii="Arial" w:hAnsi="Arial" w:cs="Arial"/>
          <w:bCs/>
          <w:sz w:val="22"/>
          <w:szCs w:val="22"/>
        </w:rPr>
        <w:t>F</w:t>
      </w:r>
      <w:r w:rsidRPr="00F27952">
        <w:rPr>
          <w:rFonts w:ascii="Arial" w:hAnsi="Arial" w:cs="Arial"/>
          <w:bCs/>
          <w:sz w:val="22"/>
          <w:szCs w:val="22"/>
        </w:rPr>
        <w:t xml:space="preserve">) </w:t>
      </w:r>
      <w:r>
        <w:rPr>
          <w:rFonts w:ascii="Arial" w:hAnsi="Arial" w:cs="Arial"/>
          <w:bCs/>
          <w:sz w:val="22"/>
          <w:szCs w:val="22"/>
        </w:rPr>
        <w:t xml:space="preserve">and increased significantly at M5 and M23, </w:t>
      </w:r>
      <w:r w:rsidRPr="00F27952">
        <w:rPr>
          <w:rFonts w:ascii="Arial" w:hAnsi="Arial" w:cs="Arial"/>
          <w:bCs/>
          <w:sz w:val="22"/>
          <w:szCs w:val="22"/>
        </w:rPr>
        <w:t xml:space="preserve">while the percentage of CD45RA+ naïve T cells was reduced at M5 and M23 (panel </w:t>
      </w:r>
      <w:r>
        <w:rPr>
          <w:rFonts w:ascii="Arial" w:hAnsi="Arial" w:cs="Arial"/>
          <w:bCs/>
          <w:sz w:val="22"/>
          <w:szCs w:val="22"/>
        </w:rPr>
        <w:t>G</w:t>
      </w:r>
      <w:r w:rsidRPr="00F27952">
        <w:rPr>
          <w:rFonts w:ascii="Arial" w:hAnsi="Arial" w:cs="Arial"/>
          <w:bCs/>
          <w:sz w:val="22"/>
          <w:szCs w:val="22"/>
        </w:rPr>
        <w:t xml:space="preserve">).  Data </w:t>
      </w:r>
      <w:r>
        <w:rPr>
          <w:rFonts w:ascii="Arial" w:hAnsi="Arial" w:cs="Arial"/>
          <w:bCs/>
          <w:sz w:val="22"/>
          <w:szCs w:val="22"/>
        </w:rPr>
        <w:t xml:space="preserve">represent median/IQR values for all patients at each timepoint; open circles indicate data points for each individual patient.  P values indicate significant changes from baseline (M0) values as follows:  </w:t>
      </w:r>
      <w:r w:rsidRPr="00F27952">
        <w:rPr>
          <w:rFonts w:ascii="Arial" w:hAnsi="Arial" w:cs="Arial"/>
          <w:bCs/>
          <w:color w:val="000000" w:themeColor="text1"/>
          <w:kern w:val="24"/>
          <w:sz w:val="22"/>
          <w:szCs w:val="22"/>
        </w:rPr>
        <w:t xml:space="preserve">****p ≤ 0.0001, ***p ≤ 0.001, **p ≤ 0.01, * p ≤ 0.05; mixed effects ANOVA with Tukey’s corrections for multiple comparisons. </w:t>
      </w:r>
    </w:p>
    <w:p w14:paraId="3F4C4F29" w14:textId="77777777" w:rsidR="00667EAB" w:rsidRDefault="00667EAB" w:rsidP="00667EAB">
      <w:pPr>
        <w:spacing w:line="360" w:lineRule="auto"/>
        <w:rPr>
          <w:rFonts w:ascii="Arial" w:hAnsi="Arial" w:cs="Arial"/>
          <w:b/>
          <w:bCs/>
          <w:color w:val="000000" w:themeColor="text1"/>
          <w:kern w:val="24"/>
          <w:sz w:val="22"/>
          <w:szCs w:val="22"/>
        </w:rPr>
      </w:pPr>
    </w:p>
    <w:p w14:paraId="6D85AD9C" w14:textId="77777777" w:rsidR="00667EAB" w:rsidRDefault="00667EAB" w:rsidP="00667EAB">
      <w:pPr>
        <w:spacing w:line="360" w:lineRule="auto"/>
        <w:rPr>
          <w:rFonts w:ascii="Arial" w:hAnsi="Arial" w:cs="Arial"/>
          <w:b/>
          <w:bCs/>
          <w:sz w:val="22"/>
          <w:szCs w:val="22"/>
        </w:rPr>
      </w:pPr>
      <w:r>
        <w:rPr>
          <w:rFonts w:ascii="Arial" w:hAnsi="Arial" w:cs="Arial"/>
          <w:b/>
          <w:bCs/>
          <w:color w:val="000000" w:themeColor="text1"/>
          <w:kern w:val="24"/>
          <w:sz w:val="22"/>
          <w:szCs w:val="22"/>
        </w:rPr>
        <w:t xml:space="preserve">Figure S3:  Changes in </w:t>
      </w:r>
      <w:r>
        <w:rPr>
          <w:rFonts w:ascii="Arial" w:hAnsi="Arial" w:cs="Arial"/>
          <w:b/>
          <w:bCs/>
          <w:sz w:val="22"/>
          <w:szCs w:val="22"/>
        </w:rPr>
        <w:t>n</w:t>
      </w:r>
      <w:r w:rsidRPr="00F27952">
        <w:rPr>
          <w:rFonts w:ascii="Arial" w:hAnsi="Arial" w:cs="Arial"/>
          <w:b/>
          <w:bCs/>
          <w:sz w:val="22"/>
          <w:szCs w:val="22"/>
        </w:rPr>
        <w:t>aïve and memory CD4+ T cell subsets in whole blood following alemtuzumab treatment.</w:t>
      </w:r>
      <w:r w:rsidRPr="00F27952">
        <w:rPr>
          <w:rFonts w:ascii="Arial" w:hAnsi="Arial" w:cs="Arial"/>
          <w:sz w:val="22"/>
          <w:szCs w:val="22"/>
        </w:rPr>
        <w:t xml:space="preserve">  Panel A reveals significant sparing or expansion in the percentage of </w:t>
      </w:r>
      <w:r>
        <w:rPr>
          <w:rFonts w:ascii="Arial" w:hAnsi="Arial" w:cs="Arial"/>
          <w:sz w:val="22"/>
          <w:szCs w:val="22"/>
        </w:rPr>
        <w:t xml:space="preserve">total </w:t>
      </w:r>
      <w:r w:rsidRPr="00F27952">
        <w:rPr>
          <w:rFonts w:ascii="Arial" w:hAnsi="Arial" w:cs="Arial"/>
          <w:sz w:val="22"/>
          <w:szCs w:val="22"/>
        </w:rPr>
        <w:t xml:space="preserve">CD4+CD45RO+ memory T cells at M5 and M17, and panel B shows reductions in CD4+CD45RA+ naïve T cells at the same time points.  </w:t>
      </w:r>
      <w:r>
        <w:rPr>
          <w:rFonts w:ascii="Arial" w:hAnsi="Arial" w:cs="Arial"/>
          <w:sz w:val="22"/>
          <w:szCs w:val="22"/>
        </w:rPr>
        <w:t xml:space="preserve">Panel C: CD4+CD27+CD45RA+ naïve T cells.  Panel D:  CD4+CD27+CD45RA- central memory T cells (TCM).  Panel E:  CD4+CD27-CD45RA- effector memory T cells (TEM).  Panel F:  CD4+CD27-CD45RA+ new effector T cells (new Teff).   </w:t>
      </w:r>
      <w:r w:rsidRPr="00F27952">
        <w:rPr>
          <w:rFonts w:ascii="Arial" w:hAnsi="Arial" w:cs="Arial"/>
          <w:bCs/>
          <w:sz w:val="22"/>
          <w:szCs w:val="22"/>
        </w:rPr>
        <w:t xml:space="preserve">Data </w:t>
      </w:r>
      <w:r>
        <w:rPr>
          <w:rFonts w:ascii="Arial" w:hAnsi="Arial" w:cs="Arial"/>
          <w:bCs/>
          <w:sz w:val="22"/>
          <w:szCs w:val="22"/>
        </w:rPr>
        <w:t xml:space="preserve">represent median/IQR values for all patients at each timepoint; open circles indicate data points for each individual patient.  P values indicate significant changes from </w:t>
      </w:r>
      <w:r>
        <w:rPr>
          <w:rFonts w:ascii="Arial" w:hAnsi="Arial" w:cs="Arial"/>
          <w:bCs/>
          <w:sz w:val="22"/>
          <w:szCs w:val="22"/>
        </w:rPr>
        <w:lastRenderedPageBreak/>
        <w:t xml:space="preserve">baseline (M0) values as follows:  </w:t>
      </w:r>
      <w:r w:rsidRPr="00F27952">
        <w:rPr>
          <w:rFonts w:ascii="Arial" w:hAnsi="Arial" w:cs="Arial"/>
          <w:bCs/>
          <w:color w:val="000000" w:themeColor="text1"/>
          <w:kern w:val="24"/>
          <w:sz w:val="22"/>
          <w:szCs w:val="22"/>
        </w:rPr>
        <w:t xml:space="preserve">****p ≤ 0.0001, ***p ≤ 0.001, **p ≤ 0.01, * p ≤ 0.05; mixed effects model ANOVA with Tukey’s corrections for multiple comparisons. </w:t>
      </w:r>
    </w:p>
    <w:p w14:paraId="3C623215" w14:textId="77777777" w:rsidR="00667EAB" w:rsidRDefault="00667EAB" w:rsidP="00667EAB">
      <w:pPr>
        <w:spacing w:line="360" w:lineRule="auto"/>
        <w:rPr>
          <w:rFonts w:ascii="Arial" w:hAnsi="Arial" w:cs="Arial"/>
          <w:b/>
          <w:bCs/>
          <w:color w:val="000000" w:themeColor="text1"/>
          <w:kern w:val="24"/>
          <w:sz w:val="22"/>
          <w:szCs w:val="22"/>
        </w:rPr>
      </w:pPr>
    </w:p>
    <w:p w14:paraId="1E282593" w14:textId="77777777" w:rsidR="00667EAB" w:rsidRDefault="00667EAB" w:rsidP="00667EAB">
      <w:pPr>
        <w:spacing w:line="360" w:lineRule="auto"/>
        <w:rPr>
          <w:rFonts w:ascii="Arial" w:hAnsi="Arial" w:cs="Arial"/>
          <w:bCs/>
          <w:color w:val="000000" w:themeColor="text1"/>
          <w:kern w:val="24"/>
          <w:sz w:val="22"/>
          <w:szCs w:val="22"/>
        </w:rPr>
      </w:pPr>
      <w:r>
        <w:rPr>
          <w:rFonts w:ascii="Arial" w:hAnsi="Arial" w:cs="Arial"/>
          <w:b/>
          <w:bCs/>
          <w:color w:val="000000" w:themeColor="text1"/>
          <w:kern w:val="24"/>
          <w:sz w:val="22"/>
          <w:szCs w:val="22"/>
        </w:rPr>
        <w:t>Figure S4:</w:t>
      </w:r>
      <w:r w:rsidRPr="00F27952">
        <w:rPr>
          <w:rFonts w:ascii="Arial" w:hAnsi="Arial" w:cs="Arial"/>
          <w:b/>
          <w:bCs/>
          <w:sz w:val="22"/>
          <w:szCs w:val="22"/>
        </w:rPr>
        <w:t xml:space="preserve">  Changes in cytokine secretion patterns in PBMC.  </w:t>
      </w:r>
      <w:r w:rsidRPr="00F27952">
        <w:rPr>
          <w:rFonts w:ascii="Arial" w:hAnsi="Arial" w:cs="Arial"/>
          <w:bCs/>
          <w:sz w:val="22"/>
          <w:szCs w:val="22"/>
        </w:rPr>
        <w:t>Panels A-D illustrate concentrations of cytokines measured in supernatants from PBMC collected at 48 hours following stimulation with PHA and assayed by CBA.  IL-2 (panel A) and IFN-</w:t>
      </w:r>
      <w:r>
        <w:rPr>
          <w:rFonts w:ascii="Arial" w:hAnsi="Arial" w:cs="Arial"/>
          <w:bCs/>
          <w:sz w:val="22"/>
          <w:szCs w:val="22"/>
        </w:rPr>
        <w:sym w:font="Symbol" w:char="F067"/>
      </w:r>
      <w:r w:rsidRPr="00F27952">
        <w:rPr>
          <w:rFonts w:ascii="Arial" w:hAnsi="Arial" w:cs="Arial"/>
          <w:bCs/>
          <w:sz w:val="22"/>
          <w:szCs w:val="22"/>
        </w:rPr>
        <w:t xml:space="preserve"> (panel B) were significantly reduced at all time points, while IL-17A was reduced at M5, M11 and M23, but not M17 (panel C).  IL-10 secretion (panel D) remained unchanged over time.  Data are expressed as </w:t>
      </w:r>
      <w:r>
        <w:rPr>
          <w:rFonts w:ascii="Arial" w:hAnsi="Arial" w:cs="Arial"/>
          <w:bCs/>
          <w:sz w:val="22"/>
          <w:szCs w:val="22"/>
        </w:rPr>
        <w:t>median/IQR</w:t>
      </w:r>
      <w:r w:rsidRPr="00F27952">
        <w:rPr>
          <w:rFonts w:ascii="Arial" w:hAnsi="Arial" w:cs="Arial"/>
          <w:bCs/>
          <w:sz w:val="22"/>
          <w:szCs w:val="22"/>
        </w:rPr>
        <w:t xml:space="preserve"> pg/mL. </w:t>
      </w:r>
      <w:r w:rsidRPr="00F27952">
        <w:rPr>
          <w:rFonts w:ascii="Arial" w:hAnsi="Arial" w:cs="Arial"/>
          <w:bCs/>
          <w:kern w:val="24"/>
          <w:sz w:val="22"/>
          <w:szCs w:val="22"/>
        </w:rPr>
        <w:t xml:space="preserve">****p ≤ 0.0001, ***p ≤ 0.001, **p ≤ 0.01, * p ≤ 0.05; compared with M0 using </w:t>
      </w:r>
      <w:r>
        <w:rPr>
          <w:rFonts w:ascii="Arial" w:hAnsi="Arial" w:cs="Arial"/>
          <w:bCs/>
          <w:kern w:val="24"/>
          <w:sz w:val="22"/>
          <w:szCs w:val="22"/>
        </w:rPr>
        <w:t>Kruskal-Wallis test</w:t>
      </w:r>
      <w:r w:rsidRPr="00F27952">
        <w:rPr>
          <w:rFonts w:ascii="Arial" w:hAnsi="Arial" w:cs="Arial"/>
          <w:bCs/>
          <w:kern w:val="24"/>
          <w:sz w:val="22"/>
          <w:szCs w:val="22"/>
        </w:rPr>
        <w:t xml:space="preserve">.  </w:t>
      </w:r>
      <w:r w:rsidRPr="00F27952">
        <w:rPr>
          <w:rFonts w:ascii="Arial" w:hAnsi="Arial" w:cs="Arial"/>
          <w:bCs/>
          <w:sz w:val="22"/>
          <w:szCs w:val="22"/>
        </w:rPr>
        <w:t xml:space="preserve"> Panels E-G illustrate findings from PBMC subjected to overnight stimulation with PMA/calcium ionophore in the presence of brefeldin A, followed by intracellular staining for IFN-</w:t>
      </w:r>
      <w:r>
        <w:rPr>
          <w:rFonts w:ascii="Arial" w:hAnsi="Arial" w:cs="Arial"/>
          <w:bCs/>
          <w:sz w:val="22"/>
          <w:szCs w:val="22"/>
        </w:rPr>
        <w:sym w:font="Symbol" w:char="F067"/>
      </w:r>
      <w:r w:rsidRPr="00F27952">
        <w:rPr>
          <w:rFonts w:ascii="Arial" w:hAnsi="Arial" w:cs="Arial"/>
          <w:bCs/>
          <w:sz w:val="22"/>
          <w:szCs w:val="22"/>
        </w:rPr>
        <w:t xml:space="preserve"> and IL-17A to identify percentages of Th1 and Th17 cells, respectively.  For these analyses, viable lymphocytes were gated on CD4+ (panels E &amp; F) or CD4 negative (panel G) cells.  The percentage of CD4+IFN-</w:t>
      </w:r>
      <w:r>
        <w:rPr>
          <w:rFonts w:ascii="Arial" w:hAnsi="Arial" w:cs="Arial"/>
          <w:bCs/>
          <w:sz w:val="22"/>
          <w:szCs w:val="22"/>
        </w:rPr>
        <w:sym w:font="Symbol" w:char="F067"/>
      </w:r>
      <w:r w:rsidRPr="00F27952">
        <w:rPr>
          <w:rFonts w:ascii="Arial" w:hAnsi="Arial" w:cs="Arial"/>
          <w:bCs/>
          <w:sz w:val="22"/>
          <w:szCs w:val="22"/>
        </w:rPr>
        <w:t>+ Th1 cells increased significantly at M0 (panel E), with no change at remaining time points, while the percentage of CD4+IL-17A+ Th17 cells was low (panel F) and showed no clear trends for reduction over time.  The percentage of IFN-</w:t>
      </w:r>
      <w:r>
        <w:rPr>
          <w:rFonts w:ascii="Arial" w:hAnsi="Arial" w:cs="Arial"/>
          <w:bCs/>
          <w:sz w:val="22"/>
          <w:szCs w:val="22"/>
        </w:rPr>
        <w:sym w:font="Symbol" w:char="F067"/>
      </w:r>
      <w:r w:rsidRPr="00F27952">
        <w:rPr>
          <w:rFonts w:ascii="Arial" w:hAnsi="Arial" w:cs="Arial"/>
          <w:bCs/>
          <w:sz w:val="22"/>
          <w:szCs w:val="22"/>
        </w:rPr>
        <w:t xml:space="preserve"> producing cells in CD4 negative PBMC remained unchanged at all time points (panel G)</w:t>
      </w:r>
      <w:r>
        <w:rPr>
          <w:rFonts w:ascii="Arial" w:hAnsi="Arial" w:cs="Arial"/>
          <w:bCs/>
          <w:sz w:val="22"/>
          <w:szCs w:val="22"/>
        </w:rPr>
        <w:t xml:space="preserve">.  </w:t>
      </w:r>
      <w:r w:rsidRPr="00F27952">
        <w:rPr>
          <w:rFonts w:ascii="Arial" w:hAnsi="Arial" w:cs="Arial"/>
          <w:bCs/>
          <w:sz w:val="22"/>
          <w:szCs w:val="22"/>
        </w:rPr>
        <w:t xml:space="preserve">Data </w:t>
      </w:r>
      <w:r>
        <w:rPr>
          <w:rFonts w:ascii="Arial" w:hAnsi="Arial" w:cs="Arial"/>
          <w:bCs/>
          <w:sz w:val="22"/>
          <w:szCs w:val="22"/>
        </w:rPr>
        <w:t xml:space="preserve">represent median/IQR for all patients at each timepoint; open circles indicate data points for each individual patient.  P values indicate significant changes from baseline (M0) values as follows:  </w:t>
      </w:r>
      <w:r w:rsidRPr="00F27952">
        <w:rPr>
          <w:rFonts w:ascii="Arial" w:hAnsi="Arial" w:cs="Arial"/>
          <w:bCs/>
          <w:color w:val="000000" w:themeColor="text1"/>
          <w:kern w:val="24"/>
          <w:sz w:val="22"/>
          <w:szCs w:val="22"/>
        </w:rPr>
        <w:t xml:space="preserve">****p ≤ 0.0001, ***p ≤ 0.001, **p ≤ 0.01, * p ≤ 0.05; mixed effects ANOVA with Tukey’s corrections for multiple comparisons. </w:t>
      </w:r>
    </w:p>
    <w:p w14:paraId="053638FF" w14:textId="77777777" w:rsidR="00667EAB" w:rsidRPr="002B301F" w:rsidRDefault="00667EAB" w:rsidP="00667EAB">
      <w:pPr>
        <w:spacing w:line="360" w:lineRule="auto"/>
        <w:rPr>
          <w:rFonts w:ascii="Arial" w:hAnsi="Arial" w:cs="Arial"/>
          <w:color w:val="000000" w:themeColor="text1"/>
          <w:kern w:val="24"/>
          <w:sz w:val="22"/>
          <w:szCs w:val="22"/>
        </w:rPr>
      </w:pPr>
    </w:p>
    <w:p w14:paraId="0C3531C8" w14:textId="77777777" w:rsidR="00667EAB" w:rsidRDefault="00667EAB" w:rsidP="00667EAB">
      <w:pPr>
        <w:spacing w:line="360" w:lineRule="auto"/>
        <w:rPr>
          <w:rFonts w:ascii="Arial" w:hAnsi="Arial" w:cs="Arial"/>
          <w:bCs/>
          <w:sz w:val="22"/>
          <w:szCs w:val="22"/>
        </w:rPr>
      </w:pPr>
      <w:r>
        <w:rPr>
          <w:rFonts w:ascii="Arial" w:hAnsi="Arial" w:cs="Arial"/>
          <w:b/>
          <w:bCs/>
          <w:color w:val="000000" w:themeColor="text1"/>
          <w:kern w:val="24"/>
          <w:sz w:val="22"/>
          <w:szCs w:val="22"/>
        </w:rPr>
        <w:t xml:space="preserve">Figure S5:  Analyses of additional lymphocyte subsets stratified for active vs stable disease or presence and absence of secondary autoimmune disease.  </w:t>
      </w:r>
      <w:r w:rsidRPr="00F27952">
        <w:rPr>
          <w:rFonts w:ascii="Arial" w:hAnsi="Arial" w:cs="Arial"/>
          <w:bCs/>
          <w:sz w:val="22"/>
          <w:szCs w:val="22"/>
        </w:rPr>
        <w:t xml:space="preserve">Data </w:t>
      </w:r>
      <w:r>
        <w:rPr>
          <w:rFonts w:ascii="Arial" w:hAnsi="Arial" w:cs="Arial"/>
          <w:bCs/>
          <w:sz w:val="22"/>
          <w:szCs w:val="22"/>
        </w:rPr>
        <w:t xml:space="preserve">represent median/IQR values; closed symbols indicate patients with active disease or presence of secondary autoimmunity, open symbols indicate patients with stable disease or without secondary autoimmunity.  Differences over time between subjects were not statistically significant (linear mixed effects model for repeated measures).  </w:t>
      </w:r>
    </w:p>
    <w:p w14:paraId="6FC38066" w14:textId="77777777" w:rsidR="00667EAB" w:rsidRDefault="00667EAB" w:rsidP="00667EAB">
      <w:pPr>
        <w:spacing w:line="360" w:lineRule="auto"/>
        <w:rPr>
          <w:rFonts w:ascii="Arial" w:hAnsi="Arial" w:cs="Arial"/>
          <w:bCs/>
          <w:sz w:val="22"/>
          <w:szCs w:val="22"/>
        </w:rPr>
      </w:pPr>
    </w:p>
    <w:p w14:paraId="3A21B27B" w14:textId="77777777" w:rsidR="00667EAB" w:rsidRDefault="00667EAB" w:rsidP="00667EAB">
      <w:pPr>
        <w:spacing w:line="360" w:lineRule="auto"/>
      </w:pPr>
      <w:r w:rsidRPr="009C63CA">
        <w:rPr>
          <w:rFonts w:ascii="Arial" w:hAnsi="Arial" w:cs="Arial"/>
          <w:b/>
          <w:sz w:val="22"/>
          <w:szCs w:val="22"/>
        </w:rPr>
        <w:t>Figure S6</w:t>
      </w:r>
      <w:r>
        <w:rPr>
          <w:rFonts w:ascii="Arial" w:hAnsi="Arial" w:cs="Arial"/>
          <w:bCs/>
          <w:sz w:val="22"/>
          <w:szCs w:val="22"/>
        </w:rPr>
        <w:t xml:space="preserve">:  </w:t>
      </w:r>
      <w:r>
        <w:rPr>
          <w:rFonts w:ascii="Arial" w:hAnsi="Arial" w:cs="Arial"/>
          <w:b/>
          <w:bCs/>
          <w:sz w:val="22"/>
          <w:szCs w:val="22"/>
        </w:rPr>
        <w:t xml:space="preserve">Lack of significant differences in percentages of CD4+CD25+CD127+foxP3- Teff cells stratified for patients with and without relapses (top three panels) or evidence of lesion activity on MRI (bottom three panels).  </w:t>
      </w:r>
      <w:r w:rsidRPr="00E07897">
        <w:rPr>
          <w:rFonts w:ascii="Arial" w:hAnsi="Arial" w:cs="Arial"/>
          <w:sz w:val="22"/>
          <w:szCs w:val="22"/>
        </w:rPr>
        <w:t>The</w:t>
      </w:r>
      <w:r w:rsidRPr="008B0015">
        <w:rPr>
          <w:rFonts w:ascii="Arial" w:hAnsi="Arial" w:cs="Arial"/>
          <w:sz w:val="22"/>
          <w:szCs w:val="22"/>
        </w:rPr>
        <w:t xml:space="preserve"> left</w:t>
      </w:r>
      <w:r>
        <w:rPr>
          <w:rFonts w:ascii="Arial" w:hAnsi="Arial" w:cs="Arial"/>
          <w:sz w:val="22"/>
          <w:szCs w:val="22"/>
        </w:rPr>
        <w:t xml:space="preserve"> panels (A&amp;D) in each row illustrate between subjects comparisons, while the middle panels illustrate individual data for patients with relapses (panel B) or lesions (panel E).  The right panels show individual data for patients </w:t>
      </w:r>
      <w:r>
        <w:rPr>
          <w:rFonts w:ascii="Arial" w:hAnsi="Arial" w:cs="Arial"/>
          <w:sz w:val="22"/>
          <w:szCs w:val="22"/>
        </w:rPr>
        <w:lastRenderedPageBreak/>
        <w:t xml:space="preserve">with no relapses (panel C) or lesions (panel F).  There was a trend for higher Teff in patients with relapses and lesions, but between and within group analyses did not reveal statistically significant differences (linear effects model for repeated measures).     </w:t>
      </w:r>
    </w:p>
    <w:p w14:paraId="39C8E20A" w14:textId="77777777" w:rsidR="00667EAB" w:rsidRDefault="00667EAB" w:rsidP="00667EAB">
      <w:pPr>
        <w:spacing w:line="360" w:lineRule="auto"/>
      </w:pPr>
    </w:p>
    <w:p w14:paraId="6A946CCD" w14:textId="77777777" w:rsidR="00667EAB" w:rsidRDefault="00667EAB" w:rsidP="00667EAB">
      <w:pPr>
        <w:spacing w:line="360" w:lineRule="auto"/>
      </w:pPr>
    </w:p>
    <w:p w14:paraId="5B1EE623" w14:textId="77777777" w:rsidR="00667EAB" w:rsidRDefault="00667EAB" w:rsidP="00667EAB">
      <w:pPr>
        <w:spacing w:line="360" w:lineRule="auto"/>
        <w:rPr>
          <w:rFonts w:ascii="Arial" w:hAnsi="Arial" w:cs="Arial"/>
          <w:sz w:val="22"/>
          <w:szCs w:val="22"/>
        </w:rPr>
      </w:pPr>
    </w:p>
    <w:p w14:paraId="4B6FBB9C" w14:textId="77777777" w:rsidR="00667EAB" w:rsidRPr="00F27952" w:rsidRDefault="00667EAB" w:rsidP="00667EAB">
      <w:pPr>
        <w:spacing w:line="360" w:lineRule="auto"/>
        <w:rPr>
          <w:rFonts w:ascii="Arial" w:hAnsi="Arial" w:cs="Arial"/>
          <w:sz w:val="22"/>
          <w:szCs w:val="22"/>
        </w:rPr>
      </w:pPr>
      <w:r>
        <w:rPr>
          <w:rFonts w:ascii="Arial" w:hAnsi="Arial" w:cs="Arial"/>
          <w:color w:val="000000" w:themeColor="text1"/>
          <w:sz w:val="22"/>
          <w:szCs w:val="22"/>
        </w:rPr>
        <w:t xml:space="preserve"> </w:t>
      </w:r>
    </w:p>
    <w:p w14:paraId="76414432" w14:textId="77777777" w:rsidR="00667EAB" w:rsidRDefault="00667EAB"/>
    <w:sectPr w:rsidR="00667EAB" w:rsidSect="00034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EAB"/>
    <w:rsid w:val="00034077"/>
    <w:rsid w:val="00521B7A"/>
    <w:rsid w:val="00597930"/>
    <w:rsid w:val="00667EAB"/>
    <w:rsid w:val="009478A1"/>
    <w:rsid w:val="00CA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D6FB27"/>
  <w15:chartTrackingRefBased/>
  <w15:docId w15:val="{6D2CE9DC-36FF-5C46-8CCC-F8071E36B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7E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7E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 Wendy</dc:creator>
  <cp:keywords/>
  <dc:description/>
  <cp:lastModifiedBy>W G</cp:lastModifiedBy>
  <cp:revision>2</cp:revision>
  <dcterms:created xsi:type="dcterms:W3CDTF">2020-07-22T16:53:00Z</dcterms:created>
  <dcterms:modified xsi:type="dcterms:W3CDTF">2020-07-22T16:53:00Z</dcterms:modified>
</cp:coreProperties>
</file>