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19" w:rsidRDefault="00543619" w:rsidP="00543619"/>
    <w:p w:rsidR="00543619" w:rsidRDefault="00543619" w:rsidP="0054361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sz w:val="18"/>
          <w:szCs w:val="18"/>
        </w:rPr>
      </w:pPr>
      <w:bookmarkStart w:id="0" w:name="_4d34og8" w:colFirst="0" w:colLast="0"/>
      <w:bookmarkEnd w:id="0"/>
      <w:r>
        <w:rPr>
          <w:rFonts w:ascii="Calibri" w:eastAsia="Calibri" w:hAnsi="Calibri" w:cs="Calibri"/>
          <w:b/>
          <w:noProof/>
          <w:sz w:val="18"/>
          <w:szCs w:val="18"/>
          <w:lang w:eastAsia="en-PH"/>
        </w:rPr>
        <w:drawing>
          <wp:inline distT="114300" distB="114300" distL="114300" distR="114300" wp14:anchorId="69747E6C" wp14:editId="3522E481">
            <wp:extent cx="5759140" cy="1308100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18"/>
          <w:szCs w:val="18"/>
        </w:rPr>
        <w:t xml:space="preserve">Additional file 2 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– </w:t>
      </w:r>
      <w:proofErr w:type="spellStart"/>
      <w:r>
        <w:rPr>
          <w:rFonts w:ascii="Calibri" w:eastAsia="Calibri" w:hAnsi="Calibri" w:cs="Calibri"/>
          <w:b/>
          <w:color w:val="000000"/>
          <w:sz w:val="18"/>
          <w:szCs w:val="18"/>
        </w:rPr>
        <w:t>Optogenetic</w:t>
      </w:r>
      <w:proofErr w:type="spellEnd"/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depolarization mildly affects microglia baseline properties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. (A) Superimposed images of the same microglia at two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timepoints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one minute apart showing process movement during surveillance (purple, retracted; blue, extended and gray stable processes). (B-C) Relative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color w:val="000000"/>
          <w:sz w:val="18"/>
          <w:szCs w:val="18"/>
        </w:rPr>
        <w:t>icroglia ramification (B) and surveillance index (C) over the time course of 50 min (ChETA_480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color w:val="000000"/>
          <w:sz w:val="18"/>
          <w:szCs w:val="18"/>
        </w:rPr>
        <w:t>n = 4 microglia</w:t>
      </w:r>
      <w:r>
        <w:rPr>
          <w:rFonts w:ascii="Calibri" w:eastAsia="Calibri" w:hAnsi="Calibri" w:cs="Calibri"/>
          <w:sz w:val="18"/>
          <w:szCs w:val="18"/>
        </w:rPr>
        <w:t xml:space="preserve"> in </w:t>
      </w:r>
      <w:r>
        <w:rPr>
          <w:rFonts w:ascii="Calibri" w:eastAsia="Calibri" w:hAnsi="Calibri" w:cs="Calibri"/>
          <w:color w:val="000000"/>
          <w:sz w:val="18"/>
          <w:szCs w:val="18"/>
        </w:rPr>
        <w:t>3 slices, control_480, n = 8 micr</w:t>
      </w:r>
      <w:r>
        <w:rPr>
          <w:rFonts w:ascii="Calibri" w:eastAsia="Calibri" w:hAnsi="Calibri" w:cs="Calibri"/>
          <w:sz w:val="18"/>
          <w:szCs w:val="18"/>
        </w:rPr>
        <w:t>oglia in 5 slices</w:t>
      </w:r>
      <w:r>
        <w:rPr>
          <w:rFonts w:ascii="Calibri" w:eastAsia="Calibri" w:hAnsi="Calibri" w:cs="Calibri"/>
          <w:color w:val="000000"/>
          <w:sz w:val="18"/>
          <w:szCs w:val="18"/>
        </w:rPr>
        <w:t>). Light application (20 min with 480 nm) was started after 10 min of baseline recording. S</w:t>
      </w:r>
      <w:r>
        <w:rPr>
          <w:rFonts w:ascii="Calibri" w:eastAsia="Calibri" w:hAnsi="Calibri" w:cs="Calibri"/>
          <w:sz w:val="18"/>
          <w:szCs w:val="18"/>
        </w:rPr>
        <w:t>tatistical analysis: Two-way ANOVA with Bonferroni post-hoc comparison (*p &lt; 0.05) (D) Overview table of relative ramification and surveillance indices in the 10 min before light application and the first 10 minutes of light application (Average ± SEM).</w:t>
      </w:r>
    </w:p>
    <w:p w:rsidR="00543619" w:rsidRDefault="00543619">
      <w:bookmarkStart w:id="1" w:name="_GoBack"/>
      <w:bookmarkEnd w:id="1"/>
    </w:p>
    <w:sectPr w:rsidR="005436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19"/>
    <w:rsid w:val="000752AB"/>
    <w:rsid w:val="0054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2020-12-19T08:02:00Z</dcterms:created>
  <dcterms:modified xsi:type="dcterms:W3CDTF">2020-12-19T08:02:00Z</dcterms:modified>
</cp:coreProperties>
</file>