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21" w:rsidRDefault="00CE0721" w:rsidP="00CE0721">
      <w:pPr>
        <w:rPr>
          <w:rFonts w:ascii="Calibri" w:eastAsia="Calibri" w:hAnsi="Calibri" w:cs="Calibri"/>
          <w:color w:val="0000FF"/>
          <w:sz w:val="18"/>
          <w:szCs w:val="18"/>
          <w:highlight w:val="white"/>
        </w:rPr>
      </w:pPr>
    </w:p>
    <w:p w:rsidR="00CE0721" w:rsidRDefault="00CE0721" w:rsidP="00CE0721">
      <w:pPr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noProof/>
          <w:color w:val="0000FF"/>
          <w:sz w:val="18"/>
          <w:szCs w:val="18"/>
          <w:highlight w:val="white"/>
          <w:lang w:eastAsia="en-PH"/>
        </w:rPr>
        <w:drawing>
          <wp:inline distT="114300" distB="114300" distL="114300" distR="114300" wp14:anchorId="0369F2C7" wp14:editId="12937804">
            <wp:extent cx="3304858" cy="3950251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4858" cy="3950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0721" w:rsidRDefault="00CE0721" w:rsidP="00CE0721">
      <w:pPr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b/>
          <w:sz w:val="18"/>
          <w:szCs w:val="18"/>
        </w:rPr>
        <w:t>Additional file 5</w:t>
      </w:r>
      <w:r>
        <w:rPr>
          <w:rFonts w:ascii="Calibri" w:eastAsia="Calibri" w:hAnsi="Calibri" w:cs="Calibri"/>
          <w:b/>
          <w:sz w:val="18"/>
          <w:szCs w:val="18"/>
          <w:highlight w:val="white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b/>
          <w:sz w:val="18"/>
          <w:szCs w:val="18"/>
          <w:highlight w:val="white"/>
        </w:rPr>
        <w:t xml:space="preserve"> activation during laser damage does not further increase hyperpolarization and has no effect on laser-damage induced chemotactic responses.</w:t>
      </w:r>
      <w:r>
        <w:rPr>
          <w:rFonts w:ascii="Calibri" w:eastAsia="Calibri" w:hAnsi="Calibri" w:cs="Calibri"/>
          <w:sz w:val="18"/>
          <w:szCs w:val="18"/>
          <w:highlight w:val="white"/>
        </w:rPr>
        <w:t xml:space="preserve"> (a) Schematic drawing of a chemotactic microglia response. (b) ATP-mediated hyperpolarization in microglia. Red line: Average time course. (c)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light- induced hyperpolarization. (d) Combination of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induced hyperpolarization with laser-damage response. (e) Chemotactic response over time while constantly applying light during acquisition of stacks. (n = 9 (5 female, 4 male)) (f) T1/2 of microglia responses in control and </w:t>
      </w:r>
      <w:proofErr w:type="spellStart"/>
      <w:r>
        <w:rPr>
          <w:rFonts w:ascii="Calibri" w:eastAsia="Calibri" w:hAnsi="Calibri" w:cs="Calibri"/>
          <w:sz w:val="18"/>
          <w:szCs w:val="18"/>
          <w:highlight w:val="white"/>
        </w:rPr>
        <w:t>ArchT</w:t>
      </w:r>
      <w:proofErr w:type="spellEnd"/>
      <w:r>
        <w:rPr>
          <w:rFonts w:ascii="Calibri" w:eastAsia="Calibri" w:hAnsi="Calibri" w:cs="Calibri"/>
          <w:sz w:val="18"/>
          <w:szCs w:val="18"/>
          <w:highlight w:val="white"/>
        </w:rPr>
        <w:t xml:space="preserve"> expressing cultures. </w:t>
      </w:r>
    </w:p>
    <w:p w:rsidR="00CE0721" w:rsidRDefault="00CE0721">
      <w:bookmarkStart w:id="0" w:name="_GoBack"/>
      <w:bookmarkEnd w:id="0"/>
    </w:p>
    <w:sectPr w:rsidR="00CE07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21"/>
    <w:rsid w:val="000752AB"/>
    <w:rsid w:val="00C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2020-12-19T08:03:00Z</dcterms:created>
  <dcterms:modified xsi:type="dcterms:W3CDTF">2020-12-19T08:03:00Z</dcterms:modified>
</cp:coreProperties>
</file>