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C6" w:rsidRPr="00306D07" w:rsidRDefault="00E4746A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D0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8061913" wp14:editId="4CFCD5FA">
            <wp:extent cx="5272405" cy="1814830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C6" w:rsidRPr="00306D07" w:rsidRDefault="00E4746A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gramStart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Supplementary Fig 1.</w:t>
      </w:r>
      <w:proofErr w:type="gramEnd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Rotenone dose-dependently reduces the </w:t>
      </w:r>
      <w:r w:rsidRPr="00306D07">
        <w:rPr>
          <w:rFonts w:ascii="Times New Roman" w:hAnsi="Times New Roman" w:cs="Times New Roman"/>
          <w:b/>
          <w:color w:val="0000FF"/>
          <w:kern w:val="0"/>
          <w:sz w:val="24"/>
          <w:szCs w:val="24"/>
        </w:rPr>
        <w:t>expression</w:t>
      </w:r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of PSD-95 in CA1, CA2 and CA3 regions of mice.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Quantitative analysis 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PSD95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immunostaining density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 CA1 (A), CA2 (B) and CA3 (C) regions of mice.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**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&lt; 0.01.</w:t>
      </w: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E90095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270500" cy="30099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69C6" w:rsidRPr="00306D07" w:rsidRDefault="00E4746A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gramStart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Supplementary Fig 2.</w:t>
      </w:r>
      <w:proofErr w:type="gramEnd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The effects of </w:t>
      </w:r>
      <w:bookmarkStart w:id="1" w:name="_Hlk43282159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PLX3397 and minocycline </w:t>
      </w:r>
      <w:bookmarkEnd w:id="1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on microglial number and activation, respectively.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(A)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Mice were </w:t>
      </w:r>
      <w:r w:rsidR="00E90095" w:rsidRPr="00E9009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administered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with PLX3397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</w:t>
      </w:r>
      <w:r w:rsidRPr="00306D07">
        <w:rPr>
          <w:rFonts w:ascii="Times New Roman" w:hAnsi="Times New Roman" w:cs="Times New Roman"/>
          <w:b/>
          <w:color w:val="0000FF"/>
          <w:sz w:val="24"/>
          <w:szCs w:val="24"/>
        </w:rPr>
        <w:t>40 mg/kg/day</w:t>
      </w:r>
      <w:r w:rsidRPr="00306D07">
        <w:rPr>
          <w:rFonts w:ascii="Times New Roman" w:hAnsi="Times New Roman" w:cs="Times New Roman"/>
          <w:b/>
          <w:color w:val="0000FF"/>
          <w:sz w:val="24"/>
          <w:szCs w:val="24"/>
        </w:rPr>
        <w:t>) by gavage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for 1 week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t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he representative images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Iba-1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immunostaining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were shown. (B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C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Quantitative analysis 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Iba-1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+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cell number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b/>
          <w:color w:val="0000FF"/>
          <w:sz w:val="24"/>
          <w:szCs w:val="24"/>
        </w:rPr>
        <w:t>n = 3.</w:t>
      </w:r>
      <w:r w:rsidRPr="00306D0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(D)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he representative images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Iba-1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immunostaining in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rotenone-treated mice with or without minocycline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were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shown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(E, F)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Quantitative analysis 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Iba-1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immunostaining density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b/>
          <w:color w:val="0000FF"/>
          <w:sz w:val="24"/>
          <w:szCs w:val="24"/>
        </w:rPr>
        <w:t>n = 5.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* * p &lt;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0.01; Scale bar= 50 </w:t>
      </w:r>
      <w:proofErr w:type="spell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μm</w:t>
      </w:r>
      <w:proofErr w:type="spell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69C6" w:rsidRPr="00306D07" w:rsidRDefault="00E4746A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D0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432A70C" wp14:editId="463F36E6">
            <wp:extent cx="5262880" cy="197675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C6" w:rsidRPr="00306D07" w:rsidRDefault="00E4746A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gramStart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Supplementary Fig 3.</w:t>
      </w:r>
      <w:proofErr w:type="gramEnd"/>
      <w:r w:rsidRPr="00306D07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PLX3397 and minocycline attenuate rotenone-induced reduction of PSD95 in CA1, CA2 and CA3 regions of mice.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Quantitative analysis of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PSD95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immunostaining density 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 CA1 (A), CA2 (B) and CA3 (C) regions of</w:t>
      </w:r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mice.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** </w:t>
      </w:r>
      <w:proofErr w:type="gramStart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</w:t>
      </w:r>
      <w:proofErr w:type="gramEnd"/>
      <w:r w:rsidRPr="00306D0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&lt; 0.01.</w:t>
      </w: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306D07" w:rsidRPr="00306D07" w:rsidRDefault="00306D07" w:rsidP="00306D07">
      <w:pPr>
        <w:pStyle w:val="HTML"/>
        <w:widowControl/>
        <w:adjustRightInd w:val="0"/>
        <w:snapToGrid w:val="0"/>
        <w:spacing w:line="480" w:lineRule="auto"/>
        <w:jc w:val="center"/>
        <w:rPr>
          <w:rFonts w:ascii="Times New Roman" w:hAnsi="Times New Roman" w:hint="default"/>
        </w:rPr>
      </w:pPr>
      <w:r w:rsidRPr="00306D07">
        <w:rPr>
          <w:rFonts w:ascii="Times New Roman" w:hAnsi="Times New Roman" w:hint="default"/>
          <w:noProof/>
        </w:rPr>
        <w:lastRenderedPageBreak/>
        <w:drawing>
          <wp:inline distT="0" distB="0" distL="114300" distR="114300" wp14:anchorId="0229F099" wp14:editId="1DFFC54C">
            <wp:extent cx="3302000" cy="196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  <w:proofErr w:type="gramStart"/>
      <w:r w:rsidRPr="00306D07">
        <w:rPr>
          <w:rFonts w:ascii="Times New Roman" w:eastAsiaTheme="minorEastAsia" w:hAnsi="Times New Roman" w:hint="default"/>
          <w:b/>
          <w:color w:val="000000" w:themeColor="text1"/>
          <w:kern w:val="2"/>
        </w:rPr>
        <w:t>Supplementary Fig 4.</w:t>
      </w:r>
      <w:proofErr w:type="gramEnd"/>
      <w:r w:rsidRPr="00306D07">
        <w:rPr>
          <w:rFonts w:ascii="Times New Roman" w:eastAsiaTheme="minorEastAsia" w:hAnsi="Times New Roman" w:hint="default"/>
          <w:b/>
          <w:color w:val="000000" w:themeColor="text1"/>
          <w:kern w:val="2"/>
        </w:rPr>
        <w:t xml:space="preserve"> PLX3397 and minocycline attenuate rotenone-induced neuronal damage in mice.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 The representative images (40×) of PSD95 immunostaining in rotenone-treated mice with or without PLX3397 and minocycline were shown. </w:t>
      </w:r>
      <w:r>
        <w:rPr>
          <w:rFonts w:ascii="Times New Roman" w:hAnsi="Times New Roman"/>
          <w:color w:val="000000" w:themeColor="text1"/>
          <w:szCs w:val="24"/>
        </w:rPr>
        <w:t>n=5-6</w:t>
      </w:r>
      <w:r>
        <w:rPr>
          <w:rFonts w:ascii="Times New Roman" w:hAnsi="Times New Roman"/>
          <w:color w:val="000000" w:themeColor="text1"/>
          <w:szCs w:val="24"/>
        </w:rPr>
        <w:t xml:space="preserve">; 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Scale bar= 100 </w:t>
      </w:r>
      <w:proofErr w:type="spellStart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μm</w:t>
      </w:r>
      <w:proofErr w:type="spellEnd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.</w:t>
      </w: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/>
          <w:color w:val="000000" w:themeColor="text1"/>
          <w:kern w:val="2"/>
        </w:rPr>
      </w:pPr>
    </w:p>
    <w:p w:rsidR="00306D07" w:rsidRPr="00306D07" w:rsidRDefault="00306D07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 w:hint="default"/>
          <w:color w:val="000000" w:themeColor="text1"/>
          <w:kern w:val="2"/>
        </w:rPr>
      </w:pPr>
    </w:p>
    <w:p w:rsidR="00A769C6" w:rsidRPr="00306D07" w:rsidRDefault="00A769C6" w:rsidP="00306D0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769C6" w:rsidRPr="00306D07" w:rsidRDefault="00E4746A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hAnsi="Times New Roman" w:hint="default"/>
        </w:rPr>
      </w:pPr>
      <w:r w:rsidRPr="00306D07">
        <w:rPr>
          <w:rFonts w:ascii="Times New Roman" w:hAnsi="Times New Roman" w:hint="default"/>
          <w:noProof/>
        </w:rPr>
        <w:lastRenderedPageBreak/>
        <w:drawing>
          <wp:inline distT="0" distB="0" distL="114300" distR="114300" wp14:anchorId="7840B26D" wp14:editId="6509EAD1">
            <wp:extent cx="5274310" cy="1816735"/>
            <wp:effectExtent l="0" t="0" r="8890" b="1206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2">
                      <a:lum bright="18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9C6" w:rsidRPr="00306D07" w:rsidRDefault="00E4746A" w:rsidP="00306D07">
      <w:pPr>
        <w:pStyle w:val="HTML"/>
        <w:widowControl/>
        <w:adjustRightInd w:val="0"/>
        <w:snapToGrid w:val="0"/>
        <w:spacing w:line="480" w:lineRule="auto"/>
        <w:rPr>
          <w:rFonts w:ascii="Times New Roman" w:eastAsiaTheme="minorEastAsia" w:hAnsi="Times New Roman" w:hint="default"/>
          <w:color w:val="000000" w:themeColor="text1"/>
          <w:kern w:val="2"/>
        </w:rPr>
      </w:pPr>
      <w:proofErr w:type="gramStart"/>
      <w:r w:rsidRPr="00306D07">
        <w:rPr>
          <w:rFonts w:ascii="Times New Roman" w:hAnsi="Times New Roman" w:hint="default"/>
          <w:b/>
          <w:color w:val="000000" w:themeColor="text1"/>
          <w:szCs w:val="24"/>
        </w:rPr>
        <w:t xml:space="preserve">Supplementary Fig </w:t>
      </w:r>
      <w:r w:rsidR="00306D07" w:rsidRPr="00306D07">
        <w:rPr>
          <w:rFonts w:ascii="Times New Roman" w:hAnsi="Times New Roman" w:hint="default"/>
          <w:b/>
          <w:color w:val="000000" w:themeColor="text1"/>
          <w:szCs w:val="24"/>
        </w:rPr>
        <w:t>5</w:t>
      </w:r>
      <w:r w:rsidRPr="00306D07">
        <w:rPr>
          <w:rFonts w:ascii="Times New Roman" w:hAnsi="Times New Roman" w:hint="default"/>
          <w:b/>
          <w:color w:val="000000" w:themeColor="text1"/>
          <w:szCs w:val="24"/>
        </w:rPr>
        <w:t>.</w:t>
      </w:r>
      <w:proofErr w:type="gramEnd"/>
      <w:r w:rsidRPr="00306D07">
        <w:rPr>
          <w:rFonts w:ascii="Times New Roman" w:hAnsi="Times New Roman" w:hint="default"/>
        </w:rPr>
        <w:t xml:space="preserve"> </w:t>
      </w:r>
      <w:proofErr w:type="gramStart"/>
      <w:r w:rsidRPr="00306D07">
        <w:rPr>
          <w:rFonts w:ascii="Times New Roman" w:hAnsi="Times New Roman" w:hint="default"/>
        </w:rPr>
        <w:t xml:space="preserve">The effects of PLX3397 and minocycline on </w:t>
      </w:r>
      <w:proofErr w:type="spellStart"/>
      <w:r w:rsidRPr="00306D07">
        <w:rPr>
          <w:rFonts w:ascii="Times New Roman" w:hAnsi="Times New Roman" w:hint="default"/>
        </w:rPr>
        <w:t>expession</w:t>
      </w:r>
      <w:proofErr w:type="spellEnd"/>
      <w:r w:rsidRPr="00306D07">
        <w:rPr>
          <w:rFonts w:ascii="Times New Roman" w:hAnsi="Times New Roman" w:hint="default"/>
        </w:rPr>
        <w:t xml:space="preserve"> of </w:t>
      </w:r>
      <w:proofErr w:type="spellStart"/>
      <w:r w:rsidRPr="00306D07">
        <w:rPr>
          <w:rFonts w:ascii="Times New Roman" w:hAnsi="Times New Roman" w:hint="default"/>
        </w:rPr>
        <w:t>iNOS</w:t>
      </w:r>
      <w:proofErr w:type="spellEnd"/>
      <w:r w:rsidRPr="00306D07">
        <w:rPr>
          <w:rFonts w:ascii="Times New Roman" w:hAnsi="Times New Roman" w:hint="default"/>
        </w:rPr>
        <w:t xml:space="preserve"> and Arg-1 in the midbrain of rotenone-treated mice.</w:t>
      </w:r>
      <w:proofErr w:type="gramEnd"/>
      <w:r w:rsidRPr="00306D07">
        <w:rPr>
          <w:rFonts w:ascii="Times New Roman" w:hAnsi="Times New Roman" w:hint="default"/>
        </w:rPr>
        <w:t xml:space="preserve"> 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(A) The expression</w:t>
      </w:r>
      <w:r w:rsidR="00306D07"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 level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s of </w:t>
      </w:r>
      <w:proofErr w:type="spellStart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iNOS</w:t>
      </w:r>
      <w:proofErr w:type="spellEnd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 and arginase-1 (Arg-1) were detected in the midbrain of 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mice treated with rotenone with or without PLX3397 and minocycline by using Western blot and the representative blots </w:t>
      </w:r>
      <w:proofErr w:type="gramStart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were</w:t>
      </w:r>
      <w:proofErr w:type="gramEnd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 shown. (B) The blots </w:t>
      </w:r>
      <w:proofErr w:type="gramStart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was</w:t>
      </w:r>
      <w:proofErr w:type="gramEnd"/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 quantified. </w:t>
      </w:r>
      <w:r w:rsidR="00306D07" w:rsidRPr="00306D07">
        <w:rPr>
          <w:rFonts w:ascii="Times New Roman" w:eastAsiaTheme="minorEastAsia" w:hAnsi="Times New Roman" w:hint="default"/>
          <w:color w:val="000000" w:themeColor="text1"/>
          <w:kern w:val="2"/>
        </w:rPr>
        <w:t xml:space="preserve">n=4; </w:t>
      </w:r>
      <w:r w:rsidRPr="00306D07">
        <w:rPr>
          <w:rFonts w:ascii="Times New Roman" w:eastAsiaTheme="minorEastAsia" w:hAnsi="Times New Roman" w:hint="default"/>
          <w:color w:val="000000" w:themeColor="text1"/>
          <w:kern w:val="2"/>
        </w:rPr>
        <w:t>*p &lt; 0.05, **p &lt; 0.01.</w:t>
      </w:r>
    </w:p>
    <w:p w:rsidR="00A769C6" w:rsidRPr="00306D07" w:rsidRDefault="00A769C6" w:rsidP="00306D07">
      <w:pPr>
        <w:spacing w:line="480" w:lineRule="auto"/>
        <w:rPr>
          <w:rFonts w:ascii="Times New Roman" w:hAnsi="Times New Roman" w:cs="Times New Roman"/>
        </w:rPr>
      </w:pPr>
    </w:p>
    <w:sectPr w:rsidR="00A769C6" w:rsidRPr="00306D07">
      <w:footerReference w:type="default" r:id="rId13"/>
      <w:pgSz w:w="11906" w:h="16838"/>
      <w:pgMar w:top="1440" w:right="1800" w:bottom="108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4746A">
      <w:r>
        <w:separator/>
      </w:r>
    </w:p>
  </w:endnote>
  <w:endnote w:type="continuationSeparator" w:id="0">
    <w:p w:rsidR="00000000" w:rsidRDefault="00E4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019834"/>
    </w:sdtPr>
    <w:sdtEndPr/>
    <w:sdtContent>
      <w:p w:rsidR="00A769C6" w:rsidRDefault="00E4746A">
        <w:pPr>
          <w:pStyle w:val="a4"/>
          <w:jc w:val="right"/>
        </w:pPr>
        <w:r>
          <w:fldChar w:fldCharType="begin"/>
        </w:r>
        <w:r>
          <w:instrText xml:space="preserve"> P</w:instrText>
        </w:r>
        <w:r>
          <w:instrText xml:space="preserve">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769C6" w:rsidRDefault="00A769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4746A">
      <w:r>
        <w:separator/>
      </w:r>
    </w:p>
  </w:footnote>
  <w:footnote w:type="continuationSeparator" w:id="0">
    <w:p w:rsidR="00000000" w:rsidRDefault="00E47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20"/>
    <w:rsid w:val="FDEF7D04"/>
    <w:rsid w:val="000B78A8"/>
    <w:rsid w:val="001B2020"/>
    <w:rsid w:val="002B67C9"/>
    <w:rsid w:val="00306D07"/>
    <w:rsid w:val="00A769C6"/>
    <w:rsid w:val="00CF24F0"/>
    <w:rsid w:val="00D43A91"/>
    <w:rsid w:val="00E4746A"/>
    <w:rsid w:val="00E778FA"/>
    <w:rsid w:val="00E90095"/>
    <w:rsid w:val="1D3D6FC8"/>
    <w:rsid w:val="2C926412"/>
    <w:rsid w:val="5340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266</Words>
  <Characters>1466</Characters>
  <Application>Microsoft Office Word</Application>
  <DocSecurity>0</DocSecurity>
  <Lines>12</Lines>
  <Paragraphs>3</Paragraphs>
  <ScaleCrop>false</ScaleCrop>
  <Company>HP Inc.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2020-08-17T11:59:00Z</dcterms:created>
  <dcterms:modified xsi:type="dcterms:W3CDTF">2020-12-15T06:00:00Z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