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186" w:rsidRDefault="00EF4F81">
      <w:pPr>
        <w:pBdr>
          <w:top w:val="nil"/>
          <w:left w:val="nil"/>
          <w:bottom w:val="nil"/>
          <w:right w:val="nil"/>
          <w:between w:val="nil"/>
        </w:pBdr>
        <w:spacing w:before="240" w:after="120" w:line="360" w:lineRule="auto"/>
        <w:rPr>
          <w:rFonts w:asciiTheme="majorBidi" w:eastAsia="Arial" w:hAnsiTheme="majorBidi" w:cstheme="majorBidi"/>
          <w:b/>
          <w:color w:val="000000"/>
          <w:szCs w:val="24"/>
          <w:lang w:val="en-US"/>
        </w:rPr>
      </w:pPr>
      <w:r>
        <w:rPr>
          <w:rFonts w:asciiTheme="majorBidi" w:eastAsia="Arial" w:hAnsiTheme="majorBidi" w:cstheme="majorBidi"/>
          <w:b/>
          <w:color w:val="000000"/>
          <w:szCs w:val="24"/>
          <w:lang w:val="en-US"/>
        </w:rPr>
        <w:t>SUPPLEMENTARY</w:t>
      </w:r>
    </w:p>
    <w:p w:rsidR="00173186" w:rsidRDefault="00EF4F81">
      <w:pPr>
        <w:spacing w:line="360" w:lineRule="auto"/>
        <w:rPr>
          <w:rFonts w:asciiTheme="majorBidi" w:hAnsiTheme="majorBidi" w:cstheme="majorBidi"/>
          <w:b/>
          <w:szCs w:val="24"/>
          <w:u w:val="single"/>
          <w:lang w:val="en-US"/>
        </w:rPr>
      </w:pPr>
      <w:r>
        <w:rPr>
          <w:rFonts w:asciiTheme="majorBidi" w:hAnsiTheme="majorBidi" w:cstheme="majorBidi"/>
          <w:b/>
          <w:szCs w:val="24"/>
          <w:u w:val="single"/>
          <w:lang w:val="en-US"/>
        </w:rPr>
        <w:t>Supplementary Experimental design</w:t>
      </w:r>
    </w:p>
    <w:p w:rsidR="00173186" w:rsidRDefault="00EF4F81">
      <w:pPr>
        <w:spacing w:line="360" w:lineRule="auto"/>
        <w:rPr>
          <w:rFonts w:asciiTheme="majorBidi" w:hAnsiTheme="majorBidi" w:cstheme="majorBidi"/>
          <w:bCs/>
          <w:szCs w:val="24"/>
          <w:lang w:val="en-US"/>
        </w:rPr>
      </w:pPr>
      <w:r>
        <w:rPr>
          <w:rFonts w:asciiTheme="majorBidi" w:hAnsiTheme="majorBidi" w:cstheme="majorBidi"/>
          <w:bCs/>
          <w:szCs w:val="24"/>
          <w:lang w:val="en-US"/>
        </w:rPr>
        <w:t>For the pilot study, pediatric mice (p21 ±1 day) did not receive any injury at ‘day 0’.</w:t>
      </w:r>
      <w:r>
        <w:rPr>
          <w:rFonts w:asciiTheme="majorBidi" w:hAnsiTheme="majorBidi" w:cstheme="majorBidi"/>
          <w:szCs w:val="24"/>
          <w:lang w:val="en-US"/>
        </w:rPr>
        <w:t xml:space="preserve"> </w:t>
      </w:r>
      <w:r>
        <w:rPr>
          <w:rFonts w:asciiTheme="majorBidi" w:hAnsiTheme="majorBidi" w:cstheme="majorBidi"/>
          <w:bCs/>
          <w:szCs w:val="24"/>
          <w:lang w:val="en-US"/>
        </w:rPr>
        <w:t xml:space="preserve">However, </w:t>
      </w:r>
      <w:r>
        <w:rPr>
          <w:rFonts w:asciiTheme="majorBidi" w:hAnsiTheme="majorBidi" w:cstheme="majorBidi"/>
          <w:szCs w:val="24"/>
          <w:lang w:val="en-US"/>
        </w:rPr>
        <w:t xml:space="preserve">a single i.p. injection of either LPS (1 mg/kg in 0.9% NaCl) or equivalent amount of vehicle solution (0.9% NaCl) at day 4 </w:t>
      </w:r>
      <w:r>
        <w:rPr>
          <w:rFonts w:asciiTheme="majorBidi" w:hAnsiTheme="majorBidi" w:cstheme="majorBidi"/>
          <w:bCs/>
          <w:szCs w:val="24"/>
          <w:lang w:val="en-US"/>
        </w:rPr>
        <w:t>(or p25 ±1 day) was administered</w:t>
      </w:r>
      <w:r>
        <w:rPr>
          <w:rFonts w:asciiTheme="majorBidi" w:hAnsiTheme="majorBidi" w:cstheme="majorBidi"/>
          <w:szCs w:val="24"/>
          <w:lang w:val="en-US"/>
        </w:rPr>
        <w:t xml:space="preserve">. Therefore, the study was comprised of two experimental groups: </w:t>
      </w:r>
      <w:r>
        <w:rPr>
          <w:rFonts w:asciiTheme="majorBidi" w:hAnsiTheme="majorBidi" w:cstheme="majorBidi"/>
          <w:bCs/>
          <w:szCs w:val="24"/>
          <w:lang w:val="en-US"/>
        </w:rPr>
        <w:t>Naïve+saline and Naïve+LPS</w:t>
      </w:r>
      <w:r>
        <w:rPr>
          <w:rFonts w:asciiTheme="majorBidi" w:hAnsiTheme="majorBidi" w:cstheme="majorBidi"/>
          <w:szCs w:val="24"/>
          <w:lang w:val="en-US"/>
        </w:rPr>
        <w:t>. Brain ti</w:t>
      </w:r>
      <w:r>
        <w:rPr>
          <w:rFonts w:asciiTheme="majorBidi" w:hAnsiTheme="majorBidi" w:cstheme="majorBidi"/>
          <w:szCs w:val="24"/>
          <w:lang w:val="en-US"/>
        </w:rPr>
        <w:t xml:space="preserve">ssue was collected at 8 d or at age p29 </w:t>
      </w:r>
      <w:r>
        <w:rPr>
          <w:rFonts w:asciiTheme="majorBidi" w:hAnsiTheme="majorBidi" w:cstheme="majorBidi"/>
          <w:bCs/>
          <w:szCs w:val="24"/>
          <w:lang w:val="en-US"/>
        </w:rPr>
        <w:t>±1 day</w:t>
      </w:r>
      <w:r>
        <w:rPr>
          <w:rFonts w:asciiTheme="majorBidi" w:hAnsiTheme="majorBidi" w:cstheme="majorBidi"/>
          <w:szCs w:val="24"/>
          <w:lang w:val="en-US"/>
        </w:rPr>
        <w:t xml:space="preserve"> (i.e. 4 d post-LPS) for flow cytometry</w:t>
      </w:r>
      <w:r>
        <w:rPr>
          <w:rFonts w:asciiTheme="majorBidi" w:hAnsiTheme="majorBidi" w:cstheme="majorBidi"/>
          <w:bCs/>
          <w:szCs w:val="24"/>
          <w:lang w:val="en-US"/>
        </w:rPr>
        <w:t xml:space="preserve">. </w:t>
      </w:r>
    </w:p>
    <w:p w:rsidR="00173186" w:rsidRDefault="00EF4F81">
      <w:pPr>
        <w:spacing w:line="360" w:lineRule="auto"/>
        <w:rPr>
          <w:rFonts w:asciiTheme="majorBidi" w:hAnsiTheme="majorBidi" w:cstheme="majorBidi"/>
          <w:b/>
          <w:szCs w:val="24"/>
          <w:u w:val="single"/>
          <w:lang w:val="en-US"/>
        </w:rPr>
      </w:pPr>
      <w:r>
        <w:rPr>
          <w:rFonts w:asciiTheme="majorBidi" w:hAnsiTheme="majorBidi" w:cstheme="majorBidi"/>
          <w:b/>
          <w:szCs w:val="24"/>
          <w:u w:val="single"/>
          <w:lang w:val="en-US"/>
        </w:rPr>
        <w:t>Supplementary Methods: Tissue collection and flow cytometry</w:t>
      </w:r>
    </w:p>
    <w:p w:rsidR="00173186" w:rsidRDefault="00EF4F81">
      <w:pPr>
        <w:spacing w:line="360" w:lineRule="auto"/>
        <w:rPr>
          <w:rFonts w:asciiTheme="majorBidi" w:hAnsiTheme="majorBidi" w:cstheme="majorBidi"/>
          <w:szCs w:val="24"/>
          <w:lang w:val="en-US"/>
        </w:rPr>
      </w:pPr>
      <w:r>
        <w:rPr>
          <w:rFonts w:asciiTheme="majorBidi" w:hAnsiTheme="majorBidi" w:cstheme="majorBidi"/>
          <w:szCs w:val="24"/>
          <w:lang w:val="en-US"/>
        </w:rPr>
        <w:t xml:space="preserve">Mice were euthanized at age p29 </w:t>
      </w:r>
      <w:r>
        <w:rPr>
          <w:rFonts w:asciiTheme="majorBidi" w:hAnsiTheme="majorBidi" w:cstheme="majorBidi"/>
          <w:bCs/>
          <w:szCs w:val="24"/>
          <w:lang w:val="en-US"/>
        </w:rPr>
        <w:t xml:space="preserve">±1 day </w:t>
      </w:r>
      <w:r>
        <w:rPr>
          <w:rFonts w:asciiTheme="majorBidi" w:hAnsiTheme="majorBidi" w:cstheme="majorBidi"/>
          <w:szCs w:val="24"/>
          <w:lang w:val="en-US"/>
        </w:rPr>
        <w:t>(i.e. 4 d post-LPS), with a single i.p. overdose of sodium pentobarbi</w:t>
      </w:r>
      <w:r>
        <w:rPr>
          <w:rFonts w:asciiTheme="majorBidi" w:hAnsiTheme="majorBidi" w:cstheme="majorBidi"/>
          <w:szCs w:val="24"/>
          <w:lang w:val="en-US"/>
        </w:rPr>
        <w:t xml:space="preserve">tone (Lethabarb; Virbac, Australia). Transcardial perfusion was performed with ice-cold sterile saline (0.9% NaCl w/v), to remove blood and flush out circulating leukocytes, followed by whole brain collection into chilled (10% FBS) FACS buffer on ice, for </w:t>
      </w:r>
      <w:r>
        <w:rPr>
          <w:rFonts w:asciiTheme="majorBidi" w:hAnsiTheme="majorBidi" w:cstheme="majorBidi"/>
          <w:szCs w:val="24"/>
          <w:lang w:val="en-US"/>
        </w:rPr>
        <w:t>subsequent flow cytometry (n=3/group). Samples were manually homogenized then incubated in digestion buffer (0.4 mg/ml Collagenase D and 0.02 mg/ml DNase I) at 37 °C for 30-45 min, with frequent pipetting to ensure tissue disruption. EDTA (5 mM, 5 min) was</w:t>
      </w:r>
      <w:r>
        <w:rPr>
          <w:rFonts w:asciiTheme="majorBidi" w:hAnsiTheme="majorBidi" w:cstheme="majorBidi"/>
          <w:szCs w:val="24"/>
          <w:lang w:val="en-US"/>
        </w:rPr>
        <w:t xml:space="preserve"> added to stop the enzymatic digestion. Digested brain tissue was then passed through a sterile 70 µm nylon mesh to remove undigested tissue debris, and suspended in 2% FBS FACS buffer. A Percoll</w:t>
      </w:r>
      <w:r>
        <w:rPr>
          <w:rFonts w:asciiTheme="majorBidi" w:hAnsiTheme="majorBidi" w:cstheme="majorBidi"/>
          <w:szCs w:val="24"/>
          <w:vertAlign w:val="superscript"/>
          <w:lang w:val="en-US"/>
        </w:rPr>
        <w:t>®</w:t>
      </w:r>
      <w:r>
        <w:rPr>
          <w:rFonts w:asciiTheme="majorBidi" w:hAnsiTheme="majorBidi" w:cstheme="majorBidi"/>
          <w:szCs w:val="24"/>
          <w:lang w:val="en-US"/>
        </w:rPr>
        <w:t xml:space="preserve"> gradient solution (70% and 30% in FACS buffer), centrifuged</w:t>
      </w:r>
      <w:r>
        <w:rPr>
          <w:rFonts w:asciiTheme="majorBidi" w:hAnsiTheme="majorBidi" w:cstheme="majorBidi"/>
          <w:szCs w:val="24"/>
          <w:lang w:val="en-US"/>
        </w:rPr>
        <w:t xml:space="preserve"> at 5250 g (30 min, 4 °C), was used to remove fatty debris (e.g. myelin) and red blood cells from the samples. After washing in FACS buffer, samples were stained with a cell marker antibody panel for detection of leukocytes and lymphocytes (protocol adapte</w:t>
      </w:r>
      <w:r>
        <w:rPr>
          <w:rFonts w:asciiTheme="majorBidi" w:hAnsiTheme="majorBidi" w:cstheme="majorBidi"/>
          <w:szCs w:val="24"/>
          <w:lang w:val="en-US"/>
        </w:rPr>
        <w:t xml:space="preserve">d from </w:t>
      </w:r>
      <w:r>
        <w:rPr>
          <w:rFonts w:asciiTheme="majorBidi" w:hAnsiTheme="majorBidi" w:cstheme="majorBidi"/>
          <w:szCs w:val="24"/>
          <w:lang w:val="en-US"/>
        </w:rPr>
        <w:fldChar w:fldCharType="begin">
          <w:fldData xml:space="preserve">PEVuZE5vdGU+PENpdGU+PEF1dGhvcj5IZW5yeTwvQXV0aG9yPjxZZWFyPjIwMDg8L1llYXI+PFJl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</w:fldData>
        </w:fldChar>
      </w:r>
      <w:r>
        <w:rPr>
          <w:rFonts w:asciiTheme="majorBidi" w:hAnsiTheme="majorBidi" w:cstheme="majorBidi"/>
          <w:szCs w:val="24"/>
          <w:lang w:val="en-US"/>
        </w:rPr>
        <w:instrText xml:space="preserve"> ADDIN EN.CITE </w:instrText>
      </w:r>
      <w:r>
        <w:rPr>
          <w:rFonts w:asciiTheme="majorBidi" w:hAnsiTheme="majorBidi" w:cstheme="majorBidi"/>
          <w:szCs w:val="24"/>
          <w:lang w:val="en-US"/>
        </w:rPr>
        <w:fldChar w:fldCharType="begin">
          <w:fldData xml:space="preserve">PEVuZE5vdGU+PENpdGU+PEF1dGhvcj5IZW5yeTwvQXV0aG9yPjxZZWFyPjIwMDg8L1llYXI+PFJl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</w:fldData>
        </w:fldChar>
      </w:r>
      <w:r>
        <w:rPr>
          <w:rFonts w:asciiTheme="majorBidi" w:hAnsiTheme="majorBidi" w:cstheme="majorBidi"/>
          <w:szCs w:val="24"/>
          <w:lang w:val="en-US"/>
        </w:rPr>
        <w:instrText xml:space="preserve"> ADDIN EN.CITE.DATA </w:instrText>
      </w:r>
      <w:r>
        <w:rPr>
          <w:rFonts w:asciiTheme="majorBidi" w:hAnsiTheme="majorBidi" w:cstheme="majorBidi"/>
          <w:szCs w:val="24"/>
          <w:lang w:val="en-US"/>
        </w:rPr>
      </w:r>
      <w:r>
        <w:rPr>
          <w:rFonts w:asciiTheme="majorBidi" w:hAnsiTheme="majorBidi" w:cstheme="majorBidi"/>
          <w:szCs w:val="24"/>
          <w:lang w:val="en-US"/>
        </w:rPr>
        <w:fldChar w:fldCharType="end"/>
      </w:r>
      <w:r>
        <w:rPr>
          <w:rFonts w:asciiTheme="majorBidi" w:hAnsiTheme="majorBidi" w:cstheme="majorBidi"/>
          <w:szCs w:val="24"/>
          <w:lang w:val="en-US"/>
        </w:rPr>
      </w:r>
      <w:r>
        <w:rPr>
          <w:rFonts w:asciiTheme="majorBidi" w:hAnsiTheme="majorBidi" w:cstheme="majorBidi"/>
          <w:szCs w:val="24"/>
          <w:lang w:val="en-US"/>
        </w:rPr>
        <w:fldChar w:fldCharType="separate"/>
      </w:r>
      <w:r>
        <w:rPr>
          <w:rFonts w:asciiTheme="majorBidi" w:hAnsiTheme="majorBidi" w:cstheme="majorBidi"/>
          <w:noProof/>
          <w:szCs w:val="24"/>
          <w:lang w:val="en-US"/>
        </w:rPr>
        <w:t>(Henry et al., 2008, Wohleb et al</w:t>
      </w:r>
      <w:r>
        <w:rPr>
          <w:rFonts w:asciiTheme="majorBidi" w:hAnsiTheme="majorBidi" w:cstheme="majorBidi"/>
          <w:noProof/>
          <w:szCs w:val="24"/>
          <w:lang w:val="en-US"/>
        </w:rPr>
        <w:t>., 2012)</w:t>
      </w:r>
      <w:r>
        <w:rPr>
          <w:rFonts w:asciiTheme="majorBidi" w:hAnsiTheme="majorBidi" w:cstheme="majorBidi"/>
          <w:szCs w:val="24"/>
          <w:lang w:val="en-US"/>
        </w:rPr>
        <w:fldChar w:fldCharType="end"/>
      </w:r>
      <w:r>
        <w:rPr>
          <w:rFonts w:asciiTheme="majorBidi" w:hAnsiTheme="majorBidi" w:cstheme="majorBidi"/>
          <w:szCs w:val="24"/>
          <w:lang w:val="en-US"/>
        </w:rPr>
        <w:t xml:space="preserve"> with several modifications). </w:t>
      </w:r>
    </w:p>
    <w:p w:rsidR="00173186" w:rsidRDefault="00EF4F81">
      <w:pPr>
        <w:spacing w:line="360" w:lineRule="auto"/>
        <w:rPr>
          <w:rFonts w:asciiTheme="majorBidi" w:hAnsiTheme="majorBidi" w:cstheme="majorBidi"/>
          <w:szCs w:val="24"/>
          <w:lang w:val="en-US"/>
        </w:rPr>
      </w:pPr>
      <w:r>
        <w:rPr>
          <w:rFonts w:asciiTheme="majorBidi" w:hAnsiTheme="majorBidi" w:cstheme="majorBidi"/>
          <w:szCs w:val="24"/>
          <w:lang w:val="en-US"/>
        </w:rPr>
        <w:t>Fc receptors were blocked by incubation (30 mi</w:t>
      </w:r>
      <w:r>
        <w:rPr>
          <w:rFonts w:asciiTheme="majorBidi" w:hAnsiTheme="majorBidi" w:cstheme="majorBidi"/>
          <w:szCs w:val="24"/>
          <w:lang w:val="en-US"/>
        </w:rPr>
        <w:t xml:space="preserve">n at 4 °C) with Trustain FcX (CD16/32) (Biolegend, San Diego, </w:t>
      </w:r>
      <w:r>
        <w:rPr>
          <w:rFonts w:asciiTheme="majorBidi" w:hAnsiTheme="majorBidi" w:cstheme="majorBidi"/>
          <w:szCs w:val="24"/>
        </w:rPr>
        <w:t>USA</w:t>
      </w:r>
      <w:r>
        <w:rPr>
          <w:rFonts w:asciiTheme="majorBidi" w:hAnsiTheme="majorBidi" w:cstheme="majorBidi"/>
          <w:szCs w:val="24"/>
          <w:lang w:val="en-US"/>
        </w:rPr>
        <w:t>), to prevent non-specific binding of fluorescent antibodies. Cells were then incubated for 1 h at 4 °C with antibodies against CD45, CD11b, Ly6C, F4/80, CD192, Ly6G, CD3, CD4, CD8a, CD45R/B2</w:t>
      </w:r>
      <w:r>
        <w:rPr>
          <w:rFonts w:asciiTheme="majorBidi" w:hAnsiTheme="majorBidi" w:cstheme="majorBidi"/>
          <w:szCs w:val="24"/>
          <w:lang w:val="en-US"/>
        </w:rPr>
        <w:t>20, CX3CR1 and 7-aminoactinomycin D (7-AAD; live/dead), to detect a range of immune cell phenotypes in the samples. Single color controls and florescence minus-one controls were run concurrently. Cells were washed with PBS, fixed with 4% PFA and stored ove</w:t>
      </w:r>
      <w:r>
        <w:rPr>
          <w:rFonts w:asciiTheme="majorBidi" w:hAnsiTheme="majorBidi" w:cstheme="majorBidi"/>
          <w:szCs w:val="24"/>
          <w:lang w:val="en-US"/>
        </w:rPr>
        <w:t xml:space="preserve">rnight in the dark at 4 °C. Flow cytometry was performed the next day on an X-20 Fortessa FACS analyzer (BD Bioscience, Franklin Lakes, USA) within the </w:t>
      </w:r>
      <w:r>
        <w:rPr>
          <w:rFonts w:asciiTheme="majorBidi" w:hAnsiTheme="majorBidi" w:cstheme="majorBidi"/>
          <w:color w:val="333333"/>
          <w:szCs w:val="24"/>
          <w:shd w:val="clear" w:color="auto" w:fill="FFFFFF"/>
        </w:rPr>
        <w:t xml:space="preserve">Flow </w:t>
      </w:r>
      <w:r>
        <w:rPr>
          <w:rFonts w:asciiTheme="majorBidi" w:hAnsiTheme="majorBidi" w:cstheme="majorBidi"/>
          <w:color w:val="333333"/>
          <w:szCs w:val="24"/>
          <w:shd w:val="clear" w:color="auto" w:fill="FFFFFF"/>
        </w:rPr>
        <w:lastRenderedPageBreak/>
        <w:t xml:space="preserve">Cytometry Core Facility (AMREPFlow) </w:t>
      </w:r>
      <w:r>
        <w:rPr>
          <w:rFonts w:asciiTheme="majorBidi" w:hAnsiTheme="majorBidi" w:cstheme="majorBidi"/>
          <w:szCs w:val="24"/>
          <w:lang w:val="en-US"/>
        </w:rPr>
        <w:t>(</w:t>
      </w:r>
      <w:r>
        <w:rPr>
          <w:rFonts w:asciiTheme="majorBidi" w:hAnsiTheme="majorBidi" w:cstheme="majorBidi"/>
          <w:color w:val="333333"/>
          <w:szCs w:val="24"/>
          <w:shd w:val="clear" w:color="auto" w:fill="FFFFFF"/>
        </w:rPr>
        <w:t xml:space="preserve">Alfred Research Alliance, </w:t>
      </w:r>
      <w:r>
        <w:rPr>
          <w:rFonts w:asciiTheme="majorBidi" w:hAnsiTheme="majorBidi" w:cstheme="majorBidi"/>
          <w:szCs w:val="24"/>
          <w:lang w:val="en-US"/>
        </w:rPr>
        <w:t>Monash University, Melbourne).</w:t>
      </w:r>
    </w:p>
    <w:p w:rsidR="00173186" w:rsidRDefault="00EF4F81">
      <w:pPr>
        <w:spacing w:line="360" w:lineRule="auto"/>
        <w:rPr>
          <w:rFonts w:asciiTheme="majorBidi" w:hAnsiTheme="majorBidi" w:cstheme="majorBidi"/>
          <w:b/>
          <w:szCs w:val="24"/>
          <w:u w:val="single"/>
          <w:lang w:val="en-US"/>
        </w:rPr>
      </w:pPr>
      <w:r>
        <w:rPr>
          <w:rFonts w:asciiTheme="majorBidi" w:hAnsiTheme="majorBidi" w:cstheme="majorBidi"/>
          <w:b/>
          <w:szCs w:val="24"/>
          <w:u w:val="single"/>
          <w:lang w:val="en-US"/>
        </w:rPr>
        <w:t>Suppl</w:t>
      </w:r>
      <w:r>
        <w:rPr>
          <w:rFonts w:asciiTheme="majorBidi" w:hAnsiTheme="majorBidi" w:cstheme="majorBidi"/>
          <w:b/>
          <w:szCs w:val="24"/>
          <w:u w:val="single"/>
          <w:lang w:val="en-US"/>
        </w:rPr>
        <w:t xml:space="preserve">ementary Results and discussion: </w:t>
      </w:r>
    </w:p>
    <w:p w:rsidR="00173186" w:rsidRDefault="00EF4F81">
      <w:pPr>
        <w:spacing w:line="360" w:lineRule="auto"/>
        <w:rPr>
          <w:rFonts w:asciiTheme="majorBidi" w:hAnsiTheme="majorBidi" w:cstheme="majorBidi"/>
          <w:bCs/>
          <w:szCs w:val="24"/>
          <w:u w:val="single"/>
          <w:lang w:val="en-US"/>
        </w:rPr>
      </w:pPr>
      <w:r>
        <w:rPr>
          <w:rFonts w:asciiTheme="majorBidi" w:hAnsiTheme="majorBidi" w:cstheme="majorBidi"/>
          <w:bCs/>
          <w:szCs w:val="24"/>
          <w:u w:val="single"/>
          <w:lang w:val="en-US"/>
        </w:rPr>
        <w:t>No change in absolute number of different cell types in brain after the treatment</w:t>
      </w:r>
    </w:p>
    <w:p w:rsidR="00173186" w:rsidRDefault="00EF4F81">
      <w:pPr>
        <w:spacing w:line="360" w:lineRule="auto"/>
        <w:rPr>
          <w:rFonts w:asciiTheme="majorBidi" w:hAnsiTheme="majorBidi" w:cstheme="majorBidi"/>
          <w:szCs w:val="24"/>
          <w:lang w:val="en-US"/>
        </w:rPr>
      </w:pPr>
      <w:r>
        <w:rPr>
          <w:rFonts w:asciiTheme="majorBidi" w:hAnsiTheme="majorBidi" w:cstheme="majorBidi"/>
          <w:szCs w:val="24"/>
          <w:lang w:val="en-US"/>
        </w:rPr>
        <w:t xml:space="preserve">At age p29 </w:t>
      </w:r>
      <w:r>
        <w:rPr>
          <w:rFonts w:asciiTheme="majorBidi" w:hAnsiTheme="majorBidi" w:cstheme="majorBidi"/>
          <w:bCs/>
          <w:szCs w:val="24"/>
          <w:lang w:val="en-US"/>
        </w:rPr>
        <w:t xml:space="preserve">±1 day </w:t>
      </w:r>
      <w:r>
        <w:rPr>
          <w:rFonts w:asciiTheme="majorBidi" w:hAnsiTheme="majorBidi" w:cstheme="majorBidi"/>
          <w:szCs w:val="24"/>
          <w:lang w:val="en-US"/>
        </w:rPr>
        <w:t>(i.e. 4 d post-LPS), immune cells were isolated from digested brain samples for flow cytometry-based profiling (Supp. Figu</w:t>
      </w:r>
      <w:r>
        <w:rPr>
          <w:rFonts w:asciiTheme="majorBidi" w:hAnsiTheme="majorBidi" w:cstheme="majorBidi"/>
          <w:szCs w:val="24"/>
          <w:lang w:val="en-US"/>
        </w:rPr>
        <w:t xml:space="preserve">re 1) and represented as absolute number of cells. None of the cell types were affected by the LPS treatment. </w:t>
      </w:r>
    </w:p>
    <w:p w:rsidR="00173186" w:rsidRDefault="00EF4F81">
      <w:pPr>
        <w:spacing w:line="360" w:lineRule="auto"/>
        <w:rPr>
          <w:lang w:val="en-US"/>
        </w:rPr>
      </w:pPr>
      <w:r>
        <w:rPr>
          <w:lang w:val="en-US"/>
        </w:rPr>
        <w:t>This pilot study revealed that the isolation method used was consistent and reliable. However, we did not used the total cell count in our main p</w:t>
      </w:r>
      <w:r>
        <w:rPr>
          <w:lang w:val="en-US"/>
        </w:rPr>
        <w:t xml:space="preserve">rotocol due to the uncertainty that the TBI might result into necrosis which can become challenging to compare the cell counts in the TBI and Sham groups. </w:t>
      </w:r>
    </w:p>
    <w:p w:rsidR="00173186" w:rsidRDefault="00EF4F81">
      <w:pPr>
        <w:jc w:val="left"/>
        <w:rPr>
          <w:rFonts w:asciiTheme="majorBidi" w:hAnsiTheme="majorBidi" w:cstheme="majorBidi"/>
          <w:b/>
          <w:bCs/>
          <w:szCs w:val="24"/>
          <w:lang w:val="en-US"/>
        </w:rPr>
      </w:pPr>
      <w:r>
        <w:rPr>
          <w:rFonts w:asciiTheme="majorBidi" w:hAnsiTheme="majorBidi" w:cstheme="majorBidi"/>
          <w:b/>
          <w:bCs/>
          <w:szCs w:val="24"/>
          <w:lang w:val="en-US"/>
        </w:rPr>
        <w:br w:type="page"/>
      </w:r>
    </w:p>
    <w:p w:rsidR="00173186" w:rsidRDefault="00EF4F81">
      <w:pPr>
        <w:spacing w:line="360" w:lineRule="auto"/>
        <w:jc w:val="left"/>
        <w:rPr>
          <w:lang w:val="en-US"/>
        </w:rPr>
      </w:pPr>
      <w:r>
        <w:rPr>
          <w:rFonts w:asciiTheme="majorBidi" w:hAnsiTheme="majorBidi" w:cstheme="majorBidi"/>
          <w:b/>
          <w:bCs/>
          <w:szCs w:val="24"/>
          <w:lang w:val="en-US"/>
        </w:rPr>
        <w:lastRenderedPageBreak/>
        <w:t>Supplementary Figures and Tables</w:t>
      </w:r>
    </w:p>
    <w:p w:rsidR="00173186" w:rsidRDefault="00EF4F81">
      <w:pPr>
        <w:spacing w:line="360" w:lineRule="auto"/>
        <w:jc w:val="center"/>
        <w:rPr>
          <w:lang w:val="en-US"/>
        </w:rPr>
      </w:pPr>
      <w:r>
        <w:rPr>
          <w:noProof/>
          <w:lang w:eastAsia="zh-CN"/>
        </w:rPr>
        <w:drawing>
          <wp:inline distT="0" distB="0" distL="0" distR="0">
            <wp:extent cx="4574540" cy="64044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upplementary Figure S1_Brain cell numbers.tif"/>
                    <pic:cNvPicPr/>
                  </pic:nvPicPr>
                  <pic:blipFill>
                    <a:blip r:embed="rId6" cstate="print">
                      <a:extLst>
                        <a:ext uri="{28A0092B-C50C-407E-A947-70E740481C1C}">
                          <a14:useLocalDpi xmlns:a14="http://schemas.microsoft.com/office/drawing/2010/main" val="0"/>
                        </a:ext>
                      </a:extLst>
                    </a:blip>
                    <a:stretch>
                      <a:fillRect/>
                    </a:stretch>
                  </pic:blipFill>
                  <pic:spPr>
                    <a:xfrm>
                      <a:off x="0" y="0"/>
                      <a:ext cx="4579050" cy="6410769"/>
                    </a:xfrm>
                    <a:prstGeom prst="rect">
                      <a:avLst/>
                    </a:prstGeom>
                  </pic:spPr>
                </pic:pic>
              </a:graphicData>
            </a:graphic>
          </wp:inline>
        </w:drawing>
      </w:r>
    </w:p>
    <w:p w:rsidR="00173186" w:rsidRDefault="00EF4F81">
      <w:pPr>
        <w:spacing w:line="360" w:lineRule="auto"/>
        <w:rPr>
          <w:lang w:val="en-US"/>
        </w:rPr>
      </w:pPr>
      <w:r>
        <w:rPr>
          <w:b/>
          <w:bCs/>
          <w:lang w:val="en-US"/>
        </w:rPr>
        <w:t xml:space="preserve">Figure S1: Immune cells in brain did not change after the LPS </w:t>
      </w:r>
      <w:r>
        <w:rPr>
          <w:b/>
          <w:bCs/>
          <w:lang w:val="en-US"/>
        </w:rPr>
        <w:t>treatment.</w:t>
      </w:r>
      <w:r>
        <w:rPr>
          <w:lang w:val="en-US"/>
        </w:rPr>
        <w:t xml:space="preserve"> Data represented as the total cell count (absolute number), revealed that there was no significant change in the overall cell population (a), or immune cell profile including macrophages (b), monocytes (c), neutrophils (d), </w:t>
      </w:r>
      <w:r w:rsidRPr="00EF4F81">
        <w:rPr>
          <w:rFonts w:asciiTheme="majorBidi" w:hAnsiTheme="majorBidi" w:cstheme="majorBidi"/>
          <w:szCs w:val="24"/>
          <w:lang w:val="en-US"/>
        </w:rPr>
        <w:t>CD45</w:t>
      </w:r>
      <w:r w:rsidRPr="00EF4F81">
        <w:rPr>
          <w:rFonts w:asciiTheme="majorBidi" w:hAnsiTheme="majorBidi" w:cstheme="majorBidi"/>
          <w:szCs w:val="24"/>
          <w:vertAlign w:val="superscript"/>
          <w:lang w:val="en-US"/>
        </w:rPr>
        <w:t>+</w:t>
      </w:r>
      <w:r w:rsidRPr="00EF4F81">
        <w:rPr>
          <w:lang w:val="en-US"/>
        </w:rPr>
        <w:t xml:space="preserve"> cells </w:t>
      </w:r>
      <w:r>
        <w:rPr>
          <w:lang w:val="en-US"/>
        </w:rPr>
        <w:t xml:space="preserve">(e), B </w:t>
      </w:r>
      <w:r>
        <w:rPr>
          <w:lang w:val="en-US"/>
        </w:rPr>
        <w:t xml:space="preserve">cells (f), T cytotoxic cells (g) and T helper cells (h). Unpaired t-tests, n.s.; n=3/group. </w:t>
      </w:r>
    </w:p>
    <w:p w:rsidR="00173186" w:rsidRDefault="00EF4F81">
      <w:pPr>
        <w:spacing w:line="480" w:lineRule="auto"/>
        <w:jc w:val="center"/>
        <w:rPr>
          <w:rFonts w:asciiTheme="majorBidi" w:hAnsiTheme="majorBidi" w:cstheme="majorBidi"/>
          <w:b/>
          <w:bCs/>
          <w:i/>
          <w:iCs/>
          <w:szCs w:val="24"/>
          <w:lang w:val="en-US"/>
        </w:rPr>
      </w:pPr>
      <w:bookmarkStart w:id="0" w:name="_GoBack"/>
      <w:r>
        <w:rPr>
          <w:rFonts w:asciiTheme="majorBidi" w:hAnsiTheme="majorBidi" w:cstheme="majorBidi"/>
          <w:b/>
          <w:bCs/>
          <w:i/>
          <w:iCs/>
          <w:noProof/>
          <w:szCs w:val="24"/>
          <w:lang w:eastAsia="zh-CN"/>
        </w:rPr>
        <w:drawing>
          <wp:inline distT="0" distB="0" distL="0" distR="0">
            <wp:extent cx="3782726" cy="529590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ementary Figure S2 Gating strategy.tiff.t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3788863" cy="5304492"/>
                    </a:xfrm>
                    <a:prstGeom prst="rect">
                      <a:avLst/>
                    </a:prstGeom>
                  </pic:spPr>
                </pic:pic>
              </a:graphicData>
            </a:graphic>
          </wp:inline>
        </w:drawing>
      </w:r>
      <w:bookmarkEnd w:id="0"/>
    </w:p>
    <w:p w:rsidR="00173186" w:rsidRDefault="00EF4F81" w:rsidP="00EF4F81">
      <w:pPr>
        <w:spacing w:line="480" w:lineRule="auto"/>
        <w:rPr>
          <w:rFonts w:asciiTheme="majorBidi" w:hAnsiTheme="majorBidi" w:cstheme="majorBidi"/>
          <w:szCs w:val="24"/>
          <w:lang w:val="en-US"/>
        </w:rPr>
      </w:pPr>
      <w:r>
        <w:rPr>
          <w:rFonts w:asciiTheme="majorBidi" w:hAnsiTheme="majorBidi" w:cstheme="majorBidi"/>
          <w:b/>
          <w:bCs/>
          <w:szCs w:val="24"/>
          <w:lang w:val="en-US"/>
        </w:rPr>
        <w:t>Figure S2</w:t>
      </w:r>
      <w:r>
        <w:rPr>
          <w:rFonts w:asciiTheme="majorBidi" w:hAnsiTheme="majorBidi" w:cstheme="majorBidi"/>
          <w:b/>
          <w:bCs/>
          <w:szCs w:val="24"/>
          <w:lang w:val="en-US"/>
        </w:rPr>
        <w:t>: Gating strategy used to differentiate different immune cells in the blood, brain and spleen.</w:t>
      </w:r>
      <w:r>
        <w:rPr>
          <w:rFonts w:asciiTheme="majorBidi" w:hAnsiTheme="majorBidi" w:cstheme="majorBidi"/>
          <w:szCs w:val="24"/>
          <w:lang w:val="en-US"/>
        </w:rPr>
        <w:t xml:space="preserve"> Two singlet gates were first created on forward scatter and side scatter to only includ</w:t>
      </w:r>
      <w:r>
        <w:rPr>
          <w:rFonts w:asciiTheme="majorBidi" w:hAnsiTheme="majorBidi" w:cstheme="majorBidi"/>
          <w:szCs w:val="24"/>
          <w:lang w:val="en-US"/>
        </w:rPr>
        <w:t>e the single cells and reject any aggregates. 7-AAD negative population was considered as live cells. The hematopoietic leukocyte</w:t>
      </w:r>
      <w:r>
        <w:rPr>
          <w:rFonts w:asciiTheme="majorBidi" w:hAnsiTheme="majorBidi" w:cstheme="majorBidi"/>
          <w:szCs w:val="24"/>
          <w:lang w:val="en-US"/>
        </w:rPr>
        <w:t xml:space="preserve"> population was identified as CD45</w:t>
      </w:r>
      <w:r>
        <w:rPr>
          <w:rFonts w:asciiTheme="majorBidi" w:hAnsiTheme="majorBidi" w:cstheme="majorBidi"/>
          <w:szCs w:val="24"/>
          <w:vertAlign w:val="superscript"/>
          <w:lang w:val="en-US"/>
        </w:rPr>
        <w:t>med+hi</w:t>
      </w:r>
      <w:r>
        <w:rPr>
          <w:rFonts w:asciiTheme="majorBidi" w:hAnsiTheme="majorBidi" w:cstheme="majorBidi"/>
          <w:szCs w:val="24"/>
          <w:lang w:val="en-US"/>
        </w:rPr>
        <w:t>, which further characterized into macrophages (CD45</w:t>
      </w:r>
      <w:r>
        <w:rPr>
          <w:rFonts w:asciiTheme="majorBidi" w:hAnsiTheme="majorBidi" w:cstheme="majorBidi"/>
          <w:szCs w:val="24"/>
          <w:vertAlign w:val="superscript"/>
          <w:lang w:val="en-US"/>
        </w:rPr>
        <w:t>hi</w:t>
      </w:r>
      <w:r>
        <w:rPr>
          <w:rFonts w:asciiTheme="majorBidi" w:hAnsiTheme="majorBidi" w:cstheme="majorBidi"/>
          <w:szCs w:val="24"/>
          <w:lang w:val="en-US"/>
        </w:rPr>
        <w:t>CD11b</w:t>
      </w:r>
      <w:r>
        <w:rPr>
          <w:rFonts w:asciiTheme="majorBidi" w:hAnsiTheme="majorBidi" w:cstheme="majorBidi"/>
          <w:szCs w:val="24"/>
          <w:vertAlign w:val="superscript"/>
          <w:lang w:val="en-US"/>
        </w:rPr>
        <w:t>+</w:t>
      </w:r>
      <w:r>
        <w:rPr>
          <w:rFonts w:asciiTheme="majorBidi" w:hAnsiTheme="majorBidi" w:cstheme="majorBidi"/>
          <w:szCs w:val="24"/>
          <w:lang w:val="en-US"/>
        </w:rPr>
        <w:t>) and CD45</w:t>
      </w:r>
      <w:r>
        <w:rPr>
          <w:rFonts w:asciiTheme="majorBidi" w:hAnsiTheme="majorBidi" w:cstheme="majorBidi"/>
          <w:szCs w:val="24"/>
          <w:vertAlign w:val="superscript"/>
          <w:lang w:val="en-US"/>
        </w:rPr>
        <w:t>+</w:t>
      </w:r>
      <w:r>
        <w:rPr>
          <w:rFonts w:asciiTheme="majorBidi" w:hAnsiTheme="majorBidi" w:cstheme="majorBidi"/>
          <w:szCs w:val="24"/>
          <w:lang w:val="en-US"/>
        </w:rPr>
        <w:t>CD11b</w:t>
      </w:r>
      <w:r>
        <w:rPr>
          <w:rFonts w:asciiTheme="majorBidi" w:hAnsiTheme="majorBidi" w:cstheme="majorBidi"/>
          <w:szCs w:val="24"/>
          <w:vertAlign w:val="superscript"/>
          <w:lang w:val="en-US"/>
        </w:rPr>
        <w:t>-</w:t>
      </w:r>
      <w:r>
        <w:rPr>
          <w:rFonts w:asciiTheme="majorBidi" w:hAnsiTheme="majorBidi" w:cstheme="majorBidi"/>
          <w:szCs w:val="24"/>
          <w:lang w:val="en-US"/>
        </w:rPr>
        <w:t xml:space="preserve"> population. Latter was f</w:t>
      </w:r>
      <w:r>
        <w:rPr>
          <w:rFonts w:asciiTheme="majorBidi" w:hAnsiTheme="majorBidi" w:cstheme="majorBidi"/>
          <w:szCs w:val="24"/>
          <w:lang w:val="en-US"/>
        </w:rPr>
        <w:t>urther assessed to identify neutrophils (LY6G</w:t>
      </w:r>
      <w:r>
        <w:rPr>
          <w:rFonts w:asciiTheme="majorBidi" w:hAnsiTheme="majorBidi" w:cstheme="majorBidi"/>
          <w:szCs w:val="24"/>
          <w:vertAlign w:val="superscript"/>
          <w:lang w:val="en-US"/>
        </w:rPr>
        <w:t>+</w:t>
      </w:r>
      <w:r>
        <w:rPr>
          <w:rFonts w:asciiTheme="majorBidi" w:hAnsiTheme="majorBidi" w:cstheme="majorBidi"/>
          <w:szCs w:val="24"/>
          <w:lang w:val="en-US"/>
        </w:rPr>
        <w:t>) and monocytes (LY6C</w:t>
      </w:r>
      <w:r>
        <w:rPr>
          <w:rFonts w:asciiTheme="majorBidi" w:hAnsiTheme="majorBidi" w:cstheme="majorBidi"/>
          <w:szCs w:val="24"/>
          <w:vertAlign w:val="superscript"/>
          <w:lang w:val="en-US"/>
        </w:rPr>
        <w:t>+</w:t>
      </w:r>
      <w:r>
        <w:rPr>
          <w:rFonts w:asciiTheme="majorBidi" w:hAnsiTheme="majorBidi" w:cstheme="majorBidi"/>
          <w:szCs w:val="24"/>
          <w:lang w:val="en-US"/>
        </w:rPr>
        <w:t>). From CD45</w:t>
      </w:r>
      <w:r>
        <w:rPr>
          <w:rFonts w:asciiTheme="majorBidi" w:hAnsiTheme="majorBidi" w:cstheme="majorBidi"/>
          <w:szCs w:val="24"/>
          <w:vertAlign w:val="superscript"/>
          <w:lang w:val="en-US"/>
        </w:rPr>
        <w:t>+</w:t>
      </w:r>
      <w:r>
        <w:rPr>
          <w:rFonts w:asciiTheme="majorBidi" w:hAnsiTheme="majorBidi" w:cstheme="majorBidi"/>
          <w:szCs w:val="24"/>
          <w:lang w:val="en-US"/>
        </w:rPr>
        <w:t>CD11b</w:t>
      </w:r>
      <w:r>
        <w:rPr>
          <w:rFonts w:asciiTheme="majorBidi" w:hAnsiTheme="majorBidi" w:cstheme="majorBidi"/>
          <w:szCs w:val="24"/>
          <w:vertAlign w:val="superscript"/>
          <w:lang w:val="en-US"/>
        </w:rPr>
        <w:t>-</w:t>
      </w:r>
      <w:r>
        <w:rPr>
          <w:rFonts w:asciiTheme="majorBidi" w:hAnsiTheme="majorBidi" w:cstheme="majorBidi"/>
          <w:szCs w:val="24"/>
          <w:lang w:val="en-US"/>
        </w:rPr>
        <w:t xml:space="preserve"> population, B cells (B220</w:t>
      </w:r>
      <w:r>
        <w:rPr>
          <w:rFonts w:asciiTheme="majorBidi" w:hAnsiTheme="majorBidi" w:cstheme="majorBidi"/>
          <w:szCs w:val="24"/>
          <w:vertAlign w:val="superscript"/>
          <w:lang w:val="en-US"/>
        </w:rPr>
        <w:t>+</w:t>
      </w:r>
      <w:r>
        <w:rPr>
          <w:rFonts w:asciiTheme="majorBidi" w:hAnsiTheme="majorBidi" w:cstheme="majorBidi"/>
          <w:szCs w:val="24"/>
          <w:lang w:val="en-US"/>
        </w:rPr>
        <w:t>CD3</w:t>
      </w:r>
      <w:r>
        <w:rPr>
          <w:rFonts w:asciiTheme="majorBidi" w:hAnsiTheme="majorBidi" w:cstheme="majorBidi"/>
          <w:szCs w:val="24"/>
          <w:vertAlign w:val="superscript"/>
          <w:lang w:val="en-US"/>
        </w:rPr>
        <w:t>-</w:t>
      </w:r>
      <w:r>
        <w:rPr>
          <w:rFonts w:asciiTheme="majorBidi" w:hAnsiTheme="majorBidi" w:cstheme="majorBidi"/>
          <w:szCs w:val="24"/>
          <w:lang w:val="en-US"/>
        </w:rPr>
        <w:t>) were identified and CD3</w:t>
      </w:r>
      <w:r>
        <w:rPr>
          <w:rFonts w:asciiTheme="majorBidi" w:hAnsiTheme="majorBidi" w:cstheme="majorBidi"/>
          <w:szCs w:val="24"/>
          <w:vertAlign w:val="superscript"/>
          <w:lang w:val="en-US"/>
        </w:rPr>
        <w:t>+</w:t>
      </w:r>
      <w:r>
        <w:rPr>
          <w:rFonts w:asciiTheme="majorBidi" w:hAnsiTheme="majorBidi" w:cstheme="majorBidi"/>
          <w:szCs w:val="24"/>
          <w:lang w:val="en-US"/>
        </w:rPr>
        <w:t>B220</w:t>
      </w:r>
      <w:r>
        <w:rPr>
          <w:rFonts w:asciiTheme="majorBidi" w:hAnsiTheme="majorBidi" w:cstheme="majorBidi"/>
          <w:szCs w:val="24"/>
          <w:vertAlign w:val="superscript"/>
          <w:lang w:val="en-US"/>
        </w:rPr>
        <w:t>-</w:t>
      </w:r>
      <w:r>
        <w:rPr>
          <w:rFonts w:asciiTheme="majorBidi" w:hAnsiTheme="majorBidi" w:cstheme="majorBidi"/>
          <w:szCs w:val="24"/>
          <w:lang w:val="en-US"/>
        </w:rPr>
        <w:t xml:space="preserve"> population was further explored to identify T cytotoxic cells (CD8a</w:t>
      </w:r>
      <w:r>
        <w:rPr>
          <w:rFonts w:asciiTheme="majorBidi" w:hAnsiTheme="majorBidi" w:cstheme="majorBidi"/>
          <w:szCs w:val="24"/>
          <w:vertAlign w:val="superscript"/>
          <w:lang w:val="en-US"/>
        </w:rPr>
        <w:t>+</w:t>
      </w:r>
      <w:r>
        <w:rPr>
          <w:rFonts w:asciiTheme="majorBidi" w:hAnsiTheme="majorBidi" w:cstheme="majorBidi"/>
          <w:szCs w:val="24"/>
          <w:lang w:val="en-US"/>
        </w:rPr>
        <w:t>CD4</w:t>
      </w:r>
      <w:r>
        <w:rPr>
          <w:rFonts w:asciiTheme="majorBidi" w:hAnsiTheme="majorBidi" w:cstheme="majorBidi"/>
          <w:szCs w:val="24"/>
          <w:vertAlign w:val="superscript"/>
          <w:lang w:val="en-US"/>
        </w:rPr>
        <w:t>-</w:t>
      </w:r>
      <w:r>
        <w:rPr>
          <w:rFonts w:asciiTheme="majorBidi" w:hAnsiTheme="majorBidi" w:cstheme="majorBidi"/>
          <w:szCs w:val="24"/>
          <w:lang w:val="en-US"/>
        </w:rPr>
        <w:t>) and T helper cells (CD4</w:t>
      </w:r>
      <w:r>
        <w:rPr>
          <w:rFonts w:asciiTheme="majorBidi" w:hAnsiTheme="majorBidi" w:cstheme="majorBidi"/>
          <w:szCs w:val="24"/>
          <w:vertAlign w:val="superscript"/>
          <w:lang w:val="en-US"/>
        </w:rPr>
        <w:t>+</w:t>
      </w:r>
      <w:r>
        <w:rPr>
          <w:rFonts w:asciiTheme="majorBidi" w:hAnsiTheme="majorBidi" w:cstheme="majorBidi"/>
          <w:szCs w:val="24"/>
          <w:lang w:val="en-US"/>
        </w:rPr>
        <w:t>CD8a</w:t>
      </w:r>
      <w:r>
        <w:rPr>
          <w:rFonts w:asciiTheme="majorBidi" w:hAnsiTheme="majorBidi" w:cstheme="majorBidi"/>
          <w:szCs w:val="24"/>
          <w:vertAlign w:val="superscript"/>
          <w:lang w:val="en-US"/>
        </w:rPr>
        <w:t>-</w:t>
      </w:r>
      <w:r>
        <w:rPr>
          <w:rFonts w:asciiTheme="majorBidi" w:hAnsiTheme="majorBidi" w:cstheme="majorBidi"/>
          <w:szCs w:val="24"/>
          <w:lang w:val="en-US"/>
        </w:rPr>
        <w:t>).</w:t>
      </w:r>
    </w:p>
    <w:p w:rsidR="00173186" w:rsidRDefault="00EF4F81">
      <w:pPr>
        <w:spacing w:line="480" w:lineRule="auto"/>
        <w:rPr>
          <w:rFonts w:asciiTheme="majorBidi" w:hAnsiTheme="majorBidi" w:cstheme="majorBidi"/>
          <w:szCs w:val="24"/>
          <w:lang w:val="en-US"/>
        </w:rPr>
      </w:pPr>
      <w:r>
        <w:rPr>
          <w:rFonts w:asciiTheme="majorBidi" w:hAnsiTheme="majorBidi" w:cstheme="majorBidi"/>
          <w:b/>
          <w:bCs/>
          <w:szCs w:val="24"/>
          <w:lang w:val="en-US"/>
        </w:rPr>
        <w:t>Supplementary Table S1: Serum cytokines analysis at 4 d post-LPS</w:t>
      </w:r>
    </w:p>
    <w:tbl>
      <w:tblPr>
        <w:tblStyle w:val="TableGrid"/>
        <w:tblW w:w="0" w:type="auto"/>
        <w:tblLayout w:type="fixed"/>
        <w:tblLook w:val="04A0" w:firstRow="1" w:lastRow="0" w:firstColumn="1" w:lastColumn="0" w:noHBand="0" w:noVBand="1"/>
      </w:tblPr>
      <w:tblGrid>
        <w:gridCol w:w="1502"/>
        <w:gridCol w:w="1503"/>
        <w:gridCol w:w="1503"/>
        <w:gridCol w:w="1299"/>
        <w:gridCol w:w="1701"/>
        <w:gridCol w:w="1508"/>
      </w:tblGrid>
      <w:tr w:rsidR="00173186">
        <w:trPr>
          <w:trHeight w:val="567"/>
        </w:trPr>
        <w:tc>
          <w:tcPr>
            <w:tcW w:w="1502" w:type="dxa"/>
            <w:vAlign w:val="center"/>
          </w:tcPr>
          <w:p w:rsidR="00173186" w:rsidRDefault="00EF4F81">
            <w:pPr>
              <w:spacing w:line="480" w:lineRule="auto"/>
              <w:jc w:val="center"/>
              <w:rPr>
                <w:rFonts w:asciiTheme="majorBidi" w:hAnsiTheme="majorBidi" w:cstheme="majorBidi"/>
                <w:b/>
                <w:bCs/>
                <w:szCs w:val="24"/>
                <w:lang w:val="en-US"/>
              </w:rPr>
            </w:pPr>
            <w:r>
              <w:rPr>
                <w:rFonts w:asciiTheme="majorBidi" w:hAnsiTheme="majorBidi" w:cstheme="majorBidi"/>
                <w:b/>
                <w:bCs/>
                <w:szCs w:val="24"/>
                <w:lang w:val="en-US"/>
              </w:rPr>
              <w:t>Protein (pg/ml)</w:t>
            </w:r>
          </w:p>
        </w:tc>
        <w:tc>
          <w:tcPr>
            <w:tcW w:w="1503" w:type="dxa"/>
            <w:vAlign w:val="center"/>
          </w:tcPr>
          <w:p w:rsidR="00173186" w:rsidRDefault="00EF4F81">
            <w:pPr>
              <w:spacing w:line="480" w:lineRule="auto"/>
              <w:jc w:val="center"/>
              <w:rPr>
                <w:rFonts w:asciiTheme="majorBidi" w:hAnsiTheme="majorBidi" w:cstheme="majorBidi"/>
                <w:b/>
                <w:bCs/>
                <w:szCs w:val="24"/>
              </w:rPr>
            </w:pPr>
            <w:r>
              <w:rPr>
                <w:rFonts w:asciiTheme="majorBidi" w:hAnsiTheme="majorBidi" w:cstheme="majorBidi"/>
                <w:b/>
                <w:bCs/>
                <w:szCs w:val="24"/>
              </w:rPr>
              <w:t>IL-6</w:t>
            </w:r>
          </w:p>
        </w:tc>
        <w:tc>
          <w:tcPr>
            <w:tcW w:w="1503" w:type="dxa"/>
            <w:vAlign w:val="center"/>
          </w:tcPr>
          <w:p w:rsidR="00173186" w:rsidRDefault="00EF4F81">
            <w:pPr>
              <w:spacing w:line="480" w:lineRule="auto"/>
              <w:jc w:val="center"/>
              <w:rPr>
                <w:rFonts w:asciiTheme="majorBidi" w:hAnsiTheme="majorBidi" w:cstheme="majorBidi"/>
                <w:b/>
                <w:bCs/>
                <w:szCs w:val="24"/>
                <w:lang w:val="en-US"/>
              </w:rPr>
            </w:pPr>
            <w:r>
              <w:rPr>
                <w:rFonts w:asciiTheme="majorBidi" w:hAnsiTheme="majorBidi" w:cstheme="majorBidi"/>
                <w:b/>
                <w:bCs/>
                <w:szCs w:val="24"/>
              </w:rPr>
              <w:t>TNF-a</w:t>
            </w:r>
          </w:p>
        </w:tc>
        <w:tc>
          <w:tcPr>
            <w:tcW w:w="1299" w:type="dxa"/>
            <w:vAlign w:val="center"/>
          </w:tcPr>
          <w:p w:rsidR="00173186" w:rsidRDefault="00EF4F81">
            <w:pPr>
              <w:spacing w:line="480" w:lineRule="auto"/>
              <w:jc w:val="center"/>
              <w:rPr>
                <w:rFonts w:asciiTheme="majorBidi" w:hAnsiTheme="majorBidi" w:cstheme="majorBidi"/>
                <w:b/>
                <w:bCs/>
                <w:szCs w:val="24"/>
              </w:rPr>
            </w:pPr>
            <w:r>
              <w:rPr>
                <w:rFonts w:asciiTheme="majorBidi" w:hAnsiTheme="majorBidi" w:cstheme="majorBidi"/>
                <w:b/>
                <w:bCs/>
                <w:szCs w:val="24"/>
              </w:rPr>
              <w:t>GM-CSF</w:t>
            </w:r>
          </w:p>
        </w:tc>
        <w:tc>
          <w:tcPr>
            <w:tcW w:w="1701" w:type="dxa"/>
            <w:vAlign w:val="center"/>
          </w:tcPr>
          <w:p w:rsidR="00173186" w:rsidRDefault="00EF4F81">
            <w:pPr>
              <w:spacing w:line="480" w:lineRule="auto"/>
              <w:jc w:val="center"/>
              <w:rPr>
                <w:rFonts w:asciiTheme="majorBidi" w:hAnsiTheme="majorBidi" w:cstheme="majorBidi"/>
                <w:b/>
                <w:bCs/>
                <w:szCs w:val="24"/>
                <w:lang w:val="en-US"/>
              </w:rPr>
            </w:pPr>
            <w:r>
              <w:rPr>
                <w:rFonts w:asciiTheme="majorBidi" w:hAnsiTheme="majorBidi" w:cstheme="majorBidi"/>
                <w:b/>
                <w:bCs/>
                <w:szCs w:val="24"/>
              </w:rPr>
              <w:t>CCL2</w:t>
            </w:r>
          </w:p>
        </w:tc>
        <w:tc>
          <w:tcPr>
            <w:tcW w:w="1508" w:type="dxa"/>
            <w:vAlign w:val="center"/>
          </w:tcPr>
          <w:p w:rsidR="00173186" w:rsidRDefault="00EF4F81">
            <w:pPr>
              <w:spacing w:line="480" w:lineRule="auto"/>
              <w:jc w:val="center"/>
              <w:rPr>
                <w:rFonts w:asciiTheme="majorBidi" w:hAnsiTheme="majorBidi" w:cstheme="majorBidi"/>
                <w:b/>
                <w:bCs/>
                <w:szCs w:val="24"/>
                <w:lang w:val="en-US"/>
              </w:rPr>
            </w:pPr>
            <w:r>
              <w:rPr>
                <w:rFonts w:asciiTheme="majorBidi" w:hAnsiTheme="majorBidi" w:cstheme="majorBidi"/>
                <w:b/>
                <w:bCs/>
                <w:szCs w:val="24"/>
              </w:rPr>
              <w:t>IL-10</w:t>
            </w:r>
          </w:p>
        </w:tc>
      </w:tr>
      <w:tr w:rsidR="00173186">
        <w:trPr>
          <w:trHeight w:val="567"/>
        </w:trPr>
        <w:tc>
          <w:tcPr>
            <w:tcW w:w="1502" w:type="dxa"/>
            <w:vAlign w:val="center"/>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Sham+saline</w:t>
            </w:r>
          </w:p>
        </w:tc>
        <w:tc>
          <w:tcPr>
            <w:tcW w:w="1503" w:type="dxa"/>
          </w:tcPr>
          <w:p w:rsidR="00173186" w:rsidRDefault="00EF4F81">
            <w:pPr>
              <w:spacing w:line="480" w:lineRule="auto"/>
              <w:jc w:val="center"/>
              <w:rPr>
                <w:rFonts w:asciiTheme="majorBidi" w:hAnsiTheme="majorBidi" w:cstheme="majorBidi"/>
                <w:szCs w:val="24"/>
              </w:rPr>
            </w:pPr>
            <w:r>
              <w:rPr>
                <w:rFonts w:asciiTheme="majorBidi" w:hAnsiTheme="majorBidi" w:cstheme="majorBidi"/>
                <w:szCs w:val="24"/>
              </w:rPr>
              <w:t>3.02 ± 1.02</w:t>
            </w:r>
          </w:p>
        </w:tc>
        <w:tc>
          <w:tcPr>
            <w:tcW w:w="1503" w:type="dxa"/>
            <w:tcBorders>
              <w:top w:val="nil"/>
              <w:left w:val="nil"/>
              <w:bottom w:val="single" w:sz="4" w:space="0" w:color="auto"/>
              <w:right w:val="single" w:sz="4" w:space="0" w:color="auto"/>
            </w:tcBorders>
            <w:shd w:val="clear" w:color="auto" w:fill="auto"/>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 xml:space="preserve">6.73 </w:t>
            </w:r>
            <w:r>
              <w:rPr>
                <w:rFonts w:asciiTheme="majorBidi" w:hAnsiTheme="majorBidi" w:cstheme="majorBidi"/>
                <w:szCs w:val="24"/>
              </w:rPr>
              <w:t>± 2.39</w:t>
            </w:r>
          </w:p>
        </w:tc>
        <w:tc>
          <w:tcPr>
            <w:tcW w:w="1299" w:type="dxa"/>
            <w:tcBorders>
              <w:top w:val="nil"/>
              <w:left w:val="nil"/>
              <w:bottom w:val="single" w:sz="4" w:space="0" w:color="auto"/>
              <w:right w:val="single" w:sz="4" w:space="0" w:color="auto"/>
            </w:tcBorders>
          </w:tcPr>
          <w:p w:rsidR="00173186" w:rsidRDefault="00EF4F81">
            <w:pPr>
              <w:spacing w:line="480" w:lineRule="auto"/>
              <w:jc w:val="thaiDistribute"/>
              <w:rPr>
                <w:rFonts w:asciiTheme="majorBidi" w:hAnsiTheme="majorBidi" w:cstheme="majorBidi"/>
                <w:szCs w:val="24"/>
              </w:rPr>
            </w:pPr>
            <w:r>
              <w:rPr>
                <w:rFonts w:asciiTheme="majorBidi" w:hAnsiTheme="majorBidi" w:cstheme="majorBidi"/>
                <w:szCs w:val="24"/>
              </w:rPr>
              <w:t>7.43 ± 3.7</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 xml:space="preserve">48.68 </w:t>
            </w:r>
            <w:r>
              <w:rPr>
                <w:rFonts w:asciiTheme="majorBidi" w:hAnsiTheme="majorBidi" w:cstheme="majorBidi"/>
                <w:szCs w:val="24"/>
              </w:rPr>
              <w:t>± 14.26</w:t>
            </w:r>
          </w:p>
        </w:tc>
        <w:tc>
          <w:tcPr>
            <w:tcW w:w="1508" w:type="dxa"/>
            <w:tcBorders>
              <w:top w:val="nil"/>
              <w:left w:val="nil"/>
              <w:bottom w:val="single" w:sz="4" w:space="0" w:color="auto"/>
              <w:right w:val="single" w:sz="4" w:space="0" w:color="auto"/>
            </w:tcBorders>
            <w:shd w:val="clear" w:color="auto" w:fill="auto"/>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 xml:space="preserve">12.27 </w:t>
            </w:r>
            <w:r>
              <w:rPr>
                <w:rFonts w:asciiTheme="majorBidi" w:hAnsiTheme="majorBidi" w:cstheme="majorBidi"/>
                <w:szCs w:val="24"/>
              </w:rPr>
              <w:t>± 2.23</w:t>
            </w:r>
          </w:p>
        </w:tc>
      </w:tr>
      <w:tr w:rsidR="00173186">
        <w:trPr>
          <w:trHeight w:val="567"/>
        </w:trPr>
        <w:tc>
          <w:tcPr>
            <w:tcW w:w="1502" w:type="dxa"/>
            <w:vAlign w:val="center"/>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Sham+LPS</w:t>
            </w:r>
          </w:p>
        </w:tc>
        <w:tc>
          <w:tcPr>
            <w:tcW w:w="1503" w:type="dxa"/>
          </w:tcPr>
          <w:p w:rsidR="00173186" w:rsidRDefault="00EF4F81">
            <w:pPr>
              <w:spacing w:line="480" w:lineRule="auto"/>
              <w:jc w:val="center"/>
              <w:rPr>
                <w:rFonts w:asciiTheme="majorBidi" w:hAnsiTheme="majorBidi" w:cstheme="majorBidi"/>
                <w:szCs w:val="24"/>
              </w:rPr>
            </w:pPr>
            <w:r>
              <w:rPr>
                <w:rFonts w:asciiTheme="majorBidi" w:hAnsiTheme="majorBidi" w:cstheme="majorBidi"/>
                <w:szCs w:val="24"/>
              </w:rPr>
              <w:t>4.26 ± 2.1</w:t>
            </w:r>
          </w:p>
        </w:tc>
        <w:tc>
          <w:tcPr>
            <w:tcW w:w="1503" w:type="dxa"/>
            <w:tcBorders>
              <w:top w:val="single" w:sz="4" w:space="0" w:color="auto"/>
              <w:left w:val="nil"/>
              <w:bottom w:val="single" w:sz="4" w:space="0" w:color="auto"/>
              <w:right w:val="single" w:sz="4" w:space="0" w:color="auto"/>
            </w:tcBorders>
            <w:shd w:val="clear" w:color="auto" w:fill="auto"/>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 xml:space="preserve">10.83 </w:t>
            </w:r>
            <w:r>
              <w:rPr>
                <w:rFonts w:asciiTheme="majorBidi" w:hAnsiTheme="majorBidi" w:cstheme="majorBidi"/>
                <w:szCs w:val="24"/>
              </w:rPr>
              <w:t>± 5.26</w:t>
            </w:r>
          </w:p>
        </w:tc>
        <w:tc>
          <w:tcPr>
            <w:tcW w:w="1299" w:type="dxa"/>
            <w:tcBorders>
              <w:top w:val="single" w:sz="4" w:space="0" w:color="auto"/>
              <w:left w:val="nil"/>
              <w:bottom w:val="single" w:sz="4" w:space="0" w:color="auto"/>
              <w:right w:val="single" w:sz="4" w:space="0" w:color="auto"/>
            </w:tcBorders>
          </w:tcPr>
          <w:p w:rsidR="00173186" w:rsidRDefault="00EF4F81">
            <w:pPr>
              <w:spacing w:line="480" w:lineRule="auto"/>
              <w:jc w:val="thaiDistribute"/>
              <w:rPr>
                <w:rFonts w:asciiTheme="majorBidi" w:hAnsiTheme="majorBidi" w:cstheme="majorBidi"/>
                <w:szCs w:val="24"/>
              </w:rPr>
            </w:pPr>
            <w:r>
              <w:rPr>
                <w:rFonts w:asciiTheme="majorBidi" w:hAnsiTheme="majorBidi" w:cstheme="majorBidi"/>
                <w:szCs w:val="24"/>
              </w:rPr>
              <w:t>8.93 ± 6.81</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 xml:space="preserve">68.68 </w:t>
            </w:r>
            <w:r>
              <w:rPr>
                <w:rFonts w:asciiTheme="majorBidi" w:hAnsiTheme="majorBidi" w:cstheme="majorBidi"/>
                <w:szCs w:val="24"/>
              </w:rPr>
              <w:t>± 16.63</w:t>
            </w:r>
          </w:p>
        </w:tc>
        <w:tc>
          <w:tcPr>
            <w:tcW w:w="1508" w:type="dxa"/>
            <w:tcBorders>
              <w:top w:val="single" w:sz="4" w:space="0" w:color="auto"/>
              <w:left w:val="nil"/>
              <w:bottom w:val="single" w:sz="4" w:space="0" w:color="auto"/>
              <w:right w:val="single" w:sz="4" w:space="0" w:color="auto"/>
            </w:tcBorders>
            <w:shd w:val="clear" w:color="auto" w:fill="auto"/>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 xml:space="preserve">16.37 </w:t>
            </w:r>
            <w:r>
              <w:rPr>
                <w:rFonts w:asciiTheme="majorBidi" w:hAnsiTheme="majorBidi" w:cstheme="majorBidi"/>
                <w:szCs w:val="24"/>
              </w:rPr>
              <w:t xml:space="preserve">± </w:t>
            </w:r>
            <w:r>
              <w:rPr>
                <w:rFonts w:asciiTheme="majorBidi" w:hAnsiTheme="majorBidi" w:cstheme="majorBidi"/>
                <w:szCs w:val="24"/>
              </w:rPr>
              <w:t>5.33</w:t>
            </w:r>
          </w:p>
        </w:tc>
      </w:tr>
      <w:tr w:rsidR="00173186">
        <w:trPr>
          <w:trHeight w:val="567"/>
        </w:trPr>
        <w:tc>
          <w:tcPr>
            <w:tcW w:w="1502" w:type="dxa"/>
            <w:vAlign w:val="center"/>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TBI+saline</w:t>
            </w:r>
          </w:p>
        </w:tc>
        <w:tc>
          <w:tcPr>
            <w:tcW w:w="1503" w:type="dxa"/>
          </w:tcPr>
          <w:p w:rsidR="00173186" w:rsidRDefault="00EF4F81">
            <w:pPr>
              <w:spacing w:line="480" w:lineRule="auto"/>
              <w:jc w:val="thaiDistribute"/>
              <w:rPr>
                <w:rFonts w:asciiTheme="majorBidi" w:hAnsiTheme="majorBidi" w:cstheme="majorBidi"/>
                <w:szCs w:val="24"/>
              </w:rPr>
            </w:pPr>
            <w:r>
              <w:rPr>
                <w:rFonts w:asciiTheme="majorBidi" w:hAnsiTheme="majorBidi" w:cstheme="majorBidi"/>
                <w:szCs w:val="24"/>
              </w:rPr>
              <w:t>1.3 ± 0.14</w:t>
            </w:r>
          </w:p>
        </w:tc>
        <w:tc>
          <w:tcPr>
            <w:tcW w:w="1503" w:type="dxa"/>
            <w:tcBorders>
              <w:top w:val="single" w:sz="4" w:space="0" w:color="auto"/>
              <w:left w:val="nil"/>
              <w:bottom w:val="single" w:sz="4" w:space="0" w:color="auto"/>
              <w:right w:val="single" w:sz="4" w:space="0" w:color="auto"/>
            </w:tcBorders>
            <w:shd w:val="clear" w:color="auto" w:fill="auto"/>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 xml:space="preserve">4.55 </w:t>
            </w:r>
            <w:r>
              <w:rPr>
                <w:rFonts w:asciiTheme="majorBidi" w:hAnsiTheme="majorBidi" w:cstheme="majorBidi"/>
                <w:szCs w:val="24"/>
              </w:rPr>
              <w:t>± 0.41</w:t>
            </w:r>
          </w:p>
        </w:tc>
        <w:tc>
          <w:tcPr>
            <w:tcW w:w="1299" w:type="dxa"/>
            <w:tcBorders>
              <w:top w:val="single" w:sz="4" w:space="0" w:color="auto"/>
              <w:left w:val="nil"/>
              <w:bottom w:val="single" w:sz="4" w:space="0" w:color="auto"/>
              <w:right w:val="single" w:sz="4" w:space="0" w:color="auto"/>
            </w:tcBorders>
          </w:tcPr>
          <w:p w:rsidR="00173186" w:rsidRDefault="00EF4F81">
            <w:pPr>
              <w:spacing w:line="480" w:lineRule="auto"/>
              <w:jc w:val="thaiDistribute"/>
              <w:rPr>
                <w:rFonts w:asciiTheme="majorBidi" w:hAnsiTheme="majorBidi" w:cstheme="majorBidi"/>
                <w:szCs w:val="24"/>
              </w:rPr>
            </w:pPr>
            <w:r>
              <w:rPr>
                <w:rFonts w:asciiTheme="majorBidi" w:hAnsiTheme="majorBidi" w:cstheme="majorBidi"/>
                <w:szCs w:val="24"/>
              </w:rPr>
              <w:t>1.73 ± 0.42</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 xml:space="preserve">42.03 </w:t>
            </w:r>
            <w:r>
              <w:rPr>
                <w:rFonts w:asciiTheme="majorBidi" w:hAnsiTheme="majorBidi" w:cstheme="majorBidi"/>
                <w:szCs w:val="24"/>
              </w:rPr>
              <w:t>± 7.26</w:t>
            </w:r>
          </w:p>
        </w:tc>
        <w:tc>
          <w:tcPr>
            <w:tcW w:w="1508" w:type="dxa"/>
            <w:tcBorders>
              <w:top w:val="single" w:sz="4" w:space="0" w:color="auto"/>
              <w:left w:val="nil"/>
              <w:bottom w:val="single" w:sz="4" w:space="0" w:color="auto"/>
              <w:right w:val="single" w:sz="4" w:space="0" w:color="auto"/>
            </w:tcBorders>
            <w:shd w:val="clear" w:color="auto" w:fill="auto"/>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 xml:space="preserve">8.25 </w:t>
            </w:r>
            <w:r>
              <w:rPr>
                <w:rFonts w:asciiTheme="majorBidi" w:hAnsiTheme="majorBidi" w:cstheme="majorBidi"/>
                <w:szCs w:val="24"/>
              </w:rPr>
              <w:t>± 0.61</w:t>
            </w:r>
          </w:p>
        </w:tc>
      </w:tr>
      <w:tr w:rsidR="00173186">
        <w:trPr>
          <w:trHeight w:val="567"/>
        </w:trPr>
        <w:tc>
          <w:tcPr>
            <w:tcW w:w="1502" w:type="dxa"/>
            <w:vAlign w:val="center"/>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TBI+LPS</w:t>
            </w:r>
          </w:p>
        </w:tc>
        <w:tc>
          <w:tcPr>
            <w:tcW w:w="1503" w:type="dxa"/>
          </w:tcPr>
          <w:p w:rsidR="00173186" w:rsidRDefault="00EF4F81">
            <w:pPr>
              <w:spacing w:line="480" w:lineRule="auto"/>
              <w:jc w:val="thaiDistribute"/>
              <w:rPr>
                <w:rFonts w:asciiTheme="majorBidi" w:hAnsiTheme="majorBidi" w:cstheme="majorBidi"/>
                <w:szCs w:val="24"/>
              </w:rPr>
            </w:pPr>
            <w:r>
              <w:rPr>
                <w:rFonts w:asciiTheme="majorBidi" w:hAnsiTheme="majorBidi" w:cstheme="majorBidi"/>
                <w:szCs w:val="24"/>
              </w:rPr>
              <w:t>2.47 ± 0.89</w:t>
            </w:r>
          </w:p>
        </w:tc>
        <w:tc>
          <w:tcPr>
            <w:tcW w:w="1503" w:type="dxa"/>
            <w:tcBorders>
              <w:top w:val="single" w:sz="4" w:space="0" w:color="auto"/>
              <w:left w:val="nil"/>
              <w:bottom w:val="single" w:sz="4" w:space="0" w:color="auto"/>
              <w:right w:val="single" w:sz="4" w:space="0" w:color="auto"/>
            </w:tcBorders>
            <w:shd w:val="clear" w:color="auto" w:fill="auto"/>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 xml:space="preserve">4.41 </w:t>
            </w:r>
            <w:r>
              <w:rPr>
                <w:rFonts w:asciiTheme="majorBidi" w:hAnsiTheme="majorBidi" w:cstheme="majorBidi"/>
                <w:szCs w:val="24"/>
              </w:rPr>
              <w:t>± 1.34</w:t>
            </w:r>
          </w:p>
        </w:tc>
        <w:tc>
          <w:tcPr>
            <w:tcW w:w="1299" w:type="dxa"/>
            <w:tcBorders>
              <w:top w:val="single" w:sz="4" w:space="0" w:color="auto"/>
              <w:left w:val="nil"/>
              <w:bottom w:val="single" w:sz="4" w:space="0" w:color="auto"/>
              <w:right w:val="single" w:sz="4" w:space="0" w:color="auto"/>
            </w:tcBorders>
          </w:tcPr>
          <w:p w:rsidR="00173186" w:rsidRDefault="00EF4F81">
            <w:pPr>
              <w:spacing w:line="480" w:lineRule="auto"/>
              <w:jc w:val="thaiDistribute"/>
              <w:rPr>
                <w:rFonts w:asciiTheme="majorBidi" w:hAnsiTheme="majorBidi" w:cstheme="majorBidi"/>
                <w:szCs w:val="24"/>
              </w:rPr>
            </w:pPr>
            <w:r>
              <w:rPr>
                <w:rFonts w:asciiTheme="majorBidi" w:hAnsiTheme="majorBidi" w:cstheme="majorBidi"/>
                <w:szCs w:val="24"/>
              </w:rPr>
              <w:t>2.4 ± 1.35</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 xml:space="preserve">38.77 </w:t>
            </w:r>
            <w:r>
              <w:rPr>
                <w:rFonts w:asciiTheme="majorBidi" w:hAnsiTheme="majorBidi" w:cstheme="majorBidi"/>
                <w:szCs w:val="24"/>
              </w:rPr>
              <w:t>± 5.17</w:t>
            </w:r>
          </w:p>
        </w:tc>
        <w:tc>
          <w:tcPr>
            <w:tcW w:w="1508" w:type="dxa"/>
            <w:tcBorders>
              <w:top w:val="single" w:sz="4" w:space="0" w:color="auto"/>
              <w:left w:val="nil"/>
              <w:bottom w:val="single" w:sz="4" w:space="0" w:color="auto"/>
              <w:right w:val="single" w:sz="4" w:space="0" w:color="auto"/>
            </w:tcBorders>
            <w:shd w:val="clear" w:color="auto" w:fill="auto"/>
          </w:tcPr>
          <w:p w:rsidR="00173186" w:rsidRDefault="00EF4F81">
            <w:pPr>
              <w:spacing w:line="480" w:lineRule="auto"/>
              <w:jc w:val="thaiDistribute"/>
              <w:rPr>
                <w:rFonts w:asciiTheme="majorBidi" w:hAnsiTheme="majorBidi" w:cstheme="majorBidi"/>
                <w:szCs w:val="24"/>
                <w:lang w:val="en-US"/>
              </w:rPr>
            </w:pPr>
            <w:r>
              <w:rPr>
                <w:rFonts w:asciiTheme="majorBidi" w:hAnsiTheme="majorBidi" w:cstheme="majorBidi"/>
                <w:szCs w:val="24"/>
                <w:lang w:val="en-US"/>
              </w:rPr>
              <w:t xml:space="preserve">10.03 </w:t>
            </w:r>
            <w:r>
              <w:rPr>
                <w:rFonts w:asciiTheme="majorBidi" w:hAnsiTheme="majorBidi" w:cstheme="majorBidi"/>
                <w:szCs w:val="24"/>
              </w:rPr>
              <w:t>± 2.35</w:t>
            </w:r>
          </w:p>
        </w:tc>
      </w:tr>
      <w:tr w:rsidR="00173186">
        <w:trPr>
          <w:trHeight w:val="525"/>
        </w:trPr>
        <w:tc>
          <w:tcPr>
            <w:tcW w:w="1502" w:type="dxa"/>
            <w:hideMark/>
          </w:tcPr>
          <w:p w:rsidR="00173186" w:rsidRDefault="00EF4F81">
            <w:pPr>
              <w:spacing w:line="480" w:lineRule="auto"/>
              <w:jc w:val="thaiDistribute"/>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Effect of injury</w:t>
            </w:r>
          </w:p>
        </w:tc>
        <w:tc>
          <w:tcPr>
            <w:tcW w:w="1503" w:type="dxa"/>
          </w:tcPr>
          <w:p w:rsidR="00173186" w:rsidRDefault="00EF4F81">
            <w:pPr>
              <w:spacing w:line="480" w:lineRule="auto"/>
              <w:jc w:val="thaiDistribute"/>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p = 0.253</w:t>
            </w:r>
          </w:p>
        </w:tc>
        <w:tc>
          <w:tcPr>
            <w:tcW w:w="1503" w:type="dxa"/>
            <w:noWrap/>
          </w:tcPr>
          <w:p w:rsidR="00173186" w:rsidRDefault="00EF4F81">
            <w:pPr>
              <w:spacing w:line="480" w:lineRule="auto"/>
              <w:jc w:val="thaiDistribute"/>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p = 0.244</w:t>
            </w:r>
          </w:p>
          <w:p w:rsidR="00173186" w:rsidRDefault="00173186">
            <w:pPr>
              <w:spacing w:line="480" w:lineRule="auto"/>
              <w:jc w:val="thaiDistribute"/>
              <w:rPr>
                <w:rFonts w:asciiTheme="majorBidi" w:eastAsia="Times New Roman" w:hAnsiTheme="majorBidi" w:cstheme="majorBidi"/>
                <w:color w:val="000000"/>
                <w:szCs w:val="24"/>
                <w:lang w:eastAsia="zh-CN"/>
              </w:rPr>
            </w:pPr>
          </w:p>
        </w:tc>
        <w:tc>
          <w:tcPr>
            <w:tcW w:w="1299" w:type="dxa"/>
          </w:tcPr>
          <w:p w:rsidR="00173186" w:rsidRDefault="00EF4F81">
            <w:pPr>
              <w:spacing w:line="480" w:lineRule="auto"/>
              <w:jc w:val="thaiDistribute"/>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 p = 0.214</w:t>
            </w:r>
          </w:p>
        </w:tc>
        <w:tc>
          <w:tcPr>
            <w:tcW w:w="1701" w:type="dxa"/>
            <w:noWrap/>
          </w:tcPr>
          <w:p w:rsidR="00173186" w:rsidRDefault="00EF4F81">
            <w:pPr>
              <w:spacing w:line="480" w:lineRule="auto"/>
              <w:jc w:val="thaiDistribute"/>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 p = 0.208</w:t>
            </w:r>
          </w:p>
        </w:tc>
        <w:tc>
          <w:tcPr>
            <w:tcW w:w="1508" w:type="dxa"/>
            <w:noWrap/>
          </w:tcPr>
          <w:p w:rsidR="00173186" w:rsidRDefault="00EF4F81">
            <w:pPr>
              <w:spacing w:line="480" w:lineRule="auto"/>
              <w:jc w:val="thaiDistribute"/>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p = 0.18</w:t>
            </w:r>
          </w:p>
        </w:tc>
      </w:tr>
      <w:tr w:rsidR="00173186">
        <w:trPr>
          <w:trHeight w:val="600"/>
        </w:trPr>
        <w:tc>
          <w:tcPr>
            <w:tcW w:w="1502" w:type="dxa"/>
            <w:hideMark/>
          </w:tcPr>
          <w:p w:rsidR="00173186" w:rsidRDefault="00EF4F81">
            <w:pPr>
              <w:spacing w:line="480" w:lineRule="auto"/>
              <w:jc w:val="thaiDistribute"/>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Effect of LPS</w:t>
            </w:r>
          </w:p>
        </w:tc>
        <w:tc>
          <w:tcPr>
            <w:tcW w:w="1503" w:type="dxa"/>
          </w:tcPr>
          <w:p w:rsidR="00173186" w:rsidRDefault="00EF4F81">
            <w:pPr>
              <w:spacing w:line="480" w:lineRule="auto"/>
              <w:jc w:val="thaiDistribute"/>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p = 0.431</w:t>
            </w:r>
          </w:p>
        </w:tc>
        <w:tc>
          <w:tcPr>
            <w:tcW w:w="1503" w:type="dxa"/>
          </w:tcPr>
          <w:p w:rsidR="00173186" w:rsidRDefault="00EF4F81">
            <w:pPr>
              <w:spacing w:line="480" w:lineRule="auto"/>
              <w:jc w:val="thaiDistribute"/>
              <w:rPr>
                <w:rFonts w:asciiTheme="majorBidi" w:eastAsia="Times New Roman" w:hAnsiTheme="majorBidi" w:cstheme="majorBidi"/>
                <w:szCs w:val="24"/>
                <w:lang w:eastAsia="zh-CN"/>
              </w:rPr>
            </w:pPr>
            <w:r>
              <w:rPr>
                <w:rFonts w:asciiTheme="majorBidi" w:eastAsia="Times New Roman" w:hAnsiTheme="majorBidi" w:cstheme="majorBidi"/>
                <w:color w:val="000000"/>
                <w:szCs w:val="24"/>
                <w:lang w:eastAsia="zh-CN"/>
              </w:rPr>
              <w:t>p = 0.586</w:t>
            </w:r>
          </w:p>
        </w:tc>
        <w:tc>
          <w:tcPr>
            <w:tcW w:w="1299" w:type="dxa"/>
          </w:tcPr>
          <w:p w:rsidR="00173186" w:rsidRDefault="00EF4F81">
            <w:pPr>
              <w:spacing w:line="480" w:lineRule="auto"/>
              <w:jc w:val="thaiDistribute"/>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 xml:space="preserve">p = </w:t>
            </w:r>
            <w:r>
              <w:rPr>
                <w:rFonts w:asciiTheme="majorBidi" w:eastAsia="Times New Roman" w:hAnsiTheme="majorBidi" w:cstheme="majorBidi"/>
                <w:color w:val="000000"/>
                <w:szCs w:val="24"/>
                <w:lang w:eastAsia="zh-CN"/>
              </w:rPr>
              <w:t>0.821</w:t>
            </w:r>
          </w:p>
        </w:tc>
        <w:tc>
          <w:tcPr>
            <w:tcW w:w="1701" w:type="dxa"/>
          </w:tcPr>
          <w:p w:rsidR="00173186" w:rsidRDefault="00EF4F81">
            <w:pPr>
              <w:spacing w:line="480" w:lineRule="auto"/>
              <w:jc w:val="thaiDistribute"/>
              <w:rPr>
                <w:rFonts w:asciiTheme="majorBidi" w:eastAsia="Times New Roman" w:hAnsiTheme="majorBidi" w:cstheme="majorBidi"/>
                <w:szCs w:val="24"/>
                <w:lang w:eastAsia="zh-CN"/>
              </w:rPr>
            </w:pPr>
            <w:r>
              <w:rPr>
                <w:rFonts w:asciiTheme="majorBidi" w:eastAsia="Times New Roman" w:hAnsiTheme="majorBidi" w:cstheme="majorBidi"/>
                <w:color w:val="000000"/>
                <w:szCs w:val="24"/>
                <w:lang w:eastAsia="zh-CN"/>
              </w:rPr>
              <w:t>p = 0.557</w:t>
            </w:r>
          </w:p>
        </w:tc>
        <w:tc>
          <w:tcPr>
            <w:tcW w:w="1508" w:type="dxa"/>
          </w:tcPr>
          <w:p w:rsidR="00173186" w:rsidRDefault="00EF4F81">
            <w:pPr>
              <w:spacing w:line="480" w:lineRule="auto"/>
              <w:jc w:val="thaiDistribute"/>
              <w:rPr>
                <w:rFonts w:asciiTheme="majorBidi" w:hAnsiTheme="majorBidi" w:cstheme="majorBidi"/>
                <w:szCs w:val="24"/>
              </w:rPr>
            </w:pPr>
            <w:r>
              <w:rPr>
                <w:rFonts w:asciiTheme="majorBidi" w:eastAsia="Times New Roman" w:hAnsiTheme="majorBidi" w:cstheme="majorBidi"/>
                <w:color w:val="000000"/>
                <w:szCs w:val="24"/>
                <w:lang w:eastAsia="zh-CN"/>
              </w:rPr>
              <w:t>p = 0.438</w:t>
            </w:r>
          </w:p>
          <w:p w:rsidR="00173186" w:rsidRDefault="00173186">
            <w:pPr>
              <w:spacing w:line="480" w:lineRule="auto"/>
              <w:jc w:val="thaiDistribute"/>
              <w:rPr>
                <w:rFonts w:asciiTheme="majorBidi" w:eastAsia="Times New Roman" w:hAnsiTheme="majorBidi" w:cstheme="majorBidi"/>
                <w:szCs w:val="24"/>
                <w:lang w:eastAsia="zh-CN"/>
              </w:rPr>
            </w:pPr>
          </w:p>
        </w:tc>
      </w:tr>
      <w:tr w:rsidR="00173186">
        <w:trPr>
          <w:trHeight w:val="600"/>
        </w:trPr>
        <w:tc>
          <w:tcPr>
            <w:tcW w:w="1502" w:type="dxa"/>
          </w:tcPr>
          <w:p w:rsidR="00173186" w:rsidRDefault="00EF4F81">
            <w:pPr>
              <w:spacing w:line="480" w:lineRule="auto"/>
              <w:jc w:val="left"/>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Interaction Injury x treatment</w:t>
            </w:r>
          </w:p>
        </w:tc>
        <w:tc>
          <w:tcPr>
            <w:tcW w:w="1503" w:type="dxa"/>
            <w:vAlign w:val="center"/>
          </w:tcPr>
          <w:p w:rsidR="00173186" w:rsidRDefault="00EF4F81">
            <w:pPr>
              <w:spacing w:line="480" w:lineRule="auto"/>
              <w:jc w:val="left"/>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p = 0.981</w:t>
            </w:r>
          </w:p>
        </w:tc>
        <w:tc>
          <w:tcPr>
            <w:tcW w:w="1503" w:type="dxa"/>
            <w:vAlign w:val="center"/>
          </w:tcPr>
          <w:p w:rsidR="00173186" w:rsidRDefault="00EF4F81">
            <w:pPr>
              <w:spacing w:line="480" w:lineRule="auto"/>
              <w:jc w:val="left"/>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p = 0.56</w:t>
            </w:r>
          </w:p>
        </w:tc>
        <w:tc>
          <w:tcPr>
            <w:tcW w:w="1299" w:type="dxa"/>
            <w:vAlign w:val="center"/>
          </w:tcPr>
          <w:p w:rsidR="00173186" w:rsidRDefault="00EF4F81">
            <w:pPr>
              <w:spacing w:line="480" w:lineRule="auto"/>
              <w:jc w:val="left"/>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p = 0.931</w:t>
            </w:r>
          </w:p>
        </w:tc>
        <w:tc>
          <w:tcPr>
            <w:tcW w:w="1701" w:type="dxa"/>
            <w:vAlign w:val="center"/>
          </w:tcPr>
          <w:p w:rsidR="00173186" w:rsidRDefault="00EF4F81">
            <w:pPr>
              <w:spacing w:line="480" w:lineRule="auto"/>
              <w:jc w:val="left"/>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p = 0.417</w:t>
            </w:r>
          </w:p>
        </w:tc>
        <w:tc>
          <w:tcPr>
            <w:tcW w:w="1508" w:type="dxa"/>
            <w:vAlign w:val="center"/>
          </w:tcPr>
          <w:p w:rsidR="00173186" w:rsidRDefault="00EF4F81">
            <w:pPr>
              <w:spacing w:line="480" w:lineRule="auto"/>
              <w:jc w:val="left"/>
              <w:rPr>
                <w:rFonts w:asciiTheme="majorBidi" w:eastAsia="Times New Roman" w:hAnsiTheme="majorBidi" w:cstheme="majorBidi"/>
                <w:color w:val="000000"/>
                <w:szCs w:val="24"/>
                <w:lang w:eastAsia="zh-CN"/>
              </w:rPr>
            </w:pPr>
            <w:r>
              <w:rPr>
                <w:rFonts w:asciiTheme="majorBidi" w:eastAsia="Times New Roman" w:hAnsiTheme="majorBidi" w:cstheme="majorBidi"/>
                <w:color w:val="000000"/>
                <w:szCs w:val="24"/>
                <w:lang w:eastAsia="zh-CN"/>
              </w:rPr>
              <w:t>p = 0.758</w:t>
            </w:r>
          </w:p>
        </w:tc>
      </w:tr>
    </w:tbl>
    <w:p w:rsidR="00173186" w:rsidRDefault="00173186">
      <w:pPr>
        <w:spacing w:line="480" w:lineRule="auto"/>
        <w:rPr>
          <w:rFonts w:asciiTheme="majorBidi" w:hAnsiTheme="majorBidi" w:cstheme="majorBidi"/>
          <w:szCs w:val="24"/>
          <w:lang w:val="en-US"/>
        </w:rPr>
      </w:pPr>
    </w:p>
    <w:p w:rsidR="00173186" w:rsidRPr="00EF4F81" w:rsidRDefault="00EF4F81" w:rsidP="00EF4F81">
      <w:pPr>
        <w:spacing w:line="480" w:lineRule="auto"/>
        <w:rPr>
          <w:rFonts w:asciiTheme="majorBidi" w:hAnsiTheme="majorBidi" w:cstheme="majorBidi"/>
          <w:szCs w:val="24"/>
          <w:lang w:val="en-US"/>
        </w:rPr>
      </w:pPr>
      <w:r>
        <w:rPr>
          <w:rFonts w:asciiTheme="majorBidi" w:hAnsiTheme="majorBidi" w:cstheme="majorBidi"/>
          <w:szCs w:val="24"/>
          <w:lang w:val="en-US"/>
        </w:rPr>
        <w:t xml:space="preserve">Inflammatory cytokines were quantified at 4 d post-LPS by multiplex assay. Cytokines levels were not different at this time-point as they might </w:t>
      </w:r>
      <w:r>
        <w:rPr>
          <w:rFonts w:asciiTheme="majorBidi" w:hAnsiTheme="majorBidi" w:cstheme="majorBidi"/>
          <w:szCs w:val="24"/>
          <w:lang w:val="en-US"/>
        </w:rPr>
        <w:t>have returned to the baseline after transiently changing protein levels at a more acute time-point (i.e. 24 h post-LPS as shown in Table 2). Furthermore, none of these cytokines were altered in response to TBI at this time point. Two-way ANOVA; n.s. n=5-6/</w:t>
      </w:r>
      <w:r>
        <w:rPr>
          <w:rFonts w:asciiTheme="majorBidi" w:hAnsiTheme="majorBidi" w:cstheme="majorBidi"/>
          <w:szCs w:val="24"/>
          <w:lang w:val="en-US"/>
        </w:rPr>
        <w:t>group.</w:t>
      </w:r>
    </w:p>
    <w:sectPr w:rsidR="00173186" w:rsidRPr="00EF4F8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F81" w:rsidRDefault="00EF4F81" w:rsidP="00EF4F81">
      <w:pPr>
        <w:spacing w:after="0" w:line="240" w:lineRule="auto"/>
      </w:pPr>
      <w:r>
        <w:separator/>
      </w:r>
    </w:p>
  </w:endnote>
  <w:endnote w:type="continuationSeparator" w:id="0">
    <w:p w:rsidR="00EF4F81" w:rsidRDefault="00EF4F81" w:rsidP="00EF4F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altName w:val="Times New Roman PSMT"/>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056987"/>
      <w:docPartObj>
        <w:docPartGallery w:val="Page Numbers (Bottom of Page)"/>
        <w:docPartUnique/>
      </w:docPartObj>
    </w:sdtPr>
    <w:sdtEndPr>
      <w:rPr>
        <w:noProof/>
      </w:rPr>
    </w:sdtEndPr>
    <w:sdtContent>
      <w:p w:rsidR="00EF4F81" w:rsidRDefault="00EF4F81">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EF4F81" w:rsidRDefault="00EF4F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F81" w:rsidRDefault="00EF4F81" w:rsidP="00EF4F81">
      <w:pPr>
        <w:spacing w:after="0" w:line="240" w:lineRule="auto"/>
      </w:pPr>
      <w:r>
        <w:separator/>
      </w:r>
    </w:p>
  </w:footnote>
  <w:footnote w:type="continuationSeparator" w:id="0">
    <w:p w:rsidR="00EF4F81" w:rsidRDefault="00EF4F81" w:rsidP="00EF4F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186"/>
    <w:rsid w:val="00173186"/>
    <w:rsid w:val="00EF4F8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A0FB172"/>
  <w15:chartTrackingRefBased/>
  <w15:docId w15:val="{EABF0798-31F0-44E8-B0B8-C750E845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jc w:val="both"/>
    </w:pPr>
    <w:rPr>
      <w:rFonts w:ascii="Times New Roman" w:hAnsi="Times New Roman"/>
      <w:sz w:val="24"/>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jc w:val="left"/>
    </w:pPr>
    <w:rPr>
      <w:rFonts w:ascii="Segoe UI" w:hAnsi="Segoe UI" w:cs="Segoe UI"/>
      <w:sz w:val="18"/>
      <w:szCs w:val="18"/>
      <w:lang w:val="en-US"/>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styleId="TableGrid">
    <w:name w:val="Table Grid"/>
    <w:basedOn w:val="TableNormal"/>
    <w:uiPriority w:val="3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rFonts w:ascii="Times New Roman" w:hAnsi="Times New Roman"/>
      <w:sz w:val="20"/>
      <w:szCs w:val="20"/>
      <w:lang w:val="en-AU"/>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b/>
      <w:bCs/>
      <w:sz w:val="20"/>
      <w:szCs w:val="20"/>
      <w:lang w:val="en-AU"/>
    </w:rPr>
  </w:style>
  <w:style w:type="paragraph" w:styleId="Header">
    <w:name w:val="header"/>
    <w:basedOn w:val="Normal"/>
    <w:link w:val="HeaderChar"/>
    <w:uiPriority w:val="99"/>
    <w:unhideWhenUsed/>
    <w:rsid w:val="00EF4F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F4F81"/>
    <w:rPr>
      <w:rFonts w:ascii="Times New Roman" w:hAnsi="Times New Roman"/>
      <w:sz w:val="24"/>
      <w:lang w:val="en-AU"/>
    </w:rPr>
  </w:style>
  <w:style w:type="paragraph" w:styleId="Footer">
    <w:name w:val="footer"/>
    <w:basedOn w:val="Normal"/>
    <w:link w:val="FooterChar"/>
    <w:uiPriority w:val="99"/>
    <w:unhideWhenUsed/>
    <w:rsid w:val="00EF4F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F4F81"/>
    <w:rPr>
      <w:rFonts w:ascii="Times New Roman" w:hAnsi="Times New Roman"/>
      <w:sz w:val="24"/>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8905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817</Words>
  <Characters>4659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Rishabh Sharma</dc:creator>
  <cp:keywords/>
  <dc:description/>
  <cp:lastModifiedBy>Bridgette Semple</cp:lastModifiedBy>
  <cp:revision>2</cp:revision>
  <dcterms:created xsi:type="dcterms:W3CDTF">2021-01-31T22:38:00Z</dcterms:created>
  <dcterms:modified xsi:type="dcterms:W3CDTF">2021-01-31T22:38:00Z</dcterms:modified>
</cp:coreProperties>
</file>