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76"/>
        <w:gridCol w:w="5171"/>
        <w:gridCol w:w="1947"/>
        <w:gridCol w:w="982"/>
      </w:tblGrid>
      <w:tr w:rsidR="00CF1A34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CF1A34" w:rsidRPr="00085ED7" w:rsidRDefault="00CF1A34" w:rsidP="00CA6278">
            <w:pPr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GOID</w:t>
            </w:r>
          </w:p>
        </w:tc>
        <w:tc>
          <w:tcPr>
            <w:tcW w:w="8177" w:type="dxa"/>
            <w:vAlign w:val="center"/>
          </w:tcPr>
          <w:p w:rsidR="00CF1A34" w:rsidRPr="00085ED7" w:rsidRDefault="00CF1A34" w:rsidP="00CA6278">
            <w:pPr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GO Term</w:t>
            </w:r>
          </w:p>
        </w:tc>
        <w:tc>
          <w:tcPr>
            <w:tcW w:w="2497" w:type="dxa"/>
            <w:vAlign w:val="center"/>
          </w:tcPr>
          <w:p w:rsidR="00CF1A34" w:rsidRPr="00085ED7" w:rsidRDefault="00CF1A34" w:rsidP="00CA627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85ED7">
              <w:rPr>
                <w:rFonts w:ascii="Times New Roman" w:hAnsi="Times New Roman" w:cs="Times New Roman"/>
              </w:rPr>
              <w:t>Benjamini</w:t>
            </w:r>
            <w:proofErr w:type="spellEnd"/>
            <w:r w:rsidRPr="00085ED7">
              <w:rPr>
                <w:rFonts w:ascii="Times New Roman" w:hAnsi="Times New Roman" w:cs="Times New Roman"/>
              </w:rPr>
              <w:t>-Hochberg</w:t>
            </w:r>
          </w:p>
          <w:p w:rsidR="00CF1A34" w:rsidRPr="00085ED7" w:rsidRDefault="00CF1A34" w:rsidP="00CA6278">
            <w:pPr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P value</w:t>
            </w:r>
          </w:p>
        </w:tc>
        <w:tc>
          <w:tcPr>
            <w:tcW w:w="1045" w:type="dxa"/>
            <w:vAlign w:val="center"/>
          </w:tcPr>
          <w:p w:rsidR="00CF1A34" w:rsidRPr="00085ED7" w:rsidRDefault="00CF1A34" w:rsidP="00CA6278">
            <w:pPr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Number of genes</w:t>
            </w:r>
          </w:p>
        </w:tc>
      </w:tr>
      <w:tr w:rsidR="00CF1A34" w:rsidRPr="00085ED7" w:rsidTr="00CA6278">
        <w:trPr>
          <w:trHeight w:hRule="exact" w:val="283"/>
        </w:trPr>
        <w:tc>
          <w:tcPr>
            <w:tcW w:w="13368" w:type="dxa"/>
            <w:gridSpan w:val="4"/>
          </w:tcPr>
          <w:p w:rsidR="00CF1A34" w:rsidRPr="00085ED7" w:rsidRDefault="00CF1A34" w:rsidP="00CA6278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85ED7">
              <w:rPr>
                <w:rFonts w:ascii="Times New Roman" w:hAnsi="Times New Roman" w:cs="Times New Roman"/>
                <w:b/>
                <w:sz w:val="22"/>
              </w:rPr>
              <w:t>Biological process</w:t>
            </w:r>
          </w:p>
        </w:tc>
      </w:tr>
      <w:tr w:rsidR="00CF1A34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CF1A34" w:rsidRPr="00085ED7" w:rsidRDefault="00CF1A34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GO:0043368</w:t>
            </w:r>
          </w:p>
        </w:tc>
        <w:tc>
          <w:tcPr>
            <w:tcW w:w="8177" w:type="dxa"/>
            <w:vAlign w:val="center"/>
          </w:tcPr>
          <w:p w:rsidR="00CF1A34" w:rsidRPr="00085ED7" w:rsidRDefault="00CF1A34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positive T cell selection</w:t>
            </w:r>
          </w:p>
        </w:tc>
        <w:tc>
          <w:tcPr>
            <w:tcW w:w="2497" w:type="dxa"/>
            <w:vAlign w:val="center"/>
          </w:tcPr>
          <w:p w:rsidR="00CF1A34" w:rsidRPr="00085ED7" w:rsidRDefault="00CF1A34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0.00001435</w:t>
            </w:r>
          </w:p>
        </w:tc>
        <w:tc>
          <w:tcPr>
            <w:tcW w:w="1045" w:type="dxa"/>
            <w:vAlign w:val="center"/>
          </w:tcPr>
          <w:p w:rsidR="00CF1A34" w:rsidRPr="00085ED7" w:rsidRDefault="00CF1A34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CF1A34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CF1A34" w:rsidRPr="00085ED7" w:rsidRDefault="00CF1A34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GO:0001909</w:t>
            </w:r>
          </w:p>
        </w:tc>
        <w:tc>
          <w:tcPr>
            <w:tcW w:w="8177" w:type="dxa"/>
            <w:vAlign w:val="center"/>
          </w:tcPr>
          <w:p w:rsidR="00CF1A34" w:rsidRPr="00085ED7" w:rsidRDefault="00CF1A34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leukocyte mediated cytotoxicity</w:t>
            </w:r>
          </w:p>
        </w:tc>
        <w:tc>
          <w:tcPr>
            <w:tcW w:w="2497" w:type="dxa"/>
            <w:vAlign w:val="center"/>
          </w:tcPr>
          <w:p w:rsidR="00CF1A34" w:rsidRPr="00085ED7" w:rsidRDefault="00CF1A34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0.00007742</w:t>
            </w:r>
          </w:p>
        </w:tc>
        <w:tc>
          <w:tcPr>
            <w:tcW w:w="1045" w:type="dxa"/>
            <w:vAlign w:val="center"/>
          </w:tcPr>
          <w:p w:rsidR="00CF1A34" w:rsidRPr="00085ED7" w:rsidRDefault="00CF1A34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CF1A34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CF1A34" w:rsidRPr="00085ED7" w:rsidRDefault="00CF1A34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GO:0002228</w:t>
            </w:r>
          </w:p>
        </w:tc>
        <w:tc>
          <w:tcPr>
            <w:tcW w:w="8177" w:type="dxa"/>
            <w:vAlign w:val="center"/>
          </w:tcPr>
          <w:p w:rsidR="00CF1A34" w:rsidRPr="00085ED7" w:rsidRDefault="00CF1A34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natural killer cell mediated immunity</w:t>
            </w:r>
          </w:p>
        </w:tc>
        <w:tc>
          <w:tcPr>
            <w:tcW w:w="2497" w:type="dxa"/>
            <w:vAlign w:val="center"/>
          </w:tcPr>
          <w:p w:rsidR="00CF1A34" w:rsidRPr="00085ED7" w:rsidRDefault="00CF1A34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0.000006655</w:t>
            </w:r>
          </w:p>
        </w:tc>
        <w:tc>
          <w:tcPr>
            <w:tcW w:w="1045" w:type="dxa"/>
            <w:vAlign w:val="center"/>
          </w:tcPr>
          <w:p w:rsidR="00CF1A34" w:rsidRPr="00085ED7" w:rsidRDefault="00CF1A34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CF1A34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CF1A34" w:rsidRPr="00085ED7" w:rsidRDefault="00CF1A34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GO:0019083</w:t>
            </w:r>
          </w:p>
        </w:tc>
        <w:tc>
          <w:tcPr>
            <w:tcW w:w="8177" w:type="dxa"/>
            <w:vAlign w:val="center"/>
          </w:tcPr>
          <w:p w:rsidR="00CF1A34" w:rsidRPr="00085ED7" w:rsidRDefault="00CF1A34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viral transcription</w:t>
            </w:r>
          </w:p>
        </w:tc>
        <w:tc>
          <w:tcPr>
            <w:tcW w:w="2497" w:type="dxa"/>
            <w:vAlign w:val="center"/>
          </w:tcPr>
          <w:p w:rsidR="00CF1A34" w:rsidRPr="00085ED7" w:rsidRDefault="00CF1A34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1.0339E-15</w:t>
            </w:r>
          </w:p>
        </w:tc>
        <w:tc>
          <w:tcPr>
            <w:tcW w:w="1045" w:type="dxa"/>
            <w:vAlign w:val="center"/>
          </w:tcPr>
          <w:p w:rsidR="00CF1A34" w:rsidRPr="00085ED7" w:rsidRDefault="00CF1A34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CF1A34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CF1A34" w:rsidRPr="00085ED7" w:rsidRDefault="00CF1A34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GO:0090150</w:t>
            </w:r>
          </w:p>
        </w:tc>
        <w:tc>
          <w:tcPr>
            <w:tcW w:w="8177" w:type="dxa"/>
            <w:vAlign w:val="center"/>
          </w:tcPr>
          <w:p w:rsidR="00CF1A34" w:rsidRPr="00085ED7" w:rsidRDefault="00CF1A34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establishment of protein localization to membrane</w:t>
            </w:r>
          </w:p>
        </w:tc>
        <w:tc>
          <w:tcPr>
            <w:tcW w:w="2497" w:type="dxa"/>
            <w:vAlign w:val="center"/>
          </w:tcPr>
          <w:p w:rsidR="00CF1A34" w:rsidRPr="00085ED7" w:rsidRDefault="00CF1A34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9.5750E-12</w:t>
            </w:r>
          </w:p>
        </w:tc>
        <w:tc>
          <w:tcPr>
            <w:tcW w:w="1045" w:type="dxa"/>
            <w:vAlign w:val="center"/>
          </w:tcPr>
          <w:p w:rsidR="00CF1A34" w:rsidRPr="00085ED7" w:rsidRDefault="00CF1A34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CF1A34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CF1A34" w:rsidRPr="00085ED7" w:rsidRDefault="00CF1A34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GO:0006605</w:t>
            </w:r>
          </w:p>
        </w:tc>
        <w:tc>
          <w:tcPr>
            <w:tcW w:w="8177" w:type="dxa"/>
            <w:vAlign w:val="center"/>
          </w:tcPr>
          <w:p w:rsidR="00CF1A34" w:rsidRPr="00085ED7" w:rsidRDefault="00CF1A34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protein targeting</w:t>
            </w:r>
          </w:p>
        </w:tc>
        <w:tc>
          <w:tcPr>
            <w:tcW w:w="2497" w:type="dxa"/>
            <w:vAlign w:val="center"/>
          </w:tcPr>
          <w:p w:rsidR="00CF1A34" w:rsidRPr="00085ED7" w:rsidRDefault="00CF1A34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2.5934E-10</w:t>
            </w:r>
          </w:p>
        </w:tc>
        <w:tc>
          <w:tcPr>
            <w:tcW w:w="1045" w:type="dxa"/>
            <w:vAlign w:val="center"/>
          </w:tcPr>
          <w:p w:rsidR="00CF1A34" w:rsidRPr="00085ED7" w:rsidRDefault="00CF1A34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CF1A34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CF1A34" w:rsidRPr="00085ED7" w:rsidRDefault="00CF1A34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GO:0000184</w:t>
            </w:r>
          </w:p>
        </w:tc>
        <w:tc>
          <w:tcPr>
            <w:tcW w:w="8177" w:type="dxa"/>
            <w:vAlign w:val="center"/>
          </w:tcPr>
          <w:p w:rsidR="00CF1A34" w:rsidRPr="00085ED7" w:rsidRDefault="00CF1A34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nuclear-transcribed mRNA catabolic process, nonsense-mediated decay</w:t>
            </w:r>
          </w:p>
        </w:tc>
        <w:tc>
          <w:tcPr>
            <w:tcW w:w="2497" w:type="dxa"/>
            <w:vAlign w:val="center"/>
          </w:tcPr>
          <w:p w:rsidR="00CF1A34" w:rsidRPr="00085ED7" w:rsidRDefault="00CF1A34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1.8570E-16</w:t>
            </w:r>
          </w:p>
        </w:tc>
        <w:tc>
          <w:tcPr>
            <w:tcW w:w="1045" w:type="dxa"/>
            <w:vAlign w:val="center"/>
          </w:tcPr>
          <w:p w:rsidR="00CF1A34" w:rsidRPr="00085ED7" w:rsidRDefault="00CF1A34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CF1A34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CF1A34" w:rsidRPr="00085ED7" w:rsidRDefault="00CF1A34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GO:0006614</w:t>
            </w:r>
          </w:p>
        </w:tc>
        <w:tc>
          <w:tcPr>
            <w:tcW w:w="8177" w:type="dxa"/>
            <w:vAlign w:val="center"/>
          </w:tcPr>
          <w:p w:rsidR="00CF1A34" w:rsidRPr="00085ED7" w:rsidRDefault="00CF1A34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 xml:space="preserve">SRP-dependent </w:t>
            </w:r>
            <w:proofErr w:type="spellStart"/>
            <w:r w:rsidRPr="00085ED7">
              <w:rPr>
                <w:rFonts w:ascii="Times New Roman" w:hAnsi="Times New Roman" w:cs="Times New Roman"/>
              </w:rPr>
              <w:t>cotranslational</w:t>
            </w:r>
            <w:proofErr w:type="spellEnd"/>
            <w:r w:rsidRPr="00085ED7">
              <w:rPr>
                <w:rFonts w:ascii="Times New Roman" w:hAnsi="Times New Roman" w:cs="Times New Roman"/>
              </w:rPr>
              <w:t xml:space="preserve"> protein targeting to membrane</w:t>
            </w:r>
          </w:p>
        </w:tc>
        <w:tc>
          <w:tcPr>
            <w:tcW w:w="2497" w:type="dxa"/>
            <w:vAlign w:val="center"/>
          </w:tcPr>
          <w:p w:rsidR="00CF1A34" w:rsidRPr="00085ED7" w:rsidRDefault="00CF1A34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1.9217E-17</w:t>
            </w:r>
          </w:p>
        </w:tc>
        <w:tc>
          <w:tcPr>
            <w:tcW w:w="1045" w:type="dxa"/>
            <w:vAlign w:val="center"/>
          </w:tcPr>
          <w:p w:rsidR="00CF1A34" w:rsidRPr="00085ED7" w:rsidRDefault="00CF1A34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CF1A34" w:rsidRPr="00085ED7" w:rsidTr="00CA6278">
        <w:trPr>
          <w:trHeight w:hRule="exact" w:val="283"/>
        </w:trPr>
        <w:tc>
          <w:tcPr>
            <w:tcW w:w="13368" w:type="dxa"/>
            <w:gridSpan w:val="4"/>
            <w:vAlign w:val="center"/>
          </w:tcPr>
          <w:p w:rsidR="00CF1A34" w:rsidRPr="00085ED7" w:rsidRDefault="00CF1A34" w:rsidP="00CA6278">
            <w:pPr>
              <w:jc w:val="center"/>
              <w:rPr>
                <w:rFonts w:ascii="Times New Roman" w:eastAsia="MS PGothic" w:hAnsi="Times New Roman" w:cs="Times New Roman"/>
                <w:b/>
                <w:szCs w:val="20"/>
              </w:rPr>
            </w:pPr>
            <w:r w:rsidRPr="00085ED7">
              <w:rPr>
                <w:rFonts w:ascii="Times New Roman" w:eastAsia="MS PGothic" w:hAnsi="Times New Roman" w:cs="Times New Roman"/>
                <w:b/>
                <w:szCs w:val="24"/>
              </w:rPr>
              <w:t>Cellular components</w:t>
            </w:r>
          </w:p>
        </w:tc>
      </w:tr>
      <w:tr w:rsidR="00CF1A34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CF1A34" w:rsidRPr="00085ED7" w:rsidRDefault="00CF1A34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GO:0022625</w:t>
            </w:r>
          </w:p>
        </w:tc>
        <w:tc>
          <w:tcPr>
            <w:tcW w:w="8177" w:type="dxa"/>
            <w:vAlign w:val="center"/>
          </w:tcPr>
          <w:p w:rsidR="00CF1A34" w:rsidRPr="00085ED7" w:rsidRDefault="00CF1A34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cytosolic large ribosomal subunit</w:t>
            </w:r>
          </w:p>
        </w:tc>
        <w:tc>
          <w:tcPr>
            <w:tcW w:w="2497" w:type="dxa"/>
            <w:vAlign w:val="center"/>
          </w:tcPr>
          <w:p w:rsidR="00CF1A34" w:rsidRPr="00085ED7" w:rsidRDefault="00CF1A34" w:rsidP="00CA6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4.8157E-09</w:t>
            </w:r>
          </w:p>
        </w:tc>
        <w:tc>
          <w:tcPr>
            <w:tcW w:w="1045" w:type="dxa"/>
            <w:vAlign w:val="center"/>
          </w:tcPr>
          <w:p w:rsidR="00CF1A34" w:rsidRPr="00085ED7" w:rsidRDefault="00CF1A34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CF1A34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CF1A34" w:rsidRPr="00085ED7" w:rsidRDefault="00CF1A34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GO:0022627</w:t>
            </w:r>
          </w:p>
        </w:tc>
        <w:tc>
          <w:tcPr>
            <w:tcW w:w="8177" w:type="dxa"/>
            <w:vAlign w:val="center"/>
          </w:tcPr>
          <w:p w:rsidR="00CF1A34" w:rsidRPr="00085ED7" w:rsidRDefault="00CF1A34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cytosolic small ribosomal subunit</w:t>
            </w:r>
          </w:p>
        </w:tc>
        <w:tc>
          <w:tcPr>
            <w:tcW w:w="2497" w:type="dxa"/>
            <w:vAlign w:val="center"/>
          </w:tcPr>
          <w:p w:rsidR="00CF1A34" w:rsidRPr="00085ED7" w:rsidRDefault="00CF1A34" w:rsidP="00CA6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1.7992E-09</w:t>
            </w:r>
          </w:p>
        </w:tc>
        <w:tc>
          <w:tcPr>
            <w:tcW w:w="1045" w:type="dxa"/>
            <w:vAlign w:val="center"/>
          </w:tcPr>
          <w:p w:rsidR="00CF1A34" w:rsidRPr="00085ED7" w:rsidRDefault="00CF1A34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CF1A34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CF1A34" w:rsidRPr="00085ED7" w:rsidRDefault="00CF1A34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GO:0042101</w:t>
            </w:r>
          </w:p>
        </w:tc>
        <w:tc>
          <w:tcPr>
            <w:tcW w:w="8177" w:type="dxa"/>
            <w:vAlign w:val="center"/>
          </w:tcPr>
          <w:p w:rsidR="00CF1A34" w:rsidRPr="00085ED7" w:rsidRDefault="00CF1A34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T cell receptor complex</w:t>
            </w:r>
          </w:p>
        </w:tc>
        <w:tc>
          <w:tcPr>
            <w:tcW w:w="2497" w:type="dxa"/>
            <w:vAlign w:val="center"/>
          </w:tcPr>
          <w:p w:rsidR="00CF1A34" w:rsidRPr="00085ED7" w:rsidRDefault="00CF1A34" w:rsidP="00CA6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0.00001596</w:t>
            </w:r>
          </w:p>
        </w:tc>
        <w:tc>
          <w:tcPr>
            <w:tcW w:w="1045" w:type="dxa"/>
            <w:vAlign w:val="center"/>
          </w:tcPr>
          <w:p w:rsidR="00CF1A34" w:rsidRPr="00085ED7" w:rsidRDefault="00CF1A34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CF1A34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CF1A34" w:rsidRPr="00085ED7" w:rsidRDefault="00CF1A34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GO:0042105</w:t>
            </w:r>
          </w:p>
        </w:tc>
        <w:tc>
          <w:tcPr>
            <w:tcW w:w="8177" w:type="dxa"/>
            <w:vAlign w:val="center"/>
          </w:tcPr>
          <w:p w:rsidR="00CF1A34" w:rsidRPr="00085ED7" w:rsidRDefault="00CF1A34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alpha-beta T cell receptor complex</w:t>
            </w:r>
          </w:p>
        </w:tc>
        <w:tc>
          <w:tcPr>
            <w:tcW w:w="2497" w:type="dxa"/>
            <w:vAlign w:val="center"/>
          </w:tcPr>
          <w:p w:rsidR="00CF1A34" w:rsidRPr="00085ED7" w:rsidRDefault="00CF1A34" w:rsidP="00CA6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3.3485E-06</w:t>
            </w:r>
          </w:p>
        </w:tc>
        <w:tc>
          <w:tcPr>
            <w:tcW w:w="1045" w:type="dxa"/>
            <w:vAlign w:val="center"/>
          </w:tcPr>
          <w:p w:rsidR="00CF1A34" w:rsidRPr="00085ED7" w:rsidRDefault="00CF1A34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CF1A34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CF1A34" w:rsidRPr="00085ED7" w:rsidRDefault="00CF1A34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GO:0022626</w:t>
            </w:r>
          </w:p>
        </w:tc>
        <w:tc>
          <w:tcPr>
            <w:tcW w:w="8177" w:type="dxa"/>
            <w:vAlign w:val="center"/>
          </w:tcPr>
          <w:p w:rsidR="00CF1A34" w:rsidRPr="00085ED7" w:rsidRDefault="00CF1A34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cytosolic ribosome</w:t>
            </w:r>
          </w:p>
        </w:tc>
        <w:tc>
          <w:tcPr>
            <w:tcW w:w="2497" w:type="dxa"/>
            <w:vAlign w:val="center"/>
          </w:tcPr>
          <w:p w:rsidR="00CF1A34" w:rsidRPr="00085ED7" w:rsidRDefault="00CF1A34" w:rsidP="00CA6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5.7048E-17</w:t>
            </w:r>
          </w:p>
        </w:tc>
        <w:tc>
          <w:tcPr>
            <w:tcW w:w="1045" w:type="dxa"/>
            <w:vAlign w:val="center"/>
          </w:tcPr>
          <w:p w:rsidR="00CF1A34" w:rsidRPr="00085ED7" w:rsidRDefault="00CF1A34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CF1A34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CF1A34" w:rsidRPr="00085ED7" w:rsidRDefault="00CF1A34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GO:0044391</w:t>
            </w:r>
          </w:p>
        </w:tc>
        <w:tc>
          <w:tcPr>
            <w:tcW w:w="8177" w:type="dxa"/>
            <w:vAlign w:val="center"/>
          </w:tcPr>
          <w:p w:rsidR="00CF1A34" w:rsidRPr="00085ED7" w:rsidRDefault="00CF1A34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ribosomal subunit</w:t>
            </w:r>
          </w:p>
        </w:tc>
        <w:tc>
          <w:tcPr>
            <w:tcW w:w="2497" w:type="dxa"/>
            <w:vAlign w:val="center"/>
          </w:tcPr>
          <w:p w:rsidR="00CF1A34" w:rsidRPr="00085ED7" w:rsidRDefault="00CF1A34" w:rsidP="00CA6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4.6884E-14</w:t>
            </w:r>
          </w:p>
        </w:tc>
        <w:tc>
          <w:tcPr>
            <w:tcW w:w="1045" w:type="dxa"/>
            <w:vAlign w:val="center"/>
          </w:tcPr>
          <w:p w:rsidR="00CF1A34" w:rsidRPr="00085ED7" w:rsidRDefault="00CF1A34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CF1A34" w:rsidRPr="00085ED7" w:rsidTr="00CA6278">
        <w:trPr>
          <w:trHeight w:hRule="exact" w:val="283"/>
        </w:trPr>
        <w:tc>
          <w:tcPr>
            <w:tcW w:w="13368" w:type="dxa"/>
            <w:gridSpan w:val="4"/>
            <w:vAlign w:val="center"/>
          </w:tcPr>
          <w:p w:rsidR="00CF1A34" w:rsidRPr="00085ED7" w:rsidRDefault="00CF1A34" w:rsidP="00CA627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b/>
              </w:rPr>
              <w:t>Molecular function</w:t>
            </w:r>
          </w:p>
        </w:tc>
      </w:tr>
      <w:tr w:rsidR="00CF1A34" w:rsidRPr="00085ED7" w:rsidTr="00CA6278">
        <w:trPr>
          <w:trHeight w:hRule="exact" w:val="283"/>
        </w:trPr>
        <w:tc>
          <w:tcPr>
            <w:tcW w:w="13368" w:type="dxa"/>
            <w:gridSpan w:val="4"/>
            <w:vAlign w:val="center"/>
          </w:tcPr>
          <w:p w:rsidR="00CF1A34" w:rsidRPr="00085ED7" w:rsidRDefault="00CF1A34" w:rsidP="00CA6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</w:rPr>
              <w:t>none</w:t>
            </w:r>
          </w:p>
        </w:tc>
      </w:tr>
    </w:tbl>
    <w:p w:rsidR="009D6D5B" w:rsidRPr="00CF1A34" w:rsidRDefault="009D6D5B" w:rsidP="00CF1A34">
      <w:bookmarkStart w:id="0" w:name="_GoBack"/>
      <w:bookmarkEnd w:id="0"/>
    </w:p>
    <w:sectPr w:rsidR="009D6D5B" w:rsidRPr="00CF1A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isplayBackgroundShape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582"/>
    <w:rsid w:val="00102856"/>
    <w:rsid w:val="00321A98"/>
    <w:rsid w:val="005E517A"/>
    <w:rsid w:val="009D6D5B"/>
    <w:rsid w:val="00B62F79"/>
    <w:rsid w:val="00B97582"/>
    <w:rsid w:val="00BE799C"/>
    <w:rsid w:val="00CF1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B97582"/>
    <w:rPr>
      <w:color w:val="0563C1" w:themeColor="hyperlink"/>
      <w:u w:val="single"/>
    </w:rPr>
  </w:style>
  <w:style w:type="character" w:customStyle="1" w:styleId="1">
    <w:name w:val="未解決のメンション1"/>
    <w:basedOn w:val="DefaultParagraphFont"/>
    <w:uiPriority w:val="99"/>
    <w:semiHidden/>
    <w:unhideWhenUsed/>
    <w:rsid w:val="00B9758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97582"/>
    <w:pPr>
      <w:widowControl w:val="0"/>
      <w:tabs>
        <w:tab w:val="center" w:pos="4252"/>
        <w:tab w:val="right" w:pos="8504"/>
      </w:tabs>
      <w:snapToGrid w:val="0"/>
      <w:spacing w:after="0" w:line="240" w:lineRule="auto"/>
      <w:jc w:val="both"/>
    </w:pPr>
    <w:rPr>
      <w:rFonts w:eastAsiaTheme="minorEastAsia"/>
      <w:kern w:val="2"/>
      <w:sz w:val="21"/>
      <w:lang w:eastAsia="ja-JP"/>
    </w:rPr>
  </w:style>
  <w:style w:type="character" w:customStyle="1" w:styleId="HeaderChar">
    <w:name w:val="Header Char"/>
    <w:basedOn w:val="DefaultParagraphFont"/>
    <w:link w:val="Header"/>
    <w:uiPriority w:val="99"/>
    <w:rsid w:val="00B97582"/>
    <w:rPr>
      <w:rFonts w:eastAsiaTheme="minorEastAsia"/>
      <w:kern w:val="2"/>
      <w:sz w:val="21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B97582"/>
    <w:pPr>
      <w:widowControl w:val="0"/>
      <w:tabs>
        <w:tab w:val="center" w:pos="4252"/>
        <w:tab w:val="right" w:pos="8504"/>
      </w:tabs>
      <w:snapToGrid w:val="0"/>
      <w:spacing w:after="0" w:line="240" w:lineRule="auto"/>
      <w:jc w:val="both"/>
    </w:pPr>
    <w:rPr>
      <w:rFonts w:eastAsiaTheme="minorEastAsia"/>
      <w:kern w:val="2"/>
      <w:sz w:val="21"/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B97582"/>
    <w:rPr>
      <w:rFonts w:eastAsiaTheme="minorEastAsia"/>
      <w:kern w:val="2"/>
      <w:sz w:val="21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7582"/>
    <w:pPr>
      <w:widowControl w:val="0"/>
      <w:spacing w:after="0" w:line="240" w:lineRule="auto"/>
      <w:jc w:val="both"/>
    </w:pPr>
    <w:rPr>
      <w:rFonts w:asciiTheme="majorHAnsi" w:eastAsiaTheme="majorEastAsia" w:hAnsiTheme="majorHAnsi" w:cstheme="majorBidi"/>
      <w:kern w:val="2"/>
      <w:sz w:val="18"/>
      <w:szCs w:val="18"/>
      <w:lang w:eastAsia="ja-JP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7582"/>
    <w:rPr>
      <w:rFonts w:asciiTheme="majorHAnsi" w:eastAsiaTheme="majorEastAsia" w:hAnsiTheme="majorHAnsi" w:cstheme="majorBidi"/>
      <w:kern w:val="2"/>
      <w:sz w:val="18"/>
      <w:szCs w:val="18"/>
      <w:lang w:eastAsia="ja-JP"/>
    </w:rPr>
  </w:style>
  <w:style w:type="paragraph" w:styleId="NormalWeb">
    <w:name w:val="Normal (Web)"/>
    <w:basedOn w:val="Normal"/>
    <w:uiPriority w:val="99"/>
    <w:semiHidden/>
    <w:unhideWhenUsed/>
    <w:rsid w:val="00B97582"/>
    <w:pPr>
      <w:widowControl w:val="0"/>
      <w:spacing w:after="0" w:line="240" w:lineRule="auto"/>
      <w:jc w:val="both"/>
    </w:pPr>
    <w:rPr>
      <w:rFonts w:ascii="Times New Roman" w:eastAsiaTheme="minorEastAsia" w:hAnsi="Times New Roman" w:cs="Times New Roman"/>
      <w:kern w:val="2"/>
      <w:sz w:val="24"/>
      <w:szCs w:val="24"/>
      <w:lang w:eastAsia="ja-JP"/>
    </w:rPr>
  </w:style>
  <w:style w:type="character" w:styleId="LineNumber">
    <w:name w:val="line number"/>
    <w:basedOn w:val="DefaultParagraphFont"/>
    <w:uiPriority w:val="99"/>
    <w:semiHidden/>
    <w:unhideWhenUsed/>
    <w:rsid w:val="00B97582"/>
  </w:style>
  <w:style w:type="paragraph" w:customStyle="1" w:styleId="EndNoteBibliographyTitle">
    <w:name w:val="EndNote Bibliography Title"/>
    <w:basedOn w:val="Normal"/>
    <w:link w:val="EndNoteBibliographyTitle0"/>
    <w:rsid w:val="00B97582"/>
    <w:pPr>
      <w:widowControl w:val="0"/>
      <w:spacing w:after="0" w:line="240" w:lineRule="auto"/>
      <w:jc w:val="center"/>
    </w:pPr>
    <w:rPr>
      <w:rFonts w:ascii="Yu Mincho" w:eastAsia="Yu Mincho" w:hAnsi="Yu Mincho"/>
      <w:noProof/>
      <w:kern w:val="2"/>
      <w:sz w:val="20"/>
      <w:lang w:eastAsia="ja-JP"/>
    </w:rPr>
  </w:style>
  <w:style w:type="character" w:customStyle="1" w:styleId="EndNoteBibliographyTitle0">
    <w:name w:val="EndNote Bibliography Title (文字)"/>
    <w:basedOn w:val="DefaultParagraphFont"/>
    <w:link w:val="EndNoteBibliographyTitle"/>
    <w:rsid w:val="00B97582"/>
    <w:rPr>
      <w:rFonts w:ascii="Yu Mincho" w:eastAsia="Yu Mincho" w:hAnsi="Yu Mincho"/>
      <w:noProof/>
      <w:kern w:val="2"/>
      <w:sz w:val="20"/>
      <w:lang w:eastAsia="ja-JP"/>
    </w:rPr>
  </w:style>
  <w:style w:type="paragraph" w:customStyle="1" w:styleId="EndNoteBibliography">
    <w:name w:val="EndNote Bibliography"/>
    <w:basedOn w:val="Normal"/>
    <w:link w:val="EndNoteBibliography0"/>
    <w:rsid w:val="00B97582"/>
    <w:pPr>
      <w:widowControl w:val="0"/>
      <w:spacing w:after="0" w:line="240" w:lineRule="auto"/>
      <w:jc w:val="both"/>
    </w:pPr>
    <w:rPr>
      <w:rFonts w:ascii="Yu Mincho" w:eastAsia="Yu Mincho" w:hAnsi="Yu Mincho"/>
      <w:noProof/>
      <w:kern w:val="2"/>
      <w:sz w:val="20"/>
      <w:lang w:eastAsia="ja-JP"/>
    </w:rPr>
  </w:style>
  <w:style w:type="character" w:customStyle="1" w:styleId="EndNoteBibliography0">
    <w:name w:val="EndNote Bibliography (文字)"/>
    <w:basedOn w:val="DefaultParagraphFont"/>
    <w:link w:val="EndNoteBibliography"/>
    <w:rsid w:val="00B97582"/>
    <w:rPr>
      <w:rFonts w:ascii="Yu Mincho" w:eastAsia="Yu Mincho" w:hAnsi="Yu Mincho"/>
      <w:noProof/>
      <w:kern w:val="2"/>
      <w:sz w:val="20"/>
      <w:lang w:eastAsia="ja-JP"/>
    </w:rPr>
  </w:style>
  <w:style w:type="table" w:styleId="TableGrid">
    <w:name w:val="Table Grid"/>
    <w:basedOn w:val="TableNormal"/>
    <w:uiPriority w:val="59"/>
    <w:rsid w:val="00B97582"/>
    <w:pPr>
      <w:spacing w:after="0" w:line="240" w:lineRule="auto"/>
    </w:pPr>
    <w:rPr>
      <w:rFonts w:eastAsiaTheme="minorEastAsia"/>
      <w:kern w:val="2"/>
      <w:sz w:val="21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B97582"/>
    <w:rPr>
      <w:color w:val="0563C1" w:themeColor="hyperlink"/>
      <w:u w:val="single"/>
    </w:rPr>
  </w:style>
  <w:style w:type="character" w:customStyle="1" w:styleId="1">
    <w:name w:val="未解決のメンション1"/>
    <w:basedOn w:val="DefaultParagraphFont"/>
    <w:uiPriority w:val="99"/>
    <w:semiHidden/>
    <w:unhideWhenUsed/>
    <w:rsid w:val="00B9758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97582"/>
    <w:pPr>
      <w:widowControl w:val="0"/>
      <w:tabs>
        <w:tab w:val="center" w:pos="4252"/>
        <w:tab w:val="right" w:pos="8504"/>
      </w:tabs>
      <w:snapToGrid w:val="0"/>
      <w:spacing w:after="0" w:line="240" w:lineRule="auto"/>
      <w:jc w:val="both"/>
    </w:pPr>
    <w:rPr>
      <w:rFonts w:eastAsiaTheme="minorEastAsia"/>
      <w:kern w:val="2"/>
      <w:sz w:val="21"/>
      <w:lang w:eastAsia="ja-JP"/>
    </w:rPr>
  </w:style>
  <w:style w:type="character" w:customStyle="1" w:styleId="HeaderChar">
    <w:name w:val="Header Char"/>
    <w:basedOn w:val="DefaultParagraphFont"/>
    <w:link w:val="Header"/>
    <w:uiPriority w:val="99"/>
    <w:rsid w:val="00B97582"/>
    <w:rPr>
      <w:rFonts w:eastAsiaTheme="minorEastAsia"/>
      <w:kern w:val="2"/>
      <w:sz w:val="21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B97582"/>
    <w:pPr>
      <w:widowControl w:val="0"/>
      <w:tabs>
        <w:tab w:val="center" w:pos="4252"/>
        <w:tab w:val="right" w:pos="8504"/>
      </w:tabs>
      <w:snapToGrid w:val="0"/>
      <w:spacing w:after="0" w:line="240" w:lineRule="auto"/>
      <w:jc w:val="both"/>
    </w:pPr>
    <w:rPr>
      <w:rFonts w:eastAsiaTheme="minorEastAsia"/>
      <w:kern w:val="2"/>
      <w:sz w:val="21"/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B97582"/>
    <w:rPr>
      <w:rFonts w:eastAsiaTheme="minorEastAsia"/>
      <w:kern w:val="2"/>
      <w:sz w:val="21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7582"/>
    <w:pPr>
      <w:widowControl w:val="0"/>
      <w:spacing w:after="0" w:line="240" w:lineRule="auto"/>
      <w:jc w:val="both"/>
    </w:pPr>
    <w:rPr>
      <w:rFonts w:asciiTheme="majorHAnsi" w:eastAsiaTheme="majorEastAsia" w:hAnsiTheme="majorHAnsi" w:cstheme="majorBidi"/>
      <w:kern w:val="2"/>
      <w:sz w:val="18"/>
      <w:szCs w:val="18"/>
      <w:lang w:eastAsia="ja-JP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7582"/>
    <w:rPr>
      <w:rFonts w:asciiTheme="majorHAnsi" w:eastAsiaTheme="majorEastAsia" w:hAnsiTheme="majorHAnsi" w:cstheme="majorBidi"/>
      <w:kern w:val="2"/>
      <w:sz w:val="18"/>
      <w:szCs w:val="18"/>
      <w:lang w:eastAsia="ja-JP"/>
    </w:rPr>
  </w:style>
  <w:style w:type="paragraph" w:styleId="NormalWeb">
    <w:name w:val="Normal (Web)"/>
    <w:basedOn w:val="Normal"/>
    <w:uiPriority w:val="99"/>
    <w:semiHidden/>
    <w:unhideWhenUsed/>
    <w:rsid w:val="00B97582"/>
    <w:pPr>
      <w:widowControl w:val="0"/>
      <w:spacing w:after="0" w:line="240" w:lineRule="auto"/>
      <w:jc w:val="both"/>
    </w:pPr>
    <w:rPr>
      <w:rFonts w:ascii="Times New Roman" w:eastAsiaTheme="minorEastAsia" w:hAnsi="Times New Roman" w:cs="Times New Roman"/>
      <w:kern w:val="2"/>
      <w:sz w:val="24"/>
      <w:szCs w:val="24"/>
      <w:lang w:eastAsia="ja-JP"/>
    </w:rPr>
  </w:style>
  <w:style w:type="character" w:styleId="LineNumber">
    <w:name w:val="line number"/>
    <w:basedOn w:val="DefaultParagraphFont"/>
    <w:uiPriority w:val="99"/>
    <w:semiHidden/>
    <w:unhideWhenUsed/>
    <w:rsid w:val="00B97582"/>
  </w:style>
  <w:style w:type="paragraph" w:customStyle="1" w:styleId="EndNoteBibliographyTitle">
    <w:name w:val="EndNote Bibliography Title"/>
    <w:basedOn w:val="Normal"/>
    <w:link w:val="EndNoteBibliographyTitle0"/>
    <w:rsid w:val="00B97582"/>
    <w:pPr>
      <w:widowControl w:val="0"/>
      <w:spacing w:after="0" w:line="240" w:lineRule="auto"/>
      <w:jc w:val="center"/>
    </w:pPr>
    <w:rPr>
      <w:rFonts w:ascii="Yu Mincho" w:eastAsia="Yu Mincho" w:hAnsi="Yu Mincho"/>
      <w:noProof/>
      <w:kern w:val="2"/>
      <w:sz w:val="20"/>
      <w:lang w:eastAsia="ja-JP"/>
    </w:rPr>
  </w:style>
  <w:style w:type="character" w:customStyle="1" w:styleId="EndNoteBibliographyTitle0">
    <w:name w:val="EndNote Bibliography Title (文字)"/>
    <w:basedOn w:val="DefaultParagraphFont"/>
    <w:link w:val="EndNoteBibliographyTitle"/>
    <w:rsid w:val="00B97582"/>
    <w:rPr>
      <w:rFonts w:ascii="Yu Mincho" w:eastAsia="Yu Mincho" w:hAnsi="Yu Mincho"/>
      <w:noProof/>
      <w:kern w:val="2"/>
      <w:sz w:val="20"/>
      <w:lang w:eastAsia="ja-JP"/>
    </w:rPr>
  </w:style>
  <w:style w:type="paragraph" w:customStyle="1" w:styleId="EndNoteBibliography">
    <w:name w:val="EndNote Bibliography"/>
    <w:basedOn w:val="Normal"/>
    <w:link w:val="EndNoteBibliography0"/>
    <w:rsid w:val="00B97582"/>
    <w:pPr>
      <w:widowControl w:val="0"/>
      <w:spacing w:after="0" w:line="240" w:lineRule="auto"/>
      <w:jc w:val="both"/>
    </w:pPr>
    <w:rPr>
      <w:rFonts w:ascii="Yu Mincho" w:eastAsia="Yu Mincho" w:hAnsi="Yu Mincho"/>
      <w:noProof/>
      <w:kern w:val="2"/>
      <w:sz w:val="20"/>
      <w:lang w:eastAsia="ja-JP"/>
    </w:rPr>
  </w:style>
  <w:style w:type="character" w:customStyle="1" w:styleId="EndNoteBibliography0">
    <w:name w:val="EndNote Bibliography (文字)"/>
    <w:basedOn w:val="DefaultParagraphFont"/>
    <w:link w:val="EndNoteBibliography"/>
    <w:rsid w:val="00B97582"/>
    <w:rPr>
      <w:rFonts w:ascii="Yu Mincho" w:eastAsia="Yu Mincho" w:hAnsi="Yu Mincho"/>
      <w:noProof/>
      <w:kern w:val="2"/>
      <w:sz w:val="20"/>
      <w:lang w:eastAsia="ja-JP"/>
    </w:rPr>
  </w:style>
  <w:style w:type="table" w:styleId="TableGrid">
    <w:name w:val="Table Grid"/>
    <w:basedOn w:val="TableNormal"/>
    <w:uiPriority w:val="59"/>
    <w:rsid w:val="00B97582"/>
    <w:pPr>
      <w:spacing w:after="0" w:line="240" w:lineRule="auto"/>
    </w:pPr>
    <w:rPr>
      <w:rFonts w:eastAsiaTheme="minorEastAsia"/>
      <w:kern w:val="2"/>
      <w:sz w:val="21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826</Characters>
  <Application>Microsoft Office Word</Application>
  <DocSecurity>0</DocSecurity>
  <Lines>51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2021-04-23T13:16:00Z</dcterms:created>
  <dcterms:modified xsi:type="dcterms:W3CDTF">2021-04-23T13:16:00Z</dcterms:modified>
</cp:coreProperties>
</file>