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F2C86" w14:textId="1E28E4D5" w:rsidR="003C5B90" w:rsidRDefault="00CC2A1C" w:rsidP="00CC2A1C">
      <w:pPr>
        <w:jc w:val="center"/>
        <w:rPr>
          <w:rFonts w:ascii="Arial" w:hAnsi="Arial" w:cs="Arial"/>
          <w:b/>
          <w:bCs/>
          <w:lang w:val="de-AT"/>
        </w:rPr>
      </w:pPr>
      <w:bookmarkStart w:id="0" w:name="_GoBack"/>
      <w:bookmarkEnd w:id="0"/>
      <w:r w:rsidRPr="00CC2A1C">
        <w:rPr>
          <w:rFonts w:ascii="Arial" w:hAnsi="Arial" w:cs="Arial"/>
          <w:b/>
          <w:bCs/>
          <w:lang w:val="de-AT"/>
        </w:rPr>
        <w:t xml:space="preserve">Supplementary </w:t>
      </w:r>
      <w:r w:rsidR="00BE384E">
        <w:rPr>
          <w:rFonts w:ascii="Arial" w:hAnsi="Arial" w:cs="Arial"/>
          <w:b/>
          <w:bCs/>
          <w:lang w:val="de-AT"/>
        </w:rPr>
        <w:t>Material</w:t>
      </w:r>
    </w:p>
    <w:p w14:paraId="21DF7A80" w14:textId="617742E2" w:rsidR="00BE384E" w:rsidRDefault="00BE384E" w:rsidP="00CC2A1C">
      <w:pPr>
        <w:jc w:val="center"/>
        <w:rPr>
          <w:rFonts w:ascii="Arial" w:hAnsi="Arial" w:cs="Arial"/>
          <w:b/>
          <w:bCs/>
          <w:lang w:val="de-AT"/>
        </w:rPr>
      </w:pPr>
    </w:p>
    <w:p w14:paraId="374DBD8E" w14:textId="77777777" w:rsidR="00BE384E" w:rsidRDefault="00BE384E" w:rsidP="00CC2A1C">
      <w:pPr>
        <w:jc w:val="center"/>
        <w:rPr>
          <w:rFonts w:ascii="Arial" w:hAnsi="Arial" w:cs="Arial"/>
          <w:b/>
          <w:bCs/>
          <w:lang w:val="de-AT"/>
        </w:rPr>
      </w:pPr>
    </w:p>
    <w:p w14:paraId="4E849AAC" w14:textId="17AF2F9E" w:rsidR="00BE384E" w:rsidRPr="00BE384E" w:rsidRDefault="00BE384E" w:rsidP="00BE384E">
      <w:pPr>
        <w:jc w:val="both"/>
        <w:rPr>
          <w:rFonts w:ascii="Arial" w:hAnsi="Arial" w:cs="Arial"/>
          <w:lang w:val="en-US"/>
        </w:rPr>
      </w:pPr>
      <w:r w:rsidRPr="00BE384E">
        <w:rPr>
          <w:rFonts w:ascii="Arial" w:hAnsi="Arial" w:cs="Arial"/>
          <w:b/>
          <w:bCs/>
          <w:lang w:val="en-US"/>
        </w:rPr>
        <w:t xml:space="preserve">Supplementary Figure 1. </w:t>
      </w:r>
      <w:r w:rsidRPr="00CC2A1C">
        <w:rPr>
          <w:rFonts w:ascii="Arial" w:hAnsi="Arial" w:cs="Arial"/>
          <w:lang w:val="en-US"/>
        </w:rPr>
        <w:t xml:space="preserve">Relationship between inflammatory markers and the </w:t>
      </w:r>
      <w:r>
        <w:rPr>
          <w:rFonts w:ascii="Arial" w:hAnsi="Arial" w:cs="Arial"/>
          <w:lang w:val="en-US"/>
        </w:rPr>
        <w:t xml:space="preserve">metabolite ratios. Each dot represents one measurement (i.e. one individual, one timepoint). Light grey lines indicate the mean association for each individual. The black line shows the predicted mean calculated from the mixed effects model. </w:t>
      </w:r>
    </w:p>
    <w:p w14:paraId="3FEC117B" w14:textId="77777777" w:rsidR="00CC2A1C" w:rsidRPr="00BE384E" w:rsidRDefault="00CC2A1C">
      <w:pPr>
        <w:rPr>
          <w:lang w:val="en-US"/>
        </w:rPr>
      </w:pPr>
    </w:p>
    <w:p w14:paraId="5E677ED0" w14:textId="77777777" w:rsidR="00CC2A1C" w:rsidRPr="00BE384E" w:rsidRDefault="00CC2A1C">
      <w:pPr>
        <w:rPr>
          <w:lang w:val="en-US"/>
        </w:rPr>
      </w:pPr>
    </w:p>
    <w:p w14:paraId="4378D751" w14:textId="41234882" w:rsidR="00CC2A1C" w:rsidRDefault="00CE4F6A">
      <w:pPr>
        <w:rPr>
          <w:lang w:val="de-AT"/>
        </w:rPr>
      </w:pPr>
      <w:r>
        <w:rPr>
          <w:noProof/>
          <w:lang w:eastAsia="en-PH"/>
        </w:rPr>
        <w:drawing>
          <wp:inline distT="0" distB="0" distL="0" distR="0" wp14:anchorId="01A16B89" wp14:editId="23D1A062">
            <wp:extent cx="5731510" cy="6877685"/>
            <wp:effectExtent l="0" t="0" r="0" b="5715"/>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6877685"/>
                    </a:xfrm>
                    <a:prstGeom prst="rect">
                      <a:avLst/>
                    </a:prstGeom>
                  </pic:spPr>
                </pic:pic>
              </a:graphicData>
            </a:graphic>
          </wp:inline>
        </w:drawing>
      </w:r>
    </w:p>
    <w:p w14:paraId="0DE90B88" w14:textId="77777777" w:rsidR="00CC2A1C" w:rsidRDefault="00CC2A1C">
      <w:pPr>
        <w:rPr>
          <w:lang w:val="de-AT"/>
        </w:rPr>
      </w:pPr>
    </w:p>
    <w:p w14:paraId="3F45BD1A" w14:textId="77777777" w:rsidR="00BE384E" w:rsidRDefault="00BE384E">
      <w:pPr>
        <w:rPr>
          <w:rFonts w:ascii="Arial" w:hAnsi="Arial" w:cs="Arial"/>
          <w:lang w:val="en-US"/>
        </w:rPr>
      </w:pPr>
      <w:r>
        <w:rPr>
          <w:rFonts w:ascii="Arial" w:hAnsi="Arial" w:cs="Arial"/>
          <w:lang w:val="en-US"/>
        </w:rPr>
        <w:br w:type="page"/>
      </w:r>
    </w:p>
    <w:p w14:paraId="4956F1D3" w14:textId="0B95AF3A" w:rsidR="00CE4F6A" w:rsidRDefault="00BE384E" w:rsidP="001349E4">
      <w:pPr>
        <w:pStyle w:val="NormalWeb"/>
        <w:spacing w:before="0" w:beforeAutospacing="0" w:after="120" w:afterAutospacing="0" w:line="480" w:lineRule="auto"/>
        <w:jc w:val="both"/>
        <w:rPr>
          <w:rFonts w:ascii="Arial" w:hAnsi="Arial" w:cs="Arial"/>
          <w:color w:val="000000"/>
        </w:rPr>
      </w:pPr>
      <w:r w:rsidRPr="00BE384E">
        <w:rPr>
          <w:rFonts w:ascii="Arial" w:hAnsi="Arial" w:cs="Arial"/>
          <w:b/>
          <w:bCs/>
          <w:lang w:val="en-US"/>
        </w:rPr>
        <w:lastRenderedPageBreak/>
        <w:t>Supplementary Figure 2</w:t>
      </w:r>
      <w:r>
        <w:rPr>
          <w:rFonts w:ascii="Arial" w:hAnsi="Arial" w:cs="Arial"/>
          <w:b/>
          <w:bCs/>
          <w:lang w:val="en-US"/>
        </w:rPr>
        <w:t xml:space="preserve">. </w:t>
      </w:r>
      <w:r w:rsidR="001349E4">
        <w:rPr>
          <w:rFonts w:ascii="Arial" w:hAnsi="Arial" w:cs="Arial"/>
          <w:lang w:val="en-US"/>
        </w:rPr>
        <w:t xml:space="preserve">Associations between </w:t>
      </w:r>
      <w:r w:rsidR="001349E4" w:rsidRPr="001349E4">
        <w:rPr>
          <w:rFonts w:ascii="Arial" w:hAnsi="Arial" w:cs="Arial"/>
          <w:color w:val="000000"/>
        </w:rPr>
        <w:t>metabolite ratios and CRP or IL-6 over time. The size of the circles indicates the strength of the association (-log</w:t>
      </w:r>
      <w:r w:rsidR="001349E4" w:rsidRPr="001349E4">
        <w:rPr>
          <w:rFonts w:ascii="Arial" w:hAnsi="Arial" w:cs="Arial"/>
          <w:color w:val="000000"/>
          <w:sz w:val="14"/>
          <w:szCs w:val="14"/>
          <w:vertAlign w:val="subscript"/>
        </w:rPr>
        <w:t>10</w:t>
      </w:r>
      <w:r w:rsidR="001349E4" w:rsidRPr="001349E4">
        <w:rPr>
          <w:rFonts w:ascii="Arial" w:hAnsi="Arial" w:cs="Arial"/>
          <w:color w:val="000000"/>
        </w:rPr>
        <w:t xml:space="preserve">p), the color indicates the direction of the association (red: positive, blue: negative). </w:t>
      </w:r>
      <w:r w:rsidR="00EC7F60">
        <w:rPr>
          <w:rFonts w:ascii="Arial" w:hAnsi="Arial" w:cs="Arial"/>
          <w:color w:val="000000"/>
          <w:lang w:val="de-AT"/>
        </w:rPr>
        <w:t xml:space="preserve">* &lt;0.0083, </w:t>
      </w:r>
      <w:r w:rsidR="001349E4">
        <w:rPr>
          <w:rFonts w:ascii="Arial" w:hAnsi="Arial" w:cs="Arial"/>
          <w:color w:val="000000"/>
          <w:lang w:val="de-AT"/>
        </w:rPr>
        <w:t>+</w:t>
      </w:r>
      <w:r w:rsidR="00EC7F60">
        <w:rPr>
          <w:rFonts w:ascii="Arial" w:hAnsi="Arial" w:cs="Arial"/>
          <w:color w:val="000000"/>
          <w:lang w:val="de-AT"/>
        </w:rPr>
        <w:t xml:space="preserve"> </w:t>
      </w:r>
      <w:r w:rsidR="001349E4" w:rsidRPr="001349E4">
        <w:rPr>
          <w:rFonts w:ascii="Arial" w:hAnsi="Arial" w:cs="Arial"/>
          <w:color w:val="000000"/>
        </w:rPr>
        <w:t>p&lt;0.0</w:t>
      </w:r>
      <w:r w:rsidR="001349E4">
        <w:rPr>
          <w:rFonts w:ascii="Arial" w:hAnsi="Arial" w:cs="Arial"/>
          <w:color w:val="000000"/>
          <w:lang w:val="de-AT"/>
        </w:rPr>
        <w:t>5</w:t>
      </w:r>
      <w:r w:rsidR="001349E4" w:rsidRPr="001349E4">
        <w:rPr>
          <w:rFonts w:ascii="Arial" w:hAnsi="Arial" w:cs="Arial"/>
          <w:color w:val="000000"/>
        </w:rPr>
        <w:t xml:space="preserve">. KYNA: Kynureninic acid, QUIN: Quinolinic Acid. </w:t>
      </w:r>
    </w:p>
    <w:p w14:paraId="4BD8AF85" w14:textId="2FEFF9BA" w:rsidR="00CE4F6A" w:rsidRPr="001349E4" w:rsidRDefault="00CE4F6A" w:rsidP="001349E4">
      <w:pPr>
        <w:pStyle w:val="NormalWeb"/>
        <w:spacing w:before="0" w:beforeAutospacing="0" w:after="120" w:afterAutospacing="0" w:line="480" w:lineRule="auto"/>
        <w:jc w:val="both"/>
        <w:rPr>
          <w:rFonts w:ascii="Arial" w:hAnsi="Arial" w:cs="Arial"/>
          <w:color w:val="000000"/>
        </w:rPr>
      </w:pPr>
      <w:r w:rsidRPr="00CE4F6A">
        <w:rPr>
          <w:rFonts w:ascii="Arial" w:hAnsi="Arial" w:cs="Arial"/>
          <w:noProof/>
          <w:color w:val="000000"/>
          <w:lang w:eastAsia="en-PH"/>
        </w:rPr>
        <w:drawing>
          <wp:inline distT="0" distB="0" distL="0" distR="0" wp14:anchorId="244C166F" wp14:editId="79C53B57">
            <wp:extent cx="5731510" cy="1718310"/>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6"/>
                    <a:stretch>
                      <a:fillRect/>
                    </a:stretch>
                  </pic:blipFill>
                  <pic:spPr>
                    <a:xfrm>
                      <a:off x="0" y="0"/>
                      <a:ext cx="5731510" cy="1718310"/>
                    </a:xfrm>
                    <a:prstGeom prst="rect">
                      <a:avLst/>
                    </a:prstGeom>
                  </pic:spPr>
                </pic:pic>
              </a:graphicData>
            </a:graphic>
          </wp:inline>
        </w:drawing>
      </w:r>
    </w:p>
    <w:p w14:paraId="33ECCD3A" w14:textId="1E8A0C27" w:rsidR="00BE384E" w:rsidRDefault="00BE384E" w:rsidP="00CC2A1C">
      <w:pPr>
        <w:jc w:val="both"/>
        <w:rPr>
          <w:rFonts w:ascii="Arial" w:hAnsi="Arial" w:cs="Arial"/>
          <w:lang w:val="en-US"/>
        </w:rPr>
      </w:pPr>
    </w:p>
    <w:p w14:paraId="31010517" w14:textId="1E826627" w:rsidR="00BE384E" w:rsidRDefault="00BE384E" w:rsidP="00CC2A1C">
      <w:pPr>
        <w:jc w:val="both"/>
        <w:rPr>
          <w:rFonts w:ascii="Arial" w:hAnsi="Arial" w:cs="Arial"/>
          <w:lang w:val="en-US"/>
        </w:rPr>
      </w:pPr>
    </w:p>
    <w:p w14:paraId="0675DBAC" w14:textId="3A06DBDF" w:rsidR="00BE384E" w:rsidRDefault="00BE384E" w:rsidP="00CC2A1C">
      <w:pPr>
        <w:jc w:val="both"/>
        <w:rPr>
          <w:rFonts w:ascii="Arial" w:hAnsi="Arial" w:cs="Arial"/>
          <w:lang w:val="en-US"/>
        </w:rPr>
      </w:pPr>
    </w:p>
    <w:p w14:paraId="342DC59E" w14:textId="15F1EF26" w:rsidR="00AE2AC6" w:rsidRDefault="00AE2AC6">
      <w:pPr>
        <w:rPr>
          <w:rFonts w:ascii="Arial" w:hAnsi="Arial" w:cs="Arial"/>
          <w:lang w:val="en-US"/>
        </w:rPr>
      </w:pPr>
      <w:r>
        <w:rPr>
          <w:rFonts w:ascii="Arial" w:hAnsi="Arial" w:cs="Arial"/>
          <w:lang w:val="en-US"/>
        </w:rPr>
        <w:br w:type="page"/>
      </w:r>
    </w:p>
    <w:p w14:paraId="0462866B" w14:textId="77777777" w:rsidR="00AE2AC6" w:rsidRDefault="00AE2AC6" w:rsidP="00AE2AC6">
      <w:pPr>
        <w:jc w:val="both"/>
        <w:rPr>
          <w:rFonts w:ascii="Arial" w:hAnsi="Arial" w:cs="Arial"/>
          <w:lang w:val="en-US"/>
        </w:rPr>
      </w:pPr>
      <w:r w:rsidRPr="00AE2AC6">
        <w:rPr>
          <w:rFonts w:ascii="Arial" w:hAnsi="Arial" w:cs="Arial"/>
          <w:b/>
          <w:bCs/>
          <w:lang w:val="en-US"/>
        </w:rPr>
        <w:lastRenderedPageBreak/>
        <w:t>Supplementary Table 1</w:t>
      </w:r>
      <w:r>
        <w:rPr>
          <w:rFonts w:ascii="Arial" w:hAnsi="Arial" w:cs="Arial"/>
          <w:lang w:val="en-US"/>
        </w:rPr>
        <w:t xml:space="preserve">. </w:t>
      </w:r>
    </w:p>
    <w:p w14:paraId="7D70379A" w14:textId="3CB660B6" w:rsidR="00AE2AC6" w:rsidRDefault="00AE2AC6" w:rsidP="00AE2AC6">
      <w:pPr>
        <w:jc w:val="both"/>
        <w:rPr>
          <w:rFonts w:ascii="Arial" w:hAnsi="Arial" w:cs="Arial"/>
          <w:lang w:val="en-US"/>
        </w:rPr>
      </w:pPr>
      <w:r>
        <w:rPr>
          <w:rFonts w:ascii="Arial" w:hAnsi="Arial" w:cs="Arial"/>
          <w:lang w:val="en-US"/>
        </w:rPr>
        <w:t xml:space="preserve">Vital parameters presented as mean and standard deviation (SD). </w:t>
      </w:r>
      <w:r w:rsidR="00007506">
        <w:rPr>
          <w:rFonts w:ascii="Arial" w:hAnsi="Arial" w:cs="Arial"/>
          <w:lang w:val="en-US"/>
        </w:rPr>
        <w:t xml:space="preserve">The </w:t>
      </w:r>
      <w:r w:rsidR="001B6F3D">
        <w:rPr>
          <w:rFonts w:ascii="Arial" w:hAnsi="Arial" w:cs="Arial"/>
          <w:lang w:val="en-US"/>
        </w:rPr>
        <w:t>m</w:t>
      </w:r>
      <w:r w:rsidR="00007506">
        <w:rPr>
          <w:rFonts w:ascii="Arial" w:hAnsi="Arial" w:cs="Arial"/>
          <w:lang w:val="en-US"/>
        </w:rPr>
        <w:t>aximum increase is defined as the largest positive difference between any timepoint and the baseline, the maximum decrease is defined as the largest negative difference between any timepoint and the baseline.</w:t>
      </w:r>
    </w:p>
    <w:p w14:paraId="4F817D4F" w14:textId="77777777" w:rsidR="00AE2AC6" w:rsidRDefault="00AE2AC6" w:rsidP="00AE2AC6">
      <w:pPr>
        <w:jc w:val="both"/>
        <w:rPr>
          <w:rFonts w:ascii="Arial" w:hAnsi="Arial" w:cs="Arial"/>
          <w:lang w:val="en-US"/>
        </w:rPr>
      </w:pPr>
    </w:p>
    <w:p w14:paraId="31BC2C77" w14:textId="77777777" w:rsidR="00AE2AC6" w:rsidRDefault="00AE2AC6">
      <w:pPr>
        <w:rPr>
          <w:rFonts w:ascii="Arial" w:hAnsi="Arial" w:cs="Arial"/>
          <w:lang w:val="en-US"/>
        </w:rPr>
      </w:pPr>
    </w:p>
    <w:tbl>
      <w:tblPr>
        <w:tblW w:w="6946" w:type="dxa"/>
        <w:jc w:val="center"/>
        <w:tblLook w:val="04A0" w:firstRow="1" w:lastRow="0" w:firstColumn="1" w:lastColumn="0" w:noHBand="0" w:noVBand="1"/>
      </w:tblPr>
      <w:tblGrid>
        <w:gridCol w:w="4111"/>
        <w:gridCol w:w="1389"/>
        <w:gridCol w:w="1446"/>
      </w:tblGrid>
      <w:tr w:rsidR="00AE2AC6" w:rsidRPr="00AE2AC6" w14:paraId="00E24204" w14:textId="77777777" w:rsidTr="00AE2AC6">
        <w:trPr>
          <w:trHeight w:val="320"/>
          <w:jc w:val="center"/>
        </w:trPr>
        <w:tc>
          <w:tcPr>
            <w:tcW w:w="4111" w:type="dxa"/>
            <w:tcBorders>
              <w:top w:val="nil"/>
              <w:left w:val="nil"/>
              <w:bottom w:val="nil"/>
              <w:right w:val="nil"/>
            </w:tcBorders>
            <w:shd w:val="clear" w:color="auto" w:fill="auto"/>
            <w:noWrap/>
            <w:vAlign w:val="bottom"/>
            <w:hideMark/>
          </w:tcPr>
          <w:p w14:paraId="0557B51F" w14:textId="77777777" w:rsidR="00AE2AC6" w:rsidRPr="00AE2AC6" w:rsidRDefault="00AE2AC6" w:rsidP="00AE2AC6">
            <w:pPr>
              <w:rPr>
                <w:rFonts w:ascii="Times New Roman" w:eastAsia="Times New Roman" w:hAnsi="Times New Roman" w:cs="Times New Roman"/>
                <w:lang w:eastAsia="en-GB"/>
              </w:rPr>
            </w:pPr>
          </w:p>
        </w:tc>
        <w:tc>
          <w:tcPr>
            <w:tcW w:w="1389" w:type="dxa"/>
            <w:tcBorders>
              <w:top w:val="nil"/>
              <w:left w:val="nil"/>
              <w:bottom w:val="nil"/>
              <w:right w:val="nil"/>
            </w:tcBorders>
            <w:shd w:val="clear" w:color="auto" w:fill="auto"/>
            <w:noWrap/>
            <w:vAlign w:val="bottom"/>
            <w:hideMark/>
          </w:tcPr>
          <w:p w14:paraId="10CC0A28" w14:textId="77777777" w:rsidR="00AE2AC6" w:rsidRPr="00AE2AC6" w:rsidRDefault="00AE2AC6" w:rsidP="00AE2AC6">
            <w:pPr>
              <w:jc w:val="center"/>
              <w:rPr>
                <w:rFonts w:ascii="Calibri" w:eastAsia="Times New Roman" w:hAnsi="Calibri" w:cs="Calibri"/>
                <w:b/>
                <w:bCs/>
                <w:color w:val="000000"/>
                <w:lang w:eastAsia="en-GB"/>
              </w:rPr>
            </w:pPr>
            <w:r w:rsidRPr="00AE2AC6">
              <w:rPr>
                <w:rFonts w:ascii="Calibri" w:eastAsia="Times New Roman" w:hAnsi="Calibri" w:cs="Calibri"/>
                <w:b/>
                <w:bCs/>
                <w:color w:val="000000"/>
                <w:lang w:eastAsia="en-GB"/>
              </w:rPr>
              <w:t>LPS</w:t>
            </w:r>
          </w:p>
        </w:tc>
        <w:tc>
          <w:tcPr>
            <w:tcW w:w="1446" w:type="dxa"/>
            <w:tcBorders>
              <w:top w:val="nil"/>
              <w:left w:val="nil"/>
              <w:bottom w:val="nil"/>
              <w:right w:val="nil"/>
            </w:tcBorders>
            <w:shd w:val="clear" w:color="auto" w:fill="auto"/>
            <w:noWrap/>
            <w:vAlign w:val="bottom"/>
            <w:hideMark/>
          </w:tcPr>
          <w:p w14:paraId="7EAE543A" w14:textId="77777777" w:rsidR="00AE2AC6" w:rsidRPr="00AE2AC6" w:rsidRDefault="00AE2AC6" w:rsidP="00AE2AC6">
            <w:pPr>
              <w:jc w:val="center"/>
              <w:rPr>
                <w:rFonts w:ascii="Calibri" w:eastAsia="Times New Roman" w:hAnsi="Calibri" w:cs="Calibri"/>
                <w:b/>
                <w:bCs/>
                <w:color w:val="000000"/>
                <w:lang w:eastAsia="en-GB"/>
              </w:rPr>
            </w:pPr>
            <w:r w:rsidRPr="00AE2AC6">
              <w:rPr>
                <w:rFonts w:ascii="Calibri" w:eastAsia="Times New Roman" w:hAnsi="Calibri" w:cs="Calibri"/>
                <w:b/>
                <w:bCs/>
                <w:color w:val="000000"/>
                <w:lang w:eastAsia="en-GB"/>
              </w:rPr>
              <w:t>Placebo</w:t>
            </w:r>
          </w:p>
        </w:tc>
      </w:tr>
      <w:tr w:rsidR="00AE2AC6" w:rsidRPr="00AE2AC6" w14:paraId="240570F7" w14:textId="77777777" w:rsidTr="00AE2AC6">
        <w:trPr>
          <w:trHeight w:val="340"/>
          <w:jc w:val="center"/>
        </w:trPr>
        <w:tc>
          <w:tcPr>
            <w:tcW w:w="4111" w:type="dxa"/>
            <w:tcBorders>
              <w:top w:val="nil"/>
              <w:left w:val="nil"/>
              <w:bottom w:val="nil"/>
              <w:right w:val="nil"/>
            </w:tcBorders>
            <w:shd w:val="clear" w:color="auto" w:fill="auto"/>
            <w:noWrap/>
            <w:vAlign w:val="bottom"/>
            <w:hideMark/>
          </w:tcPr>
          <w:p w14:paraId="030B3A32" w14:textId="77777777" w:rsidR="00AE2AC6" w:rsidRPr="00AE2AC6" w:rsidRDefault="00AE2AC6" w:rsidP="00AE2AC6">
            <w:pPr>
              <w:rPr>
                <w:rFonts w:ascii="Calibri" w:eastAsia="Times New Roman" w:hAnsi="Calibri" w:cs="Calibri"/>
                <w:b/>
                <w:bCs/>
                <w:color w:val="000000"/>
                <w:lang w:eastAsia="en-GB"/>
              </w:rPr>
            </w:pPr>
            <w:r w:rsidRPr="00AE2AC6">
              <w:rPr>
                <w:rFonts w:ascii="Calibri" w:eastAsia="Times New Roman" w:hAnsi="Calibri" w:cs="Calibri"/>
                <w:b/>
                <w:bCs/>
                <w:color w:val="000000"/>
                <w:lang w:eastAsia="en-GB"/>
              </w:rPr>
              <w:t>Baseline</w:t>
            </w:r>
          </w:p>
        </w:tc>
        <w:tc>
          <w:tcPr>
            <w:tcW w:w="1389" w:type="dxa"/>
            <w:tcBorders>
              <w:top w:val="nil"/>
              <w:left w:val="nil"/>
              <w:bottom w:val="nil"/>
              <w:right w:val="nil"/>
            </w:tcBorders>
            <w:shd w:val="clear" w:color="auto" w:fill="auto"/>
            <w:noWrap/>
            <w:vAlign w:val="bottom"/>
            <w:hideMark/>
          </w:tcPr>
          <w:p w14:paraId="60C4401E" w14:textId="77777777" w:rsidR="00AE2AC6" w:rsidRPr="00AE2AC6" w:rsidRDefault="00AE2AC6" w:rsidP="00AE2AC6">
            <w:pPr>
              <w:jc w:val="center"/>
              <w:rPr>
                <w:rFonts w:ascii="Calibri" w:eastAsia="Times New Roman" w:hAnsi="Calibri" w:cs="Calibri"/>
                <w:color w:val="000000"/>
                <w:sz w:val="22"/>
                <w:szCs w:val="22"/>
                <w:lang w:eastAsia="en-GB"/>
              </w:rPr>
            </w:pPr>
            <w:r w:rsidRPr="00AE2AC6">
              <w:rPr>
                <w:rFonts w:ascii="Calibri" w:eastAsia="Times New Roman" w:hAnsi="Calibri" w:cs="Calibri"/>
                <w:color w:val="000000"/>
                <w:sz w:val="22"/>
                <w:szCs w:val="22"/>
                <w:lang w:eastAsia="en-GB"/>
              </w:rPr>
              <w:t>mean (SD)</w:t>
            </w:r>
          </w:p>
        </w:tc>
        <w:tc>
          <w:tcPr>
            <w:tcW w:w="1446" w:type="dxa"/>
            <w:tcBorders>
              <w:top w:val="nil"/>
              <w:left w:val="nil"/>
              <w:bottom w:val="nil"/>
              <w:right w:val="nil"/>
            </w:tcBorders>
            <w:shd w:val="clear" w:color="auto" w:fill="auto"/>
            <w:noWrap/>
            <w:vAlign w:val="bottom"/>
            <w:hideMark/>
          </w:tcPr>
          <w:p w14:paraId="63DCADD3" w14:textId="77777777" w:rsidR="00AE2AC6" w:rsidRPr="00AE2AC6" w:rsidRDefault="00AE2AC6" w:rsidP="00AE2AC6">
            <w:pPr>
              <w:jc w:val="center"/>
              <w:rPr>
                <w:rFonts w:ascii="Calibri" w:eastAsia="Times New Roman" w:hAnsi="Calibri" w:cs="Calibri"/>
                <w:color w:val="000000"/>
                <w:sz w:val="22"/>
                <w:szCs w:val="22"/>
                <w:lang w:eastAsia="en-GB"/>
              </w:rPr>
            </w:pPr>
            <w:r w:rsidRPr="00AE2AC6">
              <w:rPr>
                <w:rFonts w:ascii="Calibri" w:eastAsia="Times New Roman" w:hAnsi="Calibri" w:cs="Calibri"/>
                <w:color w:val="000000"/>
                <w:sz w:val="22"/>
                <w:szCs w:val="22"/>
                <w:lang w:eastAsia="en-GB"/>
              </w:rPr>
              <w:t>mean (SD)</w:t>
            </w:r>
          </w:p>
        </w:tc>
      </w:tr>
      <w:tr w:rsidR="00AE2AC6" w:rsidRPr="00AE2AC6" w14:paraId="4B19BF6A" w14:textId="77777777" w:rsidTr="00AE2AC6">
        <w:trPr>
          <w:trHeight w:val="320"/>
          <w:jc w:val="center"/>
        </w:trPr>
        <w:tc>
          <w:tcPr>
            <w:tcW w:w="4111" w:type="dxa"/>
            <w:tcBorders>
              <w:top w:val="single" w:sz="8" w:space="0" w:color="auto"/>
              <w:left w:val="single" w:sz="8" w:space="0" w:color="auto"/>
              <w:bottom w:val="nil"/>
              <w:right w:val="single" w:sz="4" w:space="0" w:color="auto"/>
            </w:tcBorders>
            <w:shd w:val="clear" w:color="auto" w:fill="auto"/>
            <w:noWrap/>
            <w:vAlign w:val="bottom"/>
            <w:hideMark/>
          </w:tcPr>
          <w:p w14:paraId="7FCB6A20"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Systolic blood pressure (mmhg)</w:t>
            </w:r>
          </w:p>
        </w:tc>
        <w:tc>
          <w:tcPr>
            <w:tcW w:w="1389" w:type="dxa"/>
            <w:tcBorders>
              <w:top w:val="single" w:sz="8" w:space="0" w:color="auto"/>
              <w:left w:val="nil"/>
              <w:bottom w:val="nil"/>
              <w:right w:val="single" w:sz="4" w:space="0" w:color="auto"/>
            </w:tcBorders>
            <w:shd w:val="clear" w:color="auto" w:fill="auto"/>
            <w:noWrap/>
            <w:vAlign w:val="bottom"/>
            <w:hideMark/>
          </w:tcPr>
          <w:p w14:paraId="39B348E2"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132 (9)</w:t>
            </w:r>
          </w:p>
        </w:tc>
        <w:tc>
          <w:tcPr>
            <w:tcW w:w="1446" w:type="dxa"/>
            <w:tcBorders>
              <w:top w:val="single" w:sz="8" w:space="0" w:color="auto"/>
              <w:left w:val="nil"/>
              <w:bottom w:val="nil"/>
              <w:right w:val="single" w:sz="8" w:space="0" w:color="auto"/>
            </w:tcBorders>
            <w:shd w:val="clear" w:color="auto" w:fill="auto"/>
            <w:noWrap/>
            <w:vAlign w:val="bottom"/>
            <w:hideMark/>
          </w:tcPr>
          <w:p w14:paraId="2DFFD84D"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129 (13)</w:t>
            </w:r>
          </w:p>
        </w:tc>
      </w:tr>
      <w:tr w:rsidR="00AE2AC6" w:rsidRPr="00AE2AC6" w14:paraId="69C29AA9"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35D11D40"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Diastolic blood pressure (mmhg)</w:t>
            </w:r>
          </w:p>
        </w:tc>
        <w:tc>
          <w:tcPr>
            <w:tcW w:w="1389" w:type="dxa"/>
            <w:tcBorders>
              <w:top w:val="nil"/>
              <w:left w:val="nil"/>
              <w:bottom w:val="nil"/>
              <w:right w:val="single" w:sz="4" w:space="0" w:color="auto"/>
            </w:tcBorders>
            <w:shd w:val="clear" w:color="auto" w:fill="auto"/>
            <w:noWrap/>
            <w:vAlign w:val="bottom"/>
            <w:hideMark/>
          </w:tcPr>
          <w:p w14:paraId="325BEEA0"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74 (11)</w:t>
            </w:r>
          </w:p>
        </w:tc>
        <w:tc>
          <w:tcPr>
            <w:tcW w:w="1446" w:type="dxa"/>
            <w:tcBorders>
              <w:top w:val="nil"/>
              <w:left w:val="nil"/>
              <w:bottom w:val="nil"/>
              <w:right w:val="single" w:sz="8" w:space="0" w:color="auto"/>
            </w:tcBorders>
            <w:shd w:val="clear" w:color="auto" w:fill="auto"/>
            <w:noWrap/>
            <w:vAlign w:val="bottom"/>
            <w:hideMark/>
          </w:tcPr>
          <w:p w14:paraId="0BDE49D1"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77 (13)</w:t>
            </w:r>
          </w:p>
        </w:tc>
      </w:tr>
      <w:tr w:rsidR="00AE2AC6" w:rsidRPr="00AE2AC6" w14:paraId="048D4CDD"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69B42706" w14:textId="0E8C8974"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Heart</w:t>
            </w:r>
            <w:r w:rsidR="00021969" w:rsidRPr="00021969">
              <w:rPr>
                <w:rFonts w:ascii="Calibri" w:eastAsia="Times New Roman" w:hAnsi="Calibri" w:cs="Calibri"/>
                <w:color w:val="000000"/>
                <w:lang w:val="en-US" w:eastAsia="en-GB"/>
              </w:rPr>
              <w:t xml:space="preserve"> </w:t>
            </w:r>
            <w:r w:rsidRPr="00AE2AC6">
              <w:rPr>
                <w:rFonts w:ascii="Calibri" w:eastAsia="Times New Roman" w:hAnsi="Calibri" w:cs="Calibri"/>
                <w:color w:val="000000"/>
                <w:lang w:eastAsia="en-GB"/>
              </w:rPr>
              <w:t>rate (beats per minute)</w:t>
            </w:r>
          </w:p>
        </w:tc>
        <w:tc>
          <w:tcPr>
            <w:tcW w:w="1389" w:type="dxa"/>
            <w:tcBorders>
              <w:top w:val="nil"/>
              <w:left w:val="nil"/>
              <w:bottom w:val="nil"/>
              <w:right w:val="single" w:sz="4" w:space="0" w:color="auto"/>
            </w:tcBorders>
            <w:shd w:val="clear" w:color="auto" w:fill="auto"/>
            <w:noWrap/>
            <w:vAlign w:val="bottom"/>
            <w:hideMark/>
          </w:tcPr>
          <w:p w14:paraId="3F4A0505"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72 (7)</w:t>
            </w:r>
          </w:p>
        </w:tc>
        <w:tc>
          <w:tcPr>
            <w:tcW w:w="1446" w:type="dxa"/>
            <w:tcBorders>
              <w:top w:val="nil"/>
              <w:left w:val="nil"/>
              <w:bottom w:val="nil"/>
              <w:right w:val="single" w:sz="8" w:space="0" w:color="auto"/>
            </w:tcBorders>
            <w:shd w:val="clear" w:color="auto" w:fill="auto"/>
            <w:noWrap/>
            <w:vAlign w:val="bottom"/>
            <w:hideMark/>
          </w:tcPr>
          <w:p w14:paraId="15AF639D"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68 (10)</w:t>
            </w:r>
          </w:p>
        </w:tc>
      </w:tr>
      <w:tr w:rsidR="00AE2AC6" w:rsidRPr="00AE2AC6" w14:paraId="53B88154" w14:textId="77777777" w:rsidTr="00AE2AC6">
        <w:trPr>
          <w:trHeight w:val="340"/>
          <w:jc w:val="center"/>
        </w:trPr>
        <w:tc>
          <w:tcPr>
            <w:tcW w:w="4111" w:type="dxa"/>
            <w:tcBorders>
              <w:top w:val="nil"/>
              <w:left w:val="single" w:sz="8" w:space="0" w:color="auto"/>
              <w:bottom w:val="single" w:sz="8" w:space="0" w:color="auto"/>
              <w:right w:val="single" w:sz="4" w:space="0" w:color="auto"/>
            </w:tcBorders>
            <w:shd w:val="clear" w:color="auto" w:fill="auto"/>
            <w:noWrap/>
            <w:vAlign w:val="bottom"/>
            <w:hideMark/>
          </w:tcPr>
          <w:p w14:paraId="3BCA710F"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Temperature (°C)</w:t>
            </w:r>
          </w:p>
        </w:tc>
        <w:tc>
          <w:tcPr>
            <w:tcW w:w="1389" w:type="dxa"/>
            <w:tcBorders>
              <w:top w:val="nil"/>
              <w:left w:val="nil"/>
              <w:bottom w:val="single" w:sz="8" w:space="0" w:color="auto"/>
              <w:right w:val="single" w:sz="4" w:space="0" w:color="auto"/>
            </w:tcBorders>
            <w:shd w:val="clear" w:color="auto" w:fill="auto"/>
            <w:noWrap/>
            <w:vAlign w:val="bottom"/>
            <w:hideMark/>
          </w:tcPr>
          <w:p w14:paraId="60601DD2"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36 (0.34)</w:t>
            </w:r>
          </w:p>
        </w:tc>
        <w:tc>
          <w:tcPr>
            <w:tcW w:w="1446" w:type="dxa"/>
            <w:tcBorders>
              <w:top w:val="nil"/>
              <w:left w:val="nil"/>
              <w:bottom w:val="single" w:sz="8" w:space="0" w:color="auto"/>
              <w:right w:val="single" w:sz="8" w:space="0" w:color="auto"/>
            </w:tcBorders>
            <w:shd w:val="clear" w:color="auto" w:fill="auto"/>
            <w:noWrap/>
            <w:vAlign w:val="bottom"/>
            <w:hideMark/>
          </w:tcPr>
          <w:p w14:paraId="6264E52B"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36 (0.23)</w:t>
            </w:r>
          </w:p>
        </w:tc>
      </w:tr>
      <w:tr w:rsidR="00AE2AC6" w:rsidRPr="00AE2AC6" w14:paraId="3C9C1418" w14:textId="77777777" w:rsidTr="00AE2AC6">
        <w:trPr>
          <w:trHeight w:val="320"/>
          <w:jc w:val="center"/>
        </w:trPr>
        <w:tc>
          <w:tcPr>
            <w:tcW w:w="4111" w:type="dxa"/>
            <w:tcBorders>
              <w:top w:val="nil"/>
              <w:left w:val="nil"/>
              <w:bottom w:val="nil"/>
              <w:right w:val="nil"/>
            </w:tcBorders>
            <w:shd w:val="clear" w:color="auto" w:fill="auto"/>
            <w:noWrap/>
            <w:vAlign w:val="bottom"/>
            <w:hideMark/>
          </w:tcPr>
          <w:p w14:paraId="68466421" w14:textId="77777777" w:rsidR="00AE2AC6" w:rsidRPr="00AE2AC6" w:rsidRDefault="00AE2AC6" w:rsidP="00AE2AC6">
            <w:pPr>
              <w:jc w:val="center"/>
              <w:rPr>
                <w:rFonts w:ascii="Calibri" w:eastAsia="Times New Roman" w:hAnsi="Calibri" w:cs="Calibri"/>
                <w:color w:val="000000"/>
                <w:lang w:eastAsia="en-GB"/>
              </w:rPr>
            </w:pPr>
          </w:p>
        </w:tc>
        <w:tc>
          <w:tcPr>
            <w:tcW w:w="1389" w:type="dxa"/>
            <w:tcBorders>
              <w:top w:val="nil"/>
              <w:left w:val="nil"/>
              <w:bottom w:val="nil"/>
              <w:right w:val="nil"/>
            </w:tcBorders>
            <w:shd w:val="clear" w:color="auto" w:fill="auto"/>
            <w:noWrap/>
            <w:vAlign w:val="bottom"/>
            <w:hideMark/>
          </w:tcPr>
          <w:p w14:paraId="6F7C466A" w14:textId="77777777" w:rsidR="00AE2AC6" w:rsidRPr="00AE2AC6" w:rsidRDefault="00AE2AC6" w:rsidP="00AE2AC6">
            <w:pPr>
              <w:rPr>
                <w:rFonts w:ascii="Times New Roman" w:eastAsia="Times New Roman" w:hAnsi="Times New Roman" w:cs="Times New Roman"/>
                <w:sz w:val="20"/>
                <w:szCs w:val="20"/>
                <w:lang w:eastAsia="en-GB"/>
              </w:rPr>
            </w:pPr>
          </w:p>
        </w:tc>
        <w:tc>
          <w:tcPr>
            <w:tcW w:w="1446" w:type="dxa"/>
            <w:tcBorders>
              <w:top w:val="nil"/>
              <w:left w:val="nil"/>
              <w:bottom w:val="nil"/>
              <w:right w:val="nil"/>
            </w:tcBorders>
            <w:shd w:val="clear" w:color="auto" w:fill="auto"/>
            <w:noWrap/>
            <w:vAlign w:val="bottom"/>
            <w:hideMark/>
          </w:tcPr>
          <w:p w14:paraId="0DA63717" w14:textId="77777777" w:rsidR="00AE2AC6" w:rsidRPr="00AE2AC6" w:rsidRDefault="00AE2AC6" w:rsidP="00AE2AC6">
            <w:pPr>
              <w:jc w:val="center"/>
              <w:rPr>
                <w:rFonts w:ascii="Times New Roman" w:eastAsia="Times New Roman" w:hAnsi="Times New Roman" w:cs="Times New Roman"/>
                <w:sz w:val="20"/>
                <w:szCs w:val="20"/>
                <w:lang w:eastAsia="en-GB"/>
              </w:rPr>
            </w:pPr>
          </w:p>
        </w:tc>
      </w:tr>
      <w:tr w:rsidR="00AE2AC6" w:rsidRPr="00AE2AC6" w14:paraId="0351CADE" w14:textId="77777777" w:rsidTr="00AE2AC6">
        <w:trPr>
          <w:trHeight w:val="340"/>
          <w:jc w:val="center"/>
        </w:trPr>
        <w:tc>
          <w:tcPr>
            <w:tcW w:w="4111" w:type="dxa"/>
            <w:tcBorders>
              <w:top w:val="nil"/>
              <w:left w:val="nil"/>
              <w:bottom w:val="nil"/>
              <w:right w:val="nil"/>
            </w:tcBorders>
            <w:shd w:val="clear" w:color="auto" w:fill="auto"/>
            <w:noWrap/>
            <w:vAlign w:val="bottom"/>
            <w:hideMark/>
          </w:tcPr>
          <w:p w14:paraId="4ABBB309" w14:textId="77777777" w:rsidR="00AE2AC6" w:rsidRPr="00AE2AC6" w:rsidRDefault="00AE2AC6" w:rsidP="00AE2AC6">
            <w:pPr>
              <w:rPr>
                <w:rFonts w:ascii="Calibri" w:eastAsia="Times New Roman" w:hAnsi="Calibri" w:cs="Calibri"/>
                <w:b/>
                <w:bCs/>
                <w:color w:val="000000"/>
                <w:lang w:eastAsia="en-GB"/>
              </w:rPr>
            </w:pPr>
            <w:r w:rsidRPr="00AE2AC6">
              <w:rPr>
                <w:rFonts w:ascii="Calibri" w:eastAsia="Times New Roman" w:hAnsi="Calibri" w:cs="Calibri"/>
                <w:b/>
                <w:bCs/>
                <w:color w:val="000000"/>
                <w:lang w:eastAsia="en-GB"/>
              </w:rPr>
              <w:t>Maximum increase</w:t>
            </w:r>
          </w:p>
        </w:tc>
        <w:tc>
          <w:tcPr>
            <w:tcW w:w="1389" w:type="dxa"/>
            <w:tcBorders>
              <w:top w:val="nil"/>
              <w:left w:val="nil"/>
              <w:bottom w:val="nil"/>
              <w:right w:val="nil"/>
            </w:tcBorders>
            <w:shd w:val="clear" w:color="auto" w:fill="auto"/>
            <w:noWrap/>
            <w:vAlign w:val="bottom"/>
            <w:hideMark/>
          </w:tcPr>
          <w:p w14:paraId="1DD043B4" w14:textId="77777777" w:rsidR="00AE2AC6" w:rsidRPr="00AE2AC6" w:rsidRDefault="00AE2AC6" w:rsidP="00AE2AC6">
            <w:pPr>
              <w:rPr>
                <w:rFonts w:ascii="Calibri" w:eastAsia="Times New Roman" w:hAnsi="Calibri" w:cs="Calibri"/>
                <w:b/>
                <w:bCs/>
                <w:color w:val="000000"/>
                <w:lang w:eastAsia="en-GB"/>
              </w:rPr>
            </w:pPr>
          </w:p>
        </w:tc>
        <w:tc>
          <w:tcPr>
            <w:tcW w:w="1446" w:type="dxa"/>
            <w:tcBorders>
              <w:top w:val="nil"/>
              <w:left w:val="nil"/>
              <w:bottom w:val="nil"/>
              <w:right w:val="nil"/>
            </w:tcBorders>
            <w:shd w:val="clear" w:color="auto" w:fill="auto"/>
            <w:noWrap/>
            <w:vAlign w:val="bottom"/>
            <w:hideMark/>
          </w:tcPr>
          <w:p w14:paraId="59C2054A" w14:textId="77777777" w:rsidR="00AE2AC6" w:rsidRPr="00AE2AC6" w:rsidRDefault="00AE2AC6" w:rsidP="00AE2AC6">
            <w:pPr>
              <w:jc w:val="center"/>
              <w:rPr>
                <w:rFonts w:ascii="Times New Roman" w:eastAsia="Times New Roman" w:hAnsi="Times New Roman" w:cs="Times New Roman"/>
                <w:sz w:val="20"/>
                <w:szCs w:val="20"/>
                <w:lang w:eastAsia="en-GB"/>
              </w:rPr>
            </w:pPr>
          </w:p>
        </w:tc>
      </w:tr>
      <w:tr w:rsidR="00AE2AC6" w:rsidRPr="00AE2AC6" w14:paraId="52BE010C" w14:textId="77777777" w:rsidTr="00AE2AC6">
        <w:trPr>
          <w:trHeight w:val="320"/>
          <w:jc w:val="center"/>
        </w:trPr>
        <w:tc>
          <w:tcPr>
            <w:tcW w:w="4111" w:type="dxa"/>
            <w:tcBorders>
              <w:top w:val="single" w:sz="8" w:space="0" w:color="auto"/>
              <w:left w:val="single" w:sz="8" w:space="0" w:color="auto"/>
              <w:bottom w:val="nil"/>
              <w:right w:val="single" w:sz="4" w:space="0" w:color="auto"/>
            </w:tcBorders>
            <w:shd w:val="clear" w:color="auto" w:fill="auto"/>
            <w:noWrap/>
            <w:vAlign w:val="bottom"/>
            <w:hideMark/>
          </w:tcPr>
          <w:p w14:paraId="73E05819"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Systolic blood pressure (mmhg)</w:t>
            </w:r>
          </w:p>
        </w:tc>
        <w:tc>
          <w:tcPr>
            <w:tcW w:w="1389" w:type="dxa"/>
            <w:tcBorders>
              <w:top w:val="single" w:sz="8" w:space="0" w:color="auto"/>
              <w:left w:val="nil"/>
              <w:bottom w:val="nil"/>
              <w:right w:val="single" w:sz="4" w:space="0" w:color="auto"/>
            </w:tcBorders>
            <w:shd w:val="clear" w:color="auto" w:fill="auto"/>
            <w:noWrap/>
            <w:vAlign w:val="bottom"/>
            <w:hideMark/>
          </w:tcPr>
          <w:p w14:paraId="00A0B2CC"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13.7 (7.7)</w:t>
            </w:r>
          </w:p>
        </w:tc>
        <w:tc>
          <w:tcPr>
            <w:tcW w:w="1446" w:type="dxa"/>
            <w:tcBorders>
              <w:top w:val="single" w:sz="8" w:space="0" w:color="auto"/>
              <w:left w:val="nil"/>
              <w:bottom w:val="nil"/>
              <w:right w:val="single" w:sz="8" w:space="0" w:color="auto"/>
            </w:tcBorders>
            <w:shd w:val="clear" w:color="auto" w:fill="auto"/>
            <w:noWrap/>
            <w:vAlign w:val="bottom"/>
            <w:hideMark/>
          </w:tcPr>
          <w:p w14:paraId="2FF7DBF5"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9.9 (10.3)</w:t>
            </w:r>
          </w:p>
        </w:tc>
      </w:tr>
      <w:tr w:rsidR="00AE2AC6" w:rsidRPr="00AE2AC6" w14:paraId="2087BD75"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5E3B13CB"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Diastolic blood pressure (mmhg)</w:t>
            </w:r>
          </w:p>
        </w:tc>
        <w:tc>
          <w:tcPr>
            <w:tcW w:w="1389" w:type="dxa"/>
            <w:tcBorders>
              <w:top w:val="nil"/>
              <w:left w:val="nil"/>
              <w:bottom w:val="nil"/>
              <w:right w:val="single" w:sz="4" w:space="0" w:color="auto"/>
            </w:tcBorders>
            <w:shd w:val="clear" w:color="auto" w:fill="auto"/>
            <w:noWrap/>
            <w:vAlign w:val="bottom"/>
            <w:hideMark/>
          </w:tcPr>
          <w:p w14:paraId="1B734098"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15 (8)</w:t>
            </w:r>
          </w:p>
        </w:tc>
        <w:tc>
          <w:tcPr>
            <w:tcW w:w="1446" w:type="dxa"/>
            <w:tcBorders>
              <w:top w:val="nil"/>
              <w:left w:val="nil"/>
              <w:bottom w:val="nil"/>
              <w:right w:val="single" w:sz="8" w:space="0" w:color="auto"/>
            </w:tcBorders>
            <w:shd w:val="clear" w:color="auto" w:fill="auto"/>
            <w:noWrap/>
            <w:vAlign w:val="bottom"/>
            <w:hideMark/>
          </w:tcPr>
          <w:p w14:paraId="2F81C5A3"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9.8 (14.1)</w:t>
            </w:r>
          </w:p>
        </w:tc>
      </w:tr>
      <w:tr w:rsidR="00AE2AC6" w:rsidRPr="00AE2AC6" w14:paraId="7EDEAC21"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127BF0AC" w14:textId="10A11418"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Heart</w:t>
            </w:r>
            <w:r w:rsidR="00021969" w:rsidRPr="00021969">
              <w:rPr>
                <w:rFonts w:ascii="Calibri" w:eastAsia="Times New Roman" w:hAnsi="Calibri" w:cs="Calibri"/>
                <w:color w:val="000000"/>
                <w:lang w:val="en-US" w:eastAsia="en-GB"/>
              </w:rPr>
              <w:t xml:space="preserve"> </w:t>
            </w:r>
            <w:r w:rsidRPr="00AE2AC6">
              <w:rPr>
                <w:rFonts w:ascii="Calibri" w:eastAsia="Times New Roman" w:hAnsi="Calibri" w:cs="Calibri"/>
                <w:color w:val="000000"/>
                <w:lang w:eastAsia="en-GB"/>
              </w:rPr>
              <w:t>rate (beats per minute)</w:t>
            </w:r>
          </w:p>
        </w:tc>
        <w:tc>
          <w:tcPr>
            <w:tcW w:w="1389" w:type="dxa"/>
            <w:tcBorders>
              <w:top w:val="nil"/>
              <w:left w:val="nil"/>
              <w:bottom w:val="nil"/>
              <w:right w:val="single" w:sz="4" w:space="0" w:color="auto"/>
            </w:tcBorders>
            <w:shd w:val="clear" w:color="auto" w:fill="auto"/>
            <w:noWrap/>
            <w:vAlign w:val="bottom"/>
            <w:hideMark/>
          </w:tcPr>
          <w:p w14:paraId="37CCAEAE"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32.5 (11.5)</w:t>
            </w:r>
          </w:p>
        </w:tc>
        <w:tc>
          <w:tcPr>
            <w:tcW w:w="1446" w:type="dxa"/>
            <w:tcBorders>
              <w:top w:val="nil"/>
              <w:left w:val="nil"/>
              <w:bottom w:val="nil"/>
              <w:right w:val="single" w:sz="8" w:space="0" w:color="auto"/>
            </w:tcBorders>
            <w:shd w:val="clear" w:color="auto" w:fill="auto"/>
            <w:noWrap/>
            <w:vAlign w:val="bottom"/>
            <w:hideMark/>
          </w:tcPr>
          <w:p w14:paraId="42562BE4"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11.9 (8.8)</w:t>
            </w:r>
          </w:p>
        </w:tc>
      </w:tr>
      <w:tr w:rsidR="00AE2AC6" w:rsidRPr="00AE2AC6" w14:paraId="7617350A" w14:textId="77777777" w:rsidTr="00AE2AC6">
        <w:trPr>
          <w:trHeight w:val="340"/>
          <w:jc w:val="center"/>
        </w:trPr>
        <w:tc>
          <w:tcPr>
            <w:tcW w:w="4111" w:type="dxa"/>
            <w:tcBorders>
              <w:top w:val="nil"/>
              <w:left w:val="single" w:sz="8" w:space="0" w:color="auto"/>
              <w:bottom w:val="single" w:sz="8" w:space="0" w:color="auto"/>
              <w:right w:val="single" w:sz="4" w:space="0" w:color="auto"/>
            </w:tcBorders>
            <w:shd w:val="clear" w:color="auto" w:fill="auto"/>
            <w:noWrap/>
            <w:vAlign w:val="bottom"/>
            <w:hideMark/>
          </w:tcPr>
          <w:p w14:paraId="3F7E7A2E"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Temperature (°C)</w:t>
            </w:r>
          </w:p>
        </w:tc>
        <w:tc>
          <w:tcPr>
            <w:tcW w:w="1389" w:type="dxa"/>
            <w:tcBorders>
              <w:top w:val="nil"/>
              <w:left w:val="nil"/>
              <w:bottom w:val="single" w:sz="8" w:space="0" w:color="auto"/>
              <w:right w:val="single" w:sz="4" w:space="0" w:color="auto"/>
            </w:tcBorders>
            <w:shd w:val="clear" w:color="auto" w:fill="auto"/>
            <w:noWrap/>
            <w:vAlign w:val="bottom"/>
            <w:hideMark/>
          </w:tcPr>
          <w:p w14:paraId="72220ADA"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1.39 (0.8)</w:t>
            </w:r>
          </w:p>
        </w:tc>
        <w:tc>
          <w:tcPr>
            <w:tcW w:w="1446" w:type="dxa"/>
            <w:tcBorders>
              <w:top w:val="nil"/>
              <w:left w:val="nil"/>
              <w:bottom w:val="single" w:sz="8" w:space="0" w:color="auto"/>
              <w:right w:val="single" w:sz="8" w:space="0" w:color="auto"/>
            </w:tcBorders>
            <w:shd w:val="clear" w:color="auto" w:fill="auto"/>
            <w:noWrap/>
            <w:vAlign w:val="bottom"/>
            <w:hideMark/>
          </w:tcPr>
          <w:p w14:paraId="1F074CBA"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0.17 (0.17)</w:t>
            </w:r>
          </w:p>
        </w:tc>
      </w:tr>
      <w:tr w:rsidR="00AE2AC6" w:rsidRPr="00AE2AC6" w14:paraId="53828CBE" w14:textId="77777777" w:rsidTr="00AE2AC6">
        <w:trPr>
          <w:trHeight w:val="320"/>
          <w:jc w:val="center"/>
        </w:trPr>
        <w:tc>
          <w:tcPr>
            <w:tcW w:w="4111" w:type="dxa"/>
            <w:tcBorders>
              <w:top w:val="nil"/>
              <w:left w:val="nil"/>
              <w:bottom w:val="nil"/>
              <w:right w:val="nil"/>
            </w:tcBorders>
            <w:shd w:val="clear" w:color="auto" w:fill="auto"/>
            <w:noWrap/>
            <w:vAlign w:val="bottom"/>
            <w:hideMark/>
          </w:tcPr>
          <w:p w14:paraId="735AA6AF" w14:textId="77777777" w:rsidR="00AE2AC6" w:rsidRPr="00AE2AC6" w:rsidRDefault="00AE2AC6" w:rsidP="00AE2AC6">
            <w:pPr>
              <w:jc w:val="center"/>
              <w:rPr>
                <w:rFonts w:ascii="Calibri" w:eastAsia="Times New Roman" w:hAnsi="Calibri" w:cs="Calibri"/>
                <w:color w:val="000000"/>
                <w:lang w:eastAsia="en-GB"/>
              </w:rPr>
            </w:pPr>
          </w:p>
        </w:tc>
        <w:tc>
          <w:tcPr>
            <w:tcW w:w="1389" w:type="dxa"/>
            <w:tcBorders>
              <w:top w:val="nil"/>
              <w:left w:val="nil"/>
              <w:bottom w:val="nil"/>
              <w:right w:val="nil"/>
            </w:tcBorders>
            <w:shd w:val="clear" w:color="auto" w:fill="auto"/>
            <w:noWrap/>
            <w:vAlign w:val="bottom"/>
            <w:hideMark/>
          </w:tcPr>
          <w:p w14:paraId="77B970B2" w14:textId="77777777" w:rsidR="00AE2AC6" w:rsidRPr="00AE2AC6" w:rsidRDefault="00AE2AC6" w:rsidP="00AE2AC6">
            <w:pPr>
              <w:rPr>
                <w:rFonts w:ascii="Times New Roman" w:eastAsia="Times New Roman" w:hAnsi="Times New Roman" w:cs="Times New Roman"/>
                <w:sz w:val="20"/>
                <w:szCs w:val="20"/>
                <w:lang w:eastAsia="en-GB"/>
              </w:rPr>
            </w:pPr>
          </w:p>
        </w:tc>
        <w:tc>
          <w:tcPr>
            <w:tcW w:w="1446" w:type="dxa"/>
            <w:tcBorders>
              <w:top w:val="nil"/>
              <w:left w:val="nil"/>
              <w:bottom w:val="nil"/>
              <w:right w:val="nil"/>
            </w:tcBorders>
            <w:shd w:val="clear" w:color="auto" w:fill="auto"/>
            <w:noWrap/>
            <w:vAlign w:val="bottom"/>
            <w:hideMark/>
          </w:tcPr>
          <w:p w14:paraId="202556E0" w14:textId="77777777" w:rsidR="00AE2AC6" w:rsidRPr="00AE2AC6" w:rsidRDefault="00AE2AC6" w:rsidP="00AE2AC6">
            <w:pPr>
              <w:jc w:val="center"/>
              <w:rPr>
                <w:rFonts w:ascii="Times New Roman" w:eastAsia="Times New Roman" w:hAnsi="Times New Roman" w:cs="Times New Roman"/>
                <w:sz w:val="20"/>
                <w:szCs w:val="20"/>
                <w:lang w:eastAsia="en-GB"/>
              </w:rPr>
            </w:pPr>
          </w:p>
        </w:tc>
      </w:tr>
      <w:tr w:rsidR="00AE2AC6" w:rsidRPr="00AE2AC6" w14:paraId="73B5E561" w14:textId="77777777" w:rsidTr="00AE2AC6">
        <w:trPr>
          <w:trHeight w:val="340"/>
          <w:jc w:val="center"/>
        </w:trPr>
        <w:tc>
          <w:tcPr>
            <w:tcW w:w="4111" w:type="dxa"/>
            <w:tcBorders>
              <w:top w:val="nil"/>
              <w:left w:val="nil"/>
              <w:bottom w:val="nil"/>
              <w:right w:val="nil"/>
            </w:tcBorders>
            <w:shd w:val="clear" w:color="auto" w:fill="auto"/>
            <w:noWrap/>
            <w:vAlign w:val="bottom"/>
            <w:hideMark/>
          </w:tcPr>
          <w:p w14:paraId="525E25CC" w14:textId="77777777" w:rsidR="00AE2AC6" w:rsidRPr="00AE2AC6" w:rsidRDefault="00AE2AC6" w:rsidP="00AE2AC6">
            <w:pPr>
              <w:rPr>
                <w:rFonts w:ascii="Calibri" w:eastAsia="Times New Roman" w:hAnsi="Calibri" w:cs="Calibri"/>
                <w:b/>
                <w:bCs/>
                <w:color w:val="000000"/>
                <w:lang w:eastAsia="en-GB"/>
              </w:rPr>
            </w:pPr>
            <w:r w:rsidRPr="00AE2AC6">
              <w:rPr>
                <w:rFonts w:ascii="Calibri" w:eastAsia="Times New Roman" w:hAnsi="Calibri" w:cs="Calibri"/>
                <w:b/>
                <w:bCs/>
                <w:color w:val="000000"/>
                <w:lang w:eastAsia="en-GB"/>
              </w:rPr>
              <w:t>Maximum decrease</w:t>
            </w:r>
          </w:p>
        </w:tc>
        <w:tc>
          <w:tcPr>
            <w:tcW w:w="1389" w:type="dxa"/>
            <w:tcBorders>
              <w:top w:val="nil"/>
              <w:left w:val="nil"/>
              <w:bottom w:val="nil"/>
              <w:right w:val="nil"/>
            </w:tcBorders>
            <w:shd w:val="clear" w:color="auto" w:fill="auto"/>
            <w:noWrap/>
            <w:vAlign w:val="bottom"/>
            <w:hideMark/>
          </w:tcPr>
          <w:p w14:paraId="00DCD59C" w14:textId="77777777" w:rsidR="00AE2AC6" w:rsidRPr="00AE2AC6" w:rsidRDefault="00AE2AC6" w:rsidP="00AE2AC6">
            <w:pPr>
              <w:rPr>
                <w:rFonts w:ascii="Calibri" w:eastAsia="Times New Roman" w:hAnsi="Calibri" w:cs="Calibri"/>
                <w:b/>
                <w:bCs/>
                <w:color w:val="000000"/>
                <w:lang w:eastAsia="en-GB"/>
              </w:rPr>
            </w:pPr>
          </w:p>
        </w:tc>
        <w:tc>
          <w:tcPr>
            <w:tcW w:w="1446" w:type="dxa"/>
            <w:tcBorders>
              <w:top w:val="nil"/>
              <w:left w:val="nil"/>
              <w:bottom w:val="nil"/>
              <w:right w:val="nil"/>
            </w:tcBorders>
            <w:shd w:val="clear" w:color="auto" w:fill="auto"/>
            <w:noWrap/>
            <w:vAlign w:val="bottom"/>
            <w:hideMark/>
          </w:tcPr>
          <w:p w14:paraId="32FB74A0" w14:textId="77777777" w:rsidR="00AE2AC6" w:rsidRPr="00AE2AC6" w:rsidRDefault="00AE2AC6" w:rsidP="00AE2AC6">
            <w:pPr>
              <w:jc w:val="center"/>
              <w:rPr>
                <w:rFonts w:ascii="Times New Roman" w:eastAsia="Times New Roman" w:hAnsi="Times New Roman" w:cs="Times New Roman"/>
                <w:sz w:val="20"/>
                <w:szCs w:val="20"/>
                <w:lang w:eastAsia="en-GB"/>
              </w:rPr>
            </w:pPr>
          </w:p>
        </w:tc>
      </w:tr>
      <w:tr w:rsidR="00AE2AC6" w:rsidRPr="00AE2AC6" w14:paraId="769CC8E8" w14:textId="77777777" w:rsidTr="00AE2AC6">
        <w:trPr>
          <w:trHeight w:val="320"/>
          <w:jc w:val="center"/>
        </w:trPr>
        <w:tc>
          <w:tcPr>
            <w:tcW w:w="4111" w:type="dxa"/>
            <w:tcBorders>
              <w:top w:val="single" w:sz="8" w:space="0" w:color="auto"/>
              <w:left w:val="single" w:sz="8" w:space="0" w:color="auto"/>
              <w:bottom w:val="nil"/>
              <w:right w:val="single" w:sz="4" w:space="0" w:color="auto"/>
            </w:tcBorders>
            <w:shd w:val="clear" w:color="auto" w:fill="auto"/>
            <w:noWrap/>
            <w:vAlign w:val="bottom"/>
            <w:hideMark/>
          </w:tcPr>
          <w:p w14:paraId="242DBBFB"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Systolic blood pressure (mmhg)</w:t>
            </w:r>
          </w:p>
        </w:tc>
        <w:tc>
          <w:tcPr>
            <w:tcW w:w="1389" w:type="dxa"/>
            <w:tcBorders>
              <w:top w:val="single" w:sz="8" w:space="0" w:color="auto"/>
              <w:left w:val="nil"/>
              <w:bottom w:val="nil"/>
              <w:right w:val="single" w:sz="4" w:space="0" w:color="auto"/>
            </w:tcBorders>
            <w:shd w:val="clear" w:color="auto" w:fill="auto"/>
            <w:noWrap/>
            <w:vAlign w:val="bottom"/>
            <w:hideMark/>
          </w:tcPr>
          <w:p w14:paraId="0991401D"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-29.6 (7.1)</w:t>
            </w:r>
          </w:p>
        </w:tc>
        <w:tc>
          <w:tcPr>
            <w:tcW w:w="1446" w:type="dxa"/>
            <w:tcBorders>
              <w:top w:val="single" w:sz="8" w:space="0" w:color="auto"/>
              <w:left w:val="nil"/>
              <w:bottom w:val="nil"/>
              <w:right w:val="single" w:sz="8" w:space="0" w:color="auto"/>
            </w:tcBorders>
            <w:shd w:val="clear" w:color="auto" w:fill="auto"/>
            <w:noWrap/>
            <w:vAlign w:val="bottom"/>
            <w:hideMark/>
          </w:tcPr>
          <w:p w14:paraId="2455474B"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-19 (9.7)</w:t>
            </w:r>
          </w:p>
        </w:tc>
      </w:tr>
      <w:tr w:rsidR="00AE2AC6" w:rsidRPr="00AE2AC6" w14:paraId="1C94C455"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77D4631D"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Diastolic blood pressure (mmhg)</w:t>
            </w:r>
          </w:p>
        </w:tc>
        <w:tc>
          <w:tcPr>
            <w:tcW w:w="1389" w:type="dxa"/>
            <w:tcBorders>
              <w:top w:val="nil"/>
              <w:left w:val="nil"/>
              <w:bottom w:val="nil"/>
              <w:right w:val="single" w:sz="4" w:space="0" w:color="auto"/>
            </w:tcBorders>
            <w:shd w:val="clear" w:color="auto" w:fill="auto"/>
            <w:noWrap/>
            <w:vAlign w:val="bottom"/>
            <w:hideMark/>
          </w:tcPr>
          <w:p w14:paraId="29EB5309"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-31.8 (10.5)</w:t>
            </w:r>
          </w:p>
        </w:tc>
        <w:tc>
          <w:tcPr>
            <w:tcW w:w="1446" w:type="dxa"/>
            <w:tcBorders>
              <w:top w:val="nil"/>
              <w:left w:val="nil"/>
              <w:bottom w:val="nil"/>
              <w:right w:val="single" w:sz="8" w:space="0" w:color="auto"/>
            </w:tcBorders>
            <w:shd w:val="clear" w:color="auto" w:fill="auto"/>
            <w:noWrap/>
            <w:vAlign w:val="bottom"/>
            <w:hideMark/>
          </w:tcPr>
          <w:p w14:paraId="43DD51B7"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-20.2 (11)</w:t>
            </w:r>
          </w:p>
        </w:tc>
      </w:tr>
      <w:tr w:rsidR="00AE2AC6" w:rsidRPr="00AE2AC6" w14:paraId="6DBFAB67" w14:textId="77777777" w:rsidTr="00AE2AC6">
        <w:trPr>
          <w:trHeight w:val="320"/>
          <w:jc w:val="center"/>
        </w:trPr>
        <w:tc>
          <w:tcPr>
            <w:tcW w:w="4111" w:type="dxa"/>
            <w:tcBorders>
              <w:top w:val="nil"/>
              <w:left w:val="single" w:sz="8" w:space="0" w:color="auto"/>
              <w:bottom w:val="nil"/>
              <w:right w:val="single" w:sz="4" w:space="0" w:color="auto"/>
            </w:tcBorders>
            <w:shd w:val="clear" w:color="auto" w:fill="auto"/>
            <w:noWrap/>
            <w:vAlign w:val="bottom"/>
            <w:hideMark/>
          </w:tcPr>
          <w:p w14:paraId="123CA51B" w14:textId="4081EB7A"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Heart</w:t>
            </w:r>
            <w:r w:rsidR="00021969" w:rsidRPr="00021969">
              <w:rPr>
                <w:rFonts w:ascii="Calibri" w:eastAsia="Times New Roman" w:hAnsi="Calibri" w:cs="Calibri"/>
                <w:color w:val="000000"/>
                <w:lang w:val="en-US" w:eastAsia="en-GB"/>
              </w:rPr>
              <w:t xml:space="preserve"> </w:t>
            </w:r>
            <w:r w:rsidRPr="00AE2AC6">
              <w:rPr>
                <w:rFonts w:ascii="Calibri" w:eastAsia="Times New Roman" w:hAnsi="Calibri" w:cs="Calibri"/>
                <w:color w:val="000000"/>
                <w:lang w:eastAsia="en-GB"/>
              </w:rPr>
              <w:t>rate (beats per minute)</w:t>
            </w:r>
          </w:p>
        </w:tc>
        <w:tc>
          <w:tcPr>
            <w:tcW w:w="1389" w:type="dxa"/>
            <w:tcBorders>
              <w:top w:val="nil"/>
              <w:left w:val="nil"/>
              <w:bottom w:val="nil"/>
              <w:right w:val="single" w:sz="4" w:space="0" w:color="auto"/>
            </w:tcBorders>
            <w:shd w:val="clear" w:color="auto" w:fill="auto"/>
            <w:noWrap/>
            <w:vAlign w:val="bottom"/>
            <w:hideMark/>
          </w:tcPr>
          <w:p w14:paraId="3B96C770"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-11.3 (8.3)</w:t>
            </w:r>
          </w:p>
        </w:tc>
        <w:tc>
          <w:tcPr>
            <w:tcW w:w="1446" w:type="dxa"/>
            <w:tcBorders>
              <w:top w:val="nil"/>
              <w:left w:val="nil"/>
              <w:bottom w:val="nil"/>
              <w:right w:val="single" w:sz="8" w:space="0" w:color="auto"/>
            </w:tcBorders>
            <w:shd w:val="clear" w:color="auto" w:fill="auto"/>
            <w:noWrap/>
            <w:vAlign w:val="bottom"/>
            <w:hideMark/>
          </w:tcPr>
          <w:p w14:paraId="226DEA3B"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-15 (6.6)</w:t>
            </w:r>
          </w:p>
        </w:tc>
      </w:tr>
      <w:tr w:rsidR="00AE2AC6" w:rsidRPr="00AE2AC6" w14:paraId="2D07C8F1" w14:textId="77777777" w:rsidTr="00AE2AC6">
        <w:trPr>
          <w:trHeight w:val="340"/>
          <w:jc w:val="center"/>
        </w:trPr>
        <w:tc>
          <w:tcPr>
            <w:tcW w:w="4111" w:type="dxa"/>
            <w:tcBorders>
              <w:top w:val="nil"/>
              <w:left w:val="single" w:sz="8" w:space="0" w:color="auto"/>
              <w:bottom w:val="single" w:sz="8" w:space="0" w:color="auto"/>
              <w:right w:val="single" w:sz="4" w:space="0" w:color="auto"/>
            </w:tcBorders>
            <w:shd w:val="clear" w:color="auto" w:fill="auto"/>
            <w:noWrap/>
            <w:vAlign w:val="bottom"/>
            <w:hideMark/>
          </w:tcPr>
          <w:p w14:paraId="6D1F83AE" w14:textId="77777777" w:rsidR="00AE2AC6" w:rsidRPr="00AE2AC6" w:rsidRDefault="00AE2AC6" w:rsidP="00AE2AC6">
            <w:pPr>
              <w:rPr>
                <w:rFonts w:ascii="Calibri" w:eastAsia="Times New Roman" w:hAnsi="Calibri" w:cs="Calibri"/>
                <w:color w:val="000000"/>
                <w:lang w:eastAsia="en-GB"/>
              </w:rPr>
            </w:pPr>
            <w:r w:rsidRPr="00AE2AC6">
              <w:rPr>
                <w:rFonts w:ascii="Calibri" w:eastAsia="Times New Roman" w:hAnsi="Calibri" w:cs="Calibri"/>
                <w:color w:val="000000"/>
                <w:lang w:eastAsia="en-GB"/>
              </w:rPr>
              <w:t>Temperature (°C)</w:t>
            </w:r>
          </w:p>
        </w:tc>
        <w:tc>
          <w:tcPr>
            <w:tcW w:w="1389" w:type="dxa"/>
            <w:tcBorders>
              <w:top w:val="nil"/>
              <w:left w:val="nil"/>
              <w:bottom w:val="single" w:sz="8" w:space="0" w:color="auto"/>
              <w:right w:val="single" w:sz="4" w:space="0" w:color="auto"/>
            </w:tcBorders>
            <w:shd w:val="clear" w:color="auto" w:fill="auto"/>
            <w:noWrap/>
            <w:vAlign w:val="bottom"/>
            <w:hideMark/>
          </w:tcPr>
          <w:p w14:paraId="6D0B8E63" w14:textId="77777777" w:rsidR="00AE2AC6" w:rsidRPr="00AE2AC6" w:rsidRDefault="00AE2AC6" w:rsidP="00AE2AC6">
            <w:pPr>
              <w:jc w:val="center"/>
              <w:rPr>
                <w:rFonts w:ascii="Calibri" w:eastAsia="Times New Roman" w:hAnsi="Calibri" w:cs="Calibri"/>
                <w:color w:val="000000"/>
                <w:lang w:eastAsia="en-GB"/>
              </w:rPr>
            </w:pPr>
            <w:r w:rsidRPr="00AE2AC6">
              <w:rPr>
                <w:rFonts w:ascii="Calibri" w:eastAsia="Times New Roman" w:hAnsi="Calibri" w:cs="Calibri"/>
                <w:color w:val="000000"/>
                <w:lang w:eastAsia="en-GB"/>
              </w:rPr>
              <w:t>-0.07 (0.1)</w:t>
            </w:r>
          </w:p>
        </w:tc>
        <w:tc>
          <w:tcPr>
            <w:tcW w:w="1446" w:type="dxa"/>
            <w:tcBorders>
              <w:top w:val="nil"/>
              <w:left w:val="nil"/>
              <w:bottom w:val="single" w:sz="8" w:space="0" w:color="auto"/>
              <w:right w:val="single" w:sz="8" w:space="0" w:color="auto"/>
            </w:tcBorders>
            <w:shd w:val="clear" w:color="auto" w:fill="auto"/>
            <w:noWrap/>
            <w:vAlign w:val="bottom"/>
            <w:hideMark/>
          </w:tcPr>
          <w:p w14:paraId="6F62669F" w14:textId="35B1174B" w:rsidR="00AE2AC6" w:rsidRPr="00AE2AC6" w:rsidRDefault="00AE2AC6" w:rsidP="00AE2AC6">
            <w:pPr>
              <w:jc w:val="center"/>
              <w:rPr>
                <w:rFonts w:ascii="Calibri" w:eastAsia="Times New Roman" w:hAnsi="Calibri" w:cs="Calibri"/>
                <w:color w:val="000000"/>
                <w:lang w:val="de-AT" w:eastAsia="en-GB"/>
              </w:rPr>
            </w:pPr>
            <w:r w:rsidRPr="00AE2AC6">
              <w:rPr>
                <w:rFonts w:ascii="Calibri" w:eastAsia="Times New Roman" w:hAnsi="Calibri" w:cs="Calibri"/>
                <w:color w:val="000000"/>
                <w:lang w:eastAsia="en-GB"/>
              </w:rPr>
              <w:t>-0.21 (0.29</w:t>
            </w:r>
            <w:r>
              <w:rPr>
                <w:rFonts w:ascii="Calibri" w:eastAsia="Times New Roman" w:hAnsi="Calibri" w:cs="Calibri"/>
                <w:color w:val="000000"/>
                <w:lang w:val="de-AT" w:eastAsia="en-GB"/>
              </w:rPr>
              <w:t>)</w:t>
            </w:r>
          </w:p>
        </w:tc>
      </w:tr>
    </w:tbl>
    <w:p w14:paraId="7DAF0A6F" w14:textId="77777777" w:rsidR="00BE384E" w:rsidRPr="00CC2A1C" w:rsidRDefault="00BE384E" w:rsidP="00CC2A1C">
      <w:pPr>
        <w:jc w:val="both"/>
        <w:rPr>
          <w:rFonts w:ascii="Arial" w:hAnsi="Arial" w:cs="Arial"/>
          <w:lang w:val="en-US"/>
        </w:rPr>
      </w:pPr>
    </w:p>
    <w:sectPr w:rsidR="00BE384E" w:rsidRPr="00CC2A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9"/>
  </w:docVars>
  <w:rsids>
    <w:rsidRoot w:val="00CC2A1C"/>
    <w:rsid w:val="00007506"/>
    <w:rsid w:val="00021969"/>
    <w:rsid w:val="001349E4"/>
    <w:rsid w:val="001513F3"/>
    <w:rsid w:val="001B6F3D"/>
    <w:rsid w:val="003C5B90"/>
    <w:rsid w:val="005704D8"/>
    <w:rsid w:val="007365A0"/>
    <w:rsid w:val="007875EB"/>
    <w:rsid w:val="007B10BE"/>
    <w:rsid w:val="008D09F9"/>
    <w:rsid w:val="00AC0F4E"/>
    <w:rsid w:val="00AE2AC6"/>
    <w:rsid w:val="00BE384E"/>
    <w:rsid w:val="00CC2A1C"/>
    <w:rsid w:val="00CC49CD"/>
    <w:rsid w:val="00CE4F6A"/>
    <w:rsid w:val="00CE7EE7"/>
    <w:rsid w:val="00D26FD2"/>
    <w:rsid w:val="00DD008A"/>
    <w:rsid w:val="00EC21F5"/>
    <w:rsid w:val="00EC7F60"/>
    <w:rsid w:val="00F711EB"/>
    <w:rsid w:val="00FE7DE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2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49E4"/>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1513F3"/>
    <w:rPr>
      <w:rFonts w:ascii="Tahoma" w:hAnsi="Tahoma" w:cs="Tahoma"/>
      <w:sz w:val="16"/>
      <w:szCs w:val="16"/>
    </w:rPr>
  </w:style>
  <w:style w:type="character" w:customStyle="1" w:styleId="BalloonTextChar">
    <w:name w:val="Balloon Text Char"/>
    <w:basedOn w:val="DefaultParagraphFont"/>
    <w:link w:val="BalloonText"/>
    <w:uiPriority w:val="99"/>
    <w:semiHidden/>
    <w:rsid w:val="001513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49E4"/>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1513F3"/>
    <w:rPr>
      <w:rFonts w:ascii="Tahoma" w:hAnsi="Tahoma" w:cs="Tahoma"/>
      <w:sz w:val="16"/>
      <w:szCs w:val="16"/>
    </w:rPr>
  </w:style>
  <w:style w:type="character" w:customStyle="1" w:styleId="BalloonTextChar">
    <w:name w:val="Balloon Text Char"/>
    <w:basedOn w:val="DefaultParagraphFont"/>
    <w:link w:val="BalloonText"/>
    <w:uiPriority w:val="99"/>
    <w:semiHidden/>
    <w:rsid w:val="001513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6326">
      <w:bodyDiv w:val="1"/>
      <w:marLeft w:val="0"/>
      <w:marRight w:val="0"/>
      <w:marTop w:val="0"/>
      <w:marBottom w:val="0"/>
      <w:divBdr>
        <w:top w:val="none" w:sz="0" w:space="0" w:color="auto"/>
        <w:left w:val="none" w:sz="0" w:space="0" w:color="auto"/>
        <w:bottom w:val="none" w:sz="0" w:space="0" w:color="auto"/>
        <w:right w:val="none" w:sz="0" w:space="0" w:color="auto"/>
      </w:divBdr>
    </w:div>
    <w:div w:id="479230310">
      <w:bodyDiv w:val="1"/>
      <w:marLeft w:val="0"/>
      <w:marRight w:val="0"/>
      <w:marTop w:val="0"/>
      <w:marBottom w:val="0"/>
      <w:divBdr>
        <w:top w:val="none" w:sz="0" w:space="0" w:color="auto"/>
        <w:left w:val="none" w:sz="0" w:space="0" w:color="auto"/>
        <w:bottom w:val="none" w:sz="0" w:space="0" w:color="auto"/>
        <w:right w:val="none" w:sz="0" w:space="0" w:color="auto"/>
      </w:divBdr>
    </w:div>
    <w:div w:id="508720355">
      <w:bodyDiv w:val="1"/>
      <w:marLeft w:val="0"/>
      <w:marRight w:val="0"/>
      <w:marTop w:val="0"/>
      <w:marBottom w:val="0"/>
      <w:divBdr>
        <w:top w:val="none" w:sz="0" w:space="0" w:color="auto"/>
        <w:left w:val="none" w:sz="0" w:space="0" w:color="auto"/>
        <w:bottom w:val="none" w:sz="0" w:space="0" w:color="auto"/>
        <w:right w:val="none" w:sz="0" w:space="0" w:color="auto"/>
      </w:divBdr>
    </w:div>
    <w:div w:id="188235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248</Words>
  <Characters>1416</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Millischer</dc:creator>
  <cp:keywords/>
  <dc:description/>
  <cp:lastModifiedBy>JHUNGOY</cp:lastModifiedBy>
  <cp:revision>9</cp:revision>
  <dcterms:created xsi:type="dcterms:W3CDTF">2020-10-10T14:31:00Z</dcterms:created>
  <dcterms:modified xsi:type="dcterms:W3CDTF">2021-06-25T23:50:00Z</dcterms:modified>
</cp:coreProperties>
</file>