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00E" w:rsidRDefault="004F700E" w:rsidP="004F700E"/>
    <w:p w:rsidR="004F700E" w:rsidRPr="005F099A" w:rsidRDefault="00FA5B84" w:rsidP="004F700E">
      <w:pPr>
        <w:jc w:val="center"/>
        <w:rPr>
          <w:rFonts w:ascii="Arial" w:hAnsi="Arial" w:cs="Arial"/>
          <w:b/>
        </w:rPr>
      </w:pPr>
      <w:r>
        <w:rPr>
          <w:rFonts w:ascii="Arial" w:hAnsi="Arial" w:cs="Arial"/>
          <w:b/>
        </w:rPr>
        <w:t>Additional file 1</w:t>
      </w:r>
    </w:p>
    <w:p w:rsidR="004F700E" w:rsidRPr="005F099A" w:rsidRDefault="004F700E" w:rsidP="004F700E">
      <w:pPr>
        <w:rPr>
          <w:b/>
        </w:rPr>
      </w:pPr>
      <w:r w:rsidRPr="005F099A">
        <w:rPr>
          <w:b/>
        </w:rPr>
        <w:t>Figure S1</w:t>
      </w:r>
      <w:bookmarkStart w:id="0" w:name="_GoBack"/>
      <w:bookmarkEnd w:id="0"/>
    </w:p>
    <w:p w:rsidR="004F700E" w:rsidRPr="004E5D3F" w:rsidRDefault="004F700E" w:rsidP="004F700E">
      <w:r w:rsidRPr="00F93D1B">
        <w:rPr>
          <w:noProof/>
        </w:rPr>
        <w:drawing>
          <wp:inline distT="0" distB="0" distL="0" distR="0" wp14:anchorId="34F84BD5" wp14:editId="3481F742">
            <wp:extent cx="5943600" cy="5222501"/>
            <wp:effectExtent l="0" t="0" r="0" b="0"/>
            <wp:docPr id="67" name="Picture 23" descr="E:\Spring 2021\Supp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Spring 2021\Suppl 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5222501"/>
                    </a:xfrm>
                    <a:prstGeom prst="rect">
                      <a:avLst/>
                    </a:prstGeom>
                    <a:noFill/>
                    <a:ln>
                      <a:noFill/>
                    </a:ln>
                  </pic:spPr>
                </pic:pic>
              </a:graphicData>
            </a:graphic>
          </wp:inline>
        </w:drawing>
      </w:r>
      <w:r w:rsidRPr="004E5D3F">
        <w:rPr>
          <w:rFonts w:eastAsia="+mn-ea" w:cstheme="minorHAnsi"/>
          <w:b/>
          <w:bCs/>
          <w:color w:val="000000"/>
          <w:kern w:val="24"/>
          <w:sz w:val="18"/>
          <w:szCs w:val="18"/>
        </w:rPr>
        <w:t xml:space="preserve">Figure S1. Female mice exhibit exacerbated anxiety following predator odor stress. </w:t>
      </w:r>
      <w:r w:rsidRPr="004E5D3F">
        <w:rPr>
          <w:rFonts w:eastAsia="Calibri" w:cstheme="minorHAnsi"/>
          <w:b/>
          <w:color w:val="000000"/>
          <w:kern w:val="24"/>
          <w:sz w:val="18"/>
          <w:szCs w:val="18"/>
        </w:rPr>
        <w:t>(A)</w:t>
      </w:r>
      <w:r w:rsidRPr="004E5D3F">
        <w:rPr>
          <w:rFonts w:eastAsia="Calibri" w:cstheme="minorHAnsi"/>
          <w:color w:val="000000"/>
          <w:kern w:val="24"/>
          <w:sz w:val="18"/>
          <w:szCs w:val="18"/>
        </w:rPr>
        <w:t xml:space="preserve"> Evaluation of anxious behavior of stressed (predator odor) and non-stressed control mice using open field test (OFT). Female mice exposed to predator odor exhibited significantly higher anxiety levels when compared to stressed males and controls, as depicted by their hesitation to explore the central area of the OFT. </w:t>
      </w:r>
      <w:r w:rsidRPr="004E5D3F">
        <w:rPr>
          <w:rFonts w:eastAsia="Calibri" w:cstheme="minorHAnsi"/>
          <w:b/>
          <w:color w:val="000000"/>
          <w:kern w:val="24"/>
          <w:sz w:val="18"/>
          <w:szCs w:val="18"/>
        </w:rPr>
        <w:t>(B)</w:t>
      </w:r>
      <w:r w:rsidRPr="004E5D3F">
        <w:rPr>
          <w:rFonts w:eastAsia="Calibri" w:cstheme="minorHAnsi"/>
          <w:color w:val="000000"/>
          <w:kern w:val="24"/>
          <w:sz w:val="18"/>
          <w:szCs w:val="18"/>
        </w:rPr>
        <w:t xml:space="preserve">The light-dark test showed female mice exposed to predator odor exhibited significantly higher anxiety levels (higher Dark-Light ratios) when compared to the male stressed mice and control, as demonstrated by their reluctance to spend more time in the light chamber of the LDT. </w:t>
      </w:r>
      <w:r w:rsidRPr="004E5D3F">
        <w:rPr>
          <w:rFonts w:eastAsia="Calibri" w:cstheme="minorHAnsi"/>
          <w:b/>
          <w:color w:val="000000"/>
          <w:kern w:val="24"/>
          <w:sz w:val="18"/>
          <w:szCs w:val="18"/>
        </w:rPr>
        <w:t>(C)</w:t>
      </w:r>
      <w:r w:rsidRPr="004E5D3F">
        <w:rPr>
          <w:rFonts w:eastAsia="Calibri" w:cstheme="minorHAnsi"/>
          <w:color w:val="000000"/>
          <w:kern w:val="24"/>
          <w:sz w:val="18"/>
          <w:szCs w:val="18"/>
        </w:rPr>
        <w:t xml:space="preserve"> Elevated plus maze test showed female mice subjected to predator odor displayed significantly increased anxiety levels compared to the other groups, as evidenced by their avoidance to spend more time in the open arms of the EPM. </w:t>
      </w:r>
      <w:r w:rsidRPr="004E5D3F">
        <w:rPr>
          <w:rFonts w:eastAsia="Calibri" w:cstheme="minorHAnsi"/>
          <w:b/>
          <w:bCs/>
          <w:color w:val="000000"/>
          <w:kern w:val="24"/>
          <w:sz w:val="18"/>
          <w:szCs w:val="18"/>
        </w:rPr>
        <w:t>(D)</w:t>
      </w:r>
      <w:r w:rsidRPr="004E5D3F">
        <w:rPr>
          <w:rFonts w:eastAsia="Calibri" w:cstheme="minorHAnsi"/>
          <w:color w:val="000000"/>
          <w:kern w:val="24"/>
          <w:sz w:val="18"/>
          <w:szCs w:val="18"/>
        </w:rPr>
        <w:t xml:space="preserve"> Evaluation of IL1β levels by ELISA in hippocampal homogenates revealed female mice exposed to predator odor showed aberrantly higher IL1β as compared to stressed males. </w:t>
      </w:r>
      <w:r w:rsidRPr="004E5D3F">
        <w:rPr>
          <w:rFonts w:eastAsia="Calibri" w:cstheme="minorHAnsi"/>
          <w:b/>
          <w:color w:val="000000"/>
          <w:kern w:val="24"/>
          <w:sz w:val="18"/>
          <w:szCs w:val="18"/>
        </w:rPr>
        <w:t>(E)</w:t>
      </w:r>
      <w:r w:rsidRPr="004E5D3F">
        <w:rPr>
          <w:rFonts w:eastAsia="Calibri" w:cstheme="minorHAnsi"/>
          <w:color w:val="000000"/>
          <w:kern w:val="24"/>
          <w:sz w:val="18"/>
          <w:szCs w:val="18"/>
        </w:rPr>
        <w:t xml:space="preserve"> Exposure of predator odor to female mice caused aberrantly higher IL6 levels in the hippocampus as compared to their male counterparts. All data are presented as Mean with 95% CI (n=17/group); ***p&lt;0.001, ns (not significant); one-way </w:t>
      </w:r>
      <w:r w:rsidRPr="004E5D3F">
        <w:rPr>
          <w:rFonts w:eastAsia="Calibri" w:cstheme="minorHAnsi"/>
          <w:i/>
          <w:iCs/>
          <w:color w:val="000000"/>
          <w:kern w:val="24"/>
          <w:sz w:val="18"/>
          <w:szCs w:val="18"/>
        </w:rPr>
        <w:t>ANOVA</w:t>
      </w:r>
      <w:r w:rsidRPr="004E5D3F">
        <w:rPr>
          <w:rFonts w:eastAsia="Calibri" w:cstheme="minorHAnsi"/>
          <w:color w:val="000000"/>
          <w:kern w:val="24"/>
          <w:sz w:val="18"/>
          <w:szCs w:val="18"/>
        </w:rPr>
        <w:t xml:space="preserve"> followed by Bonferroni </w:t>
      </w:r>
      <w:r w:rsidRPr="004E5D3F">
        <w:rPr>
          <w:rFonts w:eastAsia="Calibri" w:cstheme="minorHAnsi"/>
          <w:i/>
          <w:iCs/>
          <w:color w:val="000000"/>
          <w:kern w:val="24"/>
          <w:sz w:val="18"/>
          <w:szCs w:val="18"/>
        </w:rPr>
        <w:t>post-hoc</w:t>
      </w:r>
      <w:r w:rsidRPr="004E5D3F">
        <w:rPr>
          <w:rFonts w:eastAsia="Calibri" w:cstheme="minorHAnsi"/>
          <w:color w:val="000000"/>
          <w:kern w:val="24"/>
          <w:sz w:val="18"/>
          <w:szCs w:val="18"/>
        </w:rPr>
        <w:t xml:space="preserve"> test.</w:t>
      </w:r>
    </w:p>
    <w:p w:rsidR="004F700E" w:rsidRDefault="004F700E" w:rsidP="004F700E"/>
    <w:p w:rsidR="004F700E" w:rsidRDefault="004F700E" w:rsidP="004F700E"/>
    <w:p w:rsidR="004F700E" w:rsidRDefault="004F700E" w:rsidP="004F700E"/>
    <w:p w:rsidR="004F700E" w:rsidRPr="00F81169" w:rsidRDefault="004F700E" w:rsidP="004F700E">
      <w:pPr>
        <w:rPr>
          <w:b/>
        </w:rPr>
      </w:pPr>
      <w:r w:rsidRPr="00F81169">
        <w:rPr>
          <w:b/>
        </w:rPr>
        <w:t>Figure S2</w:t>
      </w:r>
    </w:p>
    <w:p w:rsidR="004F700E" w:rsidRPr="004E5D3F" w:rsidRDefault="004F700E" w:rsidP="004F700E">
      <w:pPr>
        <w:rPr>
          <w:rFonts w:cstheme="minorHAnsi"/>
        </w:rPr>
      </w:pPr>
      <w:r w:rsidRPr="007A09E1">
        <w:rPr>
          <w:noProof/>
        </w:rPr>
        <w:drawing>
          <wp:inline distT="0" distB="0" distL="0" distR="0" wp14:anchorId="78F76063" wp14:editId="4539A5C2">
            <wp:extent cx="5943600" cy="3805162"/>
            <wp:effectExtent l="0" t="0" r="0" b="5080"/>
            <wp:docPr id="68" name="Picture 14" descr="E:\Spring 2021\Suppl 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pring 2021\Suppl 0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805162"/>
                    </a:xfrm>
                    <a:prstGeom prst="rect">
                      <a:avLst/>
                    </a:prstGeom>
                    <a:noFill/>
                    <a:ln>
                      <a:noFill/>
                    </a:ln>
                  </pic:spPr>
                </pic:pic>
              </a:graphicData>
            </a:graphic>
          </wp:inline>
        </w:drawing>
      </w:r>
      <w:r w:rsidRPr="004E5D3F">
        <w:rPr>
          <w:rFonts w:eastAsia="+mn-ea" w:cstheme="minorHAnsi"/>
          <w:b/>
          <w:bCs/>
          <w:color w:val="000000"/>
          <w:kern w:val="24"/>
          <w:sz w:val="18"/>
          <w:szCs w:val="18"/>
        </w:rPr>
        <w:t xml:space="preserve">Figure S2. Physical stress in mice leads to induction of cleaved Caspase 1 in amygdala and hippocampus. </w:t>
      </w:r>
      <w:r w:rsidRPr="004E5D3F">
        <w:rPr>
          <w:rFonts w:eastAsia="Calibri" w:cstheme="minorHAnsi"/>
          <w:color w:val="000000"/>
          <w:kern w:val="24"/>
          <w:sz w:val="18"/>
          <w:szCs w:val="18"/>
        </w:rPr>
        <w:t xml:space="preserve">Physical stress was induced by subjecting mice to restraint and underwater trauma. </w:t>
      </w:r>
      <w:r w:rsidRPr="004E5D3F">
        <w:rPr>
          <w:rFonts w:eastAsia="Calibri" w:cstheme="minorHAnsi"/>
          <w:b/>
          <w:color w:val="000000"/>
          <w:kern w:val="24"/>
          <w:sz w:val="18"/>
          <w:szCs w:val="18"/>
        </w:rPr>
        <w:t xml:space="preserve">(A) </w:t>
      </w:r>
      <w:r w:rsidRPr="004E5D3F">
        <w:rPr>
          <w:rFonts w:eastAsia="Calibri" w:cstheme="minorHAnsi"/>
          <w:color w:val="000000"/>
          <w:kern w:val="24"/>
          <w:sz w:val="18"/>
          <w:szCs w:val="18"/>
        </w:rPr>
        <w:t xml:space="preserve">Analysis of amygdala homogenates for cleaved Caspase 1 (p20) using </w:t>
      </w:r>
      <w:r w:rsidRPr="004E5D3F">
        <w:rPr>
          <w:rFonts w:eastAsia="+mn-ea" w:cstheme="minorHAnsi"/>
          <w:color w:val="000000"/>
          <w:kern w:val="24"/>
          <w:sz w:val="18"/>
          <w:szCs w:val="18"/>
        </w:rPr>
        <w:t xml:space="preserve">quantitative densitometry of immunoblots. </w:t>
      </w:r>
      <w:r w:rsidRPr="004E5D3F">
        <w:rPr>
          <w:rFonts w:eastAsia="+mn-ea" w:cstheme="minorHAnsi"/>
          <w:b/>
          <w:color w:val="000000"/>
          <w:kern w:val="24"/>
          <w:sz w:val="18"/>
          <w:szCs w:val="18"/>
        </w:rPr>
        <w:t>(B)</w:t>
      </w:r>
      <w:r w:rsidRPr="004E5D3F">
        <w:rPr>
          <w:rFonts w:eastAsia="+mn-ea" w:cstheme="minorHAnsi"/>
          <w:color w:val="000000"/>
          <w:kern w:val="24"/>
          <w:sz w:val="18"/>
          <w:szCs w:val="18"/>
        </w:rPr>
        <w:t xml:space="preserve"> Relative densitometry analysis of cleaved Caspase 1 immunoblots from hippocampal homogenates. Mice subjected to restraint and underwater trauma show upregulation of Caspase 1 activity, as evident by the increased level of cleaved Caspase 1 in both amygdala and hippocampus of stressed mice. </w:t>
      </w:r>
      <w:r w:rsidRPr="004E5D3F">
        <w:rPr>
          <w:rFonts w:eastAsia="Calibri" w:cstheme="minorHAnsi"/>
          <w:color w:val="000000"/>
          <w:kern w:val="24"/>
          <w:sz w:val="18"/>
          <w:szCs w:val="18"/>
        </w:rPr>
        <w:t xml:space="preserve">All data are presented as Mean with 95% CI (n=6/group); ***p&lt;0.001, ns (not significant); one-way </w:t>
      </w:r>
      <w:r w:rsidRPr="004E5D3F">
        <w:rPr>
          <w:rFonts w:eastAsia="Calibri" w:cstheme="minorHAnsi"/>
          <w:i/>
          <w:iCs/>
          <w:color w:val="000000"/>
          <w:kern w:val="24"/>
          <w:sz w:val="18"/>
          <w:szCs w:val="18"/>
        </w:rPr>
        <w:t>ANOVA</w:t>
      </w:r>
      <w:r w:rsidRPr="004E5D3F">
        <w:rPr>
          <w:rFonts w:eastAsia="Calibri" w:cstheme="minorHAnsi"/>
          <w:color w:val="000000"/>
          <w:kern w:val="24"/>
          <w:sz w:val="18"/>
          <w:szCs w:val="18"/>
        </w:rPr>
        <w:t xml:space="preserve"> followed by Bonferroni </w:t>
      </w:r>
      <w:r w:rsidRPr="004E5D3F">
        <w:rPr>
          <w:rFonts w:eastAsia="Calibri" w:cstheme="minorHAnsi"/>
          <w:i/>
          <w:iCs/>
          <w:color w:val="000000"/>
          <w:kern w:val="24"/>
          <w:sz w:val="18"/>
          <w:szCs w:val="18"/>
        </w:rPr>
        <w:t>post-hoc</w:t>
      </w:r>
      <w:r w:rsidRPr="004E5D3F">
        <w:rPr>
          <w:rFonts w:eastAsia="Calibri" w:cstheme="minorHAnsi"/>
          <w:color w:val="000000"/>
          <w:kern w:val="24"/>
          <w:sz w:val="18"/>
          <w:szCs w:val="18"/>
        </w:rPr>
        <w:t xml:space="preserve"> test.</w:t>
      </w:r>
    </w:p>
    <w:p w:rsidR="004F700E" w:rsidRDefault="004F700E" w:rsidP="004F700E"/>
    <w:p w:rsidR="004F700E" w:rsidRDefault="004F700E" w:rsidP="004F700E"/>
    <w:p w:rsidR="004F700E" w:rsidRDefault="004F700E" w:rsidP="004F700E"/>
    <w:p w:rsidR="004F700E" w:rsidRDefault="004F700E" w:rsidP="004F700E"/>
    <w:p w:rsidR="004F700E" w:rsidRDefault="004F700E" w:rsidP="004F700E"/>
    <w:p w:rsidR="004F700E" w:rsidRDefault="004F700E" w:rsidP="004F700E"/>
    <w:p w:rsidR="004F700E" w:rsidRDefault="004F700E" w:rsidP="004F700E"/>
    <w:p w:rsidR="004F700E" w:rsidRDefault="004F700E" w:rsidP="004F700E"/>
    <w:p w:rsidR="004F700E" w:rsidRDefault="004F700E" w:rsidP="004F700E"/>
    <w:p w:rsidR="004F700E" w:rsidRDefault="004F700E" w:rsidP="004F700E"/>
    <w:p w:rsidR="004F700E" w:rsidRDefault="004F700E" w:rsidP="004F700E"/>
    <w:p w:rsidR="004F700E" w:rsidRPr="005F099A" w:rsidRDefault="004F700E" w:rsidP="004F700E">
      <w:pPr>
        <w:rPr>
          <w:b/>
        </w:rPr>
      </w:pPr>
      <w:r w:rsidRPr="005F099A">
        <w:rPr>
          <w:b/>
        </w:rPr>
        <w:t>Figure S3</w:t>
      </w:r>
    </w:p>
    <w:p w:rsidR="004F700E" w:rsidRPr="004E5D3F" w:rsidRDefault="004F700E" w:rsidP="004F700E">
      <w:r w:rsidRPr="00AE4C2B">
        <w:rPr>
          <w:noProof/>
        </w:rPr>
        <w:drawing>
          <wp:inline distT="0" distB="0" distL="0" distR="0" wp14:anchorId="4F98DD9D" wp14:editId="367ABD95">
            <wp:extent cx="5943600" cy="3432819"/>
            <wp:effectExtent l="0" t="0" r="0" b="0"/>
            <wp:docPr id="69" name="Picture 10" descr="E:\Spring 2021\Suppl 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Spring 2021\Suppl 0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432819"/>
                    </a:xfrm>
                    <a:prstGeom prst="rect">
                      <a:avLst/>
                    </a:prstGeom>
                    <a:noFill/>
                    <a:ln>
                      <a:noFill/>
                    </a:ln>
                  </pic:spPr>
                </pic:pic>
              </a:graphicData>
            </a:graphic>
          </wp:inline>
        </w:drawing>
      </w:r>
      <w:r w:rsidRPr="004E5D3F">
        <w:rPr>
          <w:rFonts w:eastAsia="Times New Roman" w:cstheme="minorHAnsi"/>
          <w:b/>
          <w:bCs/>
          <w:color w:val="000000"/>
          <w:kern w:val="24"/>
          <w:sz w:val="18"/>
          <w:szCs w:val="18"/>
        </w:rPr>
        <w:t xml:space="preserve">Figure S3. Inhibition of NLRP3 </w:t>
      </w:r>
      <w:proofErr w:type="spellStart"/>
      <w:r w:rsidRPr="004E5D3F">
        <w:rPr>
          <w:rFonts w:eastAsia="Times New Roman" w:cstheme="minorHAnsi"/>
          <w:b/>
          <w:bCs/>
          <w:color w:val="000000"/>
          <w:kern w:val="24"/>
          <w:sz w:val="18"/>
          <w:szCs w:val="18"/>
        </w:rPr>
        <w:t>inflammasome</w:t>
      </w:r>
      <w:proofErr w:type="spellEnd"/>
      <w:r w:rsidRPr="004E5D3F">
        <w:rPr>
          <w:rFonts w:eastAsia="Times New Roman" w:cstheme="minorHAnsi"/>
          <w:b/>
          <w:bCs/>
          <w:color w:val="000000"/>
          <w:kern w:val="24"/>
          <w:sz w:val="18"/>
          <w:szCs w:val="18"/>
        </w:rPr>
        <w:t xml:space="preserve"> by treating stressed mice with MCC950 attenuates </w:t>
      </w:r>
      <w:r w:rsidRPr="004E5D3F">
        <w:rPr>
          <w:rFonts w:eastAsia="Calibri" w:cstheme="minorHAnsi"/>
          <w:b/>
          <w:bCs/>
          <w:color w:val="000000"/>
          <w:kern w:val="24"/>
          <w:sz w:val="18"/>
          <w:szCs w:val="18"/>
        </w:rPr>
        <w:t xml:space="preserve">IL1β and </w:t>
      </w:r>
      <w:r w:rsidRPr="004E5D3F">
        <w:rPr>
          <w:rFonts w:eastAsia="Times New Roman" w:cstheme="minorHAnsi"/>
          <w:b/>
          <w:bCs/>
          <w:color w:val="000000"/>
          <w:kern w:val="24"/>
          <w:sz w:val="18"/>
          <w:szCs w:val="18"/>
        </w:rPr>
        <w:t>Caspase 1 activity in amygdala</w:t>
      </w:r>
      <w:r w:rsidRPr="004E5D3F">
        <w:rPr>
          <w:rFonts w:eastAsia="Times New Roman" w:cstheme="minorHAnsi"/>
          <w:color w:val="000000"/>
          <w:kern w:val="24"/>
          <w:sz w:val="18"/>
          <w:szCs w:val="18"/>
        </w:rPr>
        <w:t>.</w:t>
      </w:r>
      <w:r w:rsidRPr="004E5D3F">
        <w:rPr>
          <w:rFonts w:eastAsia="Calibri" w:cstheme="minorHAnsi"/>
          <w:color w:val="000000"/>
          <w:kern w:val="24"/>
          <w:sz w:val="18"/>
          <w:szCs w:val="18"/>
        </w:rPr>
        <w:t xml:space="preserve"> Physical stress was induced by subjecting mice to restraint and underwater trauma. Control mice were treated with either vehicle or MCC950. Similarly, stressed mice were treated with either vehicle or MCC950. </w:t>
      </w:r>
      <w:r w:rsidRPr="004E5D3F">
        <w:rPr>
          <w:rFonts w:eastAsia="Calibri" w:cstheme="minorHAnsi"/>
          <w:b/>
          <w:bCs/>
          <w:color w:val="000000"/>
          <w:kern w:val="24"/>
          <w:sz w:val="18"/>
          <w:szCs w:val="18"/>
        </w:rPr>
        <w:t>(A)</w:t>
      </w:r>
      <w:r w:rsidRPr="004E5D3F">
        <w:rPr>
          <w:rFonts w:eastAsia="Calibri" w:cstheme="minorHAnsi"/>
          <w:color w:val="000000"/>
          <w:kern w:val="24"/>
          <w:sz w:val="18"/>
          <w:szCs w:val="18"/>
        </w:rPr>
        <w:t xml:space="preserve"> Analysis of IL1β in amygdala homogenates by ELISA revealed mice exposed to physical stress showed aberrantly higher IL1β compared to control mice. Treatment of stressed mice with MCC950 showed a significant reduction of IL1β. </w:t>
      </w:r>
      <w:r w:rsidRPr="004E5D3F">
        <w:rPr>
          <w:rFonts w:eastAsia="+mn-ea" w:cstheme="minorHAnsi"/>
          <w:b/>
          <w:color w:val="000000"/>
          <w:kern w:val="24"/>
          <w:sz w:val="18"/>
          <w:szCs w:val="18"/>
        </w:rPr>
        <w:t xml:space="preserve">(B) </w:t>
      </w:r>
      <w:r w:rsidRPr="004E5D3F">
        <w:rPr>
          <w:rFonts w:eastAsia="+mn-ea" w:cstheme="minorHAnsi"/>
          <w:color w:val="000000"/>
          <w:kern w:val="24"/>
          <w:sz w:val="18"/>
          <w:szCs w:val="18"/>
        </w:rPr>
        <w:t>Caspase 1 activity in amygdala: intraperitoneal administration of</w:t>
      </w:r>
      <w:r w:rsidRPr="004E5D3F">
        <w:rPr>
          <w:rFonts w:eastAsia="Calibri" w:cstheme="minorHAnsi"/>
          <w:color w:val="000000"/>
          <w:kern w:val="24"/>
          <w:sz w:val="18"/>
          <w:szCs w:val="18"/>
        </w:rPr>
        <w:t xml:space="preserve"> MCC950 </w:t>
      </w:r>
      <w:r w:rsidRPr="004E5D3F">
        <w:rPr>
          <w:rFonts w:eastAsia="Times New Roman" w:cstheme="minorHAnsi"/>
          <w:color w:val="000000"/>
          <w:kern w:val="24"/>
          <w:sz w:val="18"/>
          <w:szCs w:val="18"/>
        </w:rPr>
        <w:t xml:space="preserve">in </w:t>
      </w:r>
      <w:r w:rsidRPr="004E5D3F">
        <w:rPr>
          <w:rFonts w:eastAsia="+mn-ea" w:cstheme="minorHAnsi"/>
          <w:color w:val="000000"/>
          <w:kern w:val="24"/>
          <w:sz w:val="18"/>
          <w:szCs w:val="18"/>
        </w:rPr>
        <w:t>p</w:t>
      </w:r>
      <w:r w:rsidRPr="004E5D3F">
        <w:rPr>
          <w:rFonts w:eastAsia="Times New Roman" w:cstheme="minorHAnsi"/>
          <w:color w:val="000000"/>
          <w:kern w:val="24"/>
          <w:sz w:val="18"/>
          <w:szCs w:val="18"/>
        </w:rPr>
        <w:t xml:space="preserve">hysically stressed mice showed reduced Caspase 1 activation, elucidating key role of NLRP3 in </w:t>
      </w:r>
      <w:proofErr w:type="spellStart"/>
      <w:r w:rsidRPr="004E5D3F">
        <w:rPr>
          <w:rFonts w:eastAsia="Times New Roman" w:cstheme="minorHAnsi"/>
          <w:color w:val="000000"/>
          <w:kern w:val="24"/>
          <w:sz w:val="18"/>
          <w:szCs w:val="18"/>
        </w:rPr>
        <w:t>anxiogenic</w:t>
      </w:r>
      <w:proofErr w:type="spellEnd"/>
      <w:r w:rsidRPr="004E5D3F">
        <w:rPr>
          <w:rFonts w:eastAsia="Times New Roman" w:cstheme="minorHAnsi"/>
          <w:color w:val="000000"/>
          <w:kern w:val="24"/>
          <w:sz w:val="18"/>
          <w:szCs w:val="18"/>
        </w:rPr>
        <w:t xml:space="preserve"> Caspase 1 - IL1β pathway. Caspase 1 activity in amygdala homogenates was measured by Caspase 1 activity assay kit. All values are presented as Mean with 95% CI (n=19-22/group); ***p&lt;0.001, ns (not significant); </w:t>
      </w:r>
      <w:r w:rsidRPr="004E5D3F">
        <w:rPr>
          <w:rFonts w:cstheme="minorHAnsi"/>
          <w:color w:val="222222"/>
          <w:sz w:val="18"/>
          <w:szCs w:val="18"/>
          <w:shd w:val="clear" w:color="auto" w:fill="FFFFFF"/>
        </w:rPr>
        <w:t>2X2X2 factorial</w:t>
      </w:r>
      <w:r>
        <w:rPr>
          <w:rFonts w:cstheme="minorHAnsi"/>
          <w:color w:val="222222"/>
          <w:sz w:val="18"/>
          <w:szCs w:val="18"/>
          <w:shd w:val="clear" w:color="auto" w:fill="FFFFFF"/>
        </w:rPr>
        <w:t xml:space="preserve"> </w:t>
      </w:r>
      <w:r w:rsidRPr="004E5D3F">
        <w:rPr>
          <w:rFonts w:eastAsia="Times New Roman" w:cstheme="minorHAnsi"/>
          <w:color w:val="000000"/>
          <w:kern w:val="24"/>
          <w:sz w:val="18"/>
          <w:szCs w:val="18"/>
        </w:rPr>
        <w:t xml:space="preserve">ANOVA followed by Bonferroni </w:t>
      </w:r>
      <w:r w:rsidRPr="004E5D3F">
        <w:rPr>
          <w:rFonts w:eastAsia="Times New Roman" w:cstheme="minorHAnsi"/>
          <w:i/>
          <w:iCs/>
          <w:color w:val="000000"/>
          <w:kern w:val="24"/>
          <w:sz w:val="18"/>
          <w:szCs w:val="18"/>
        </w:rPr>
        <w:t>post-hoc</w:t>
      </w:r>
      <w:r w:rsidRPr="004E5D3F">
        <w:rPr>
          <w:rFonts w:eastAsia="Times New Roman" w:cstheme="minorHAnsi"/>
          <w:color w:val="000000"/>
          <w:kern w:val="24"/>
          <w:sz w:val="18"/>
          <w:szCs w:val="18"/>
        </w:rPr>
        <w:t xml:space="preserve"> test.</w:t>
      </w:r>
    </w:p>
    <w:p w:rsidR="004F700E" w:rsidRDefault="004F700E" w:rsidP="004F700E"/>
    <w:p w:rsidR="004F700E" w:rsidRDefault="004F700E" w:rsidP="004F700E"/>
    <w:p w:rsidR="004F700E" w:rsidRDefault="004F700E" w:rsidP="004F700E"/>
    <w:p w:rsidR="004F700E" w:rsidRDefault="004F700E" w:rsidP="004F700E"/>
    <w:p w:rsidR="004F700E" w:rsidRDefault="004F700E" w:rsidP="004F700E"/>
    <w:p w:rsidR="004F700E" w:rsidRDefault="004F700E" w:rsidP="004F700E"/>
    <w:p w:rsidR="004F700E" w:rsidRDefault="004F700E" w:rsidP="004F700E"/>
    <w:p w:rsidR="004F700E" w:rsidRDefault="004F700E" w:rsidP="004F700E"/>
    <w:p w:rsidR="004F700E" w:rsidRDefault="004F700E" w:rsidP="004F700E"/>
    <w:p w:rsidR="004F700E" w:rsidRDefault="004F700E" w:rsidP="004F700E"/>
    <w:p w:rsidR="004F700E" w:rsidRDefault="004F700E" w:rsidP="004F700E"/>
    <w:p w:rsidR="004F700E" w:rsidRPr="005F099A" w:rsidRDefault="004F700E" w:rsidP="004F700E">
      <w:pPr>
        <w:rPr>
          <w:b/>
        </w:rPr>
      </w:pPr>
      <w:r w:rsidRPr="005F099A">
        <w:rPr>
          <w:b/>
        </w:rPr>
        <w:t>Figure S4</w:t>
      </w:r>
    </w:p>
    <w:p w:rsidR="004F700E" w:rsidRDefault="004F700E" w:rsidP="004F700E">
      <w:r w:rsidRPr="00F93D1B">
        <w:rPr>
          <w:noProof/>
        </w:rPr>
        <w:drawing>
          <wp:inline distT="0" distB="0" distL="0" distR="0" wp14:anchorId="1DC7C609" wp14:editId="140516FF">
            <wp:extent cx="5943600" cy="4384230"/>
            <wp:effectExtent l="0" t="0" r="0" b="0"/>
            <wp:docPr id="70" name="Picture 24" descr="E:\Spring 2021\Suppl 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pring 2021\Suppl 0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384230"/>
                    </a:xfrm>
                    <a:prstGeom prst="rect">
                      <a:avLst/>
                    </a:prstGeom>
                    <a:noFill/>
                    <a:ln>
                      <a:noFill/>
                    </a:ln>
                  </pic:spPr>
                </pic:pic>
              </a:graphicData>
            </a:graphic>
          </wp:inline>
        </w:drawing>
      </w:r>
    </w:p>
    <w:p w:rsidR="004F700E" w:rsidRPr="00D566A1" w:rsidRDefault="004F700E" w:rsidP="004F700E">
      <w:pPr>
        <w:spacing w:after="0" w:line="254" w:lineRule="auto"/>
        <w:jc w:val="both"/>
        <w:rPr>
          <w:rFonts w:eastAsia="Times New Roman" w:cstheme="minorHAnsi"/>
          <w:sz w:val="24"/>
          <w:szCs w:val="24"/>
        </w:rPr>
      </w:pPr>
      <w:r w:rsidRPr="00D566A1">
        <w:rPr>
          <w:rFonts w:eastAsia="+mn-ea" w:cstheme="minorHAnsi"/>
          <w:b/>
          <w:bCs/>
          <w:color w:val="000000"/>
          <w:kern w:val="24"/>
          <w:sz w:val="18"/>
          <w:szCs w:val="18"/>
        </w:rPr>
        <w:t xml:space="preserve">Figure S4. Inhibition of BTK with LFM-A13 in physically stressed mice provided protection from hyper-anxious behavior and inhibited the </w:t>
      </w:r>
      <w:proofErr w:type="spellStart"/>
      <w:r w:rsidRPr="00D566A1">
        <w:rPr>
          <w:rFonts w:eastAsia="+mn-ea" w:cstheme="minorHAnsi"/>
          <w:b/>
          <w:bCs/>
          <w:color w:val="000000"/>
          <w:kern w:val="24"/>
          <w:sz w:val="18"/>
          <w:szCs w:val="18"/>
        </w:rPr>
        <w:t>proinflammatory</w:t>
      </w:r>
      <w:proofErr w:type="spellEnd"/>
      <w:r w:rsidRPr="00D566A1">
        <w:rPr>
          <w:rFonts w:eastAsia="+mn-ea" w:cstheme="minorHAnsi"/>
          <w:b/>
          <w:bCs/>
          <w:color w:val="000000"/>
          <w:kern w:val="24"/>
          <w:sz w:val="18"/>
          <w:szCs w:val="18"/>
        </w:rPr>
        <w:t xml:space="preserve"> pathway. </w:t>
      </w:r>
      <w:r w:rsidRPr="00D566A1">
        <w:rPr>
          <w:rFonts w:eastAsia="Calibri" w:cstheme="minorHAnsi"/>
          <w:b/>
          <w:color w:val="000000"/>
          <w:kern w:val="24"/>
          <w:sz w:val="18"/>
          <w:szCs w:val="18"/>
        </w:rPr>
        <w:t>(A)</w:t>
      </w:r>
      <w:r w:rsidRPr="00D566A1">
        <w:rPr>
          <w:rFonts w:eastAsia="Calibri" w:cstheme="minorHAnsi"/>
          <w:color w:val="000000"/>
          <w:kern w:val="24"/>
          <w:sz w:val="18"/>
          <w:szCs w:val="18"/>
        </w:rPr>
        <w:t xml:space="preserve"> Analysis of the open field test, following the administration of LMF-A13 in physically stressed mice, there was evidence of significantly decreased anxiety level, as illustrated by the increase in the time of exploration in the central area of the OFT. </w:t>
      </w:r>
      <w:r w:rsidRPr="00D566A1">
        <w:rPr>
          <w:rFonts w:eastAsia="Calibri" w:cstheme="minorHAnsi"/>
          <w:b/>
          <w:color w:val="000000"/>
          <w:kern w:val="24"/>
          <w:sz w:val="18"/>
          <w:szCs w:val="18"/>
        </w:rPr>
        <w:t xml:space="preserve">(B) </w:t>
      </w:r>
      <w:r w:rsidRPr="00D566A1">
        <w:rPr>
          <w:rFonts w:eastAsia="Calibri" w:cstheme="minorHAnsi"/>
          <w:color w:val="000000"/>
          <w:kern w:val="24"/>
          <w:sz w:val="18"/>
          <w:szCs w:val="18"/>
        </w:rPr>
        <w:t xml:space="preserve">Light-Dark test: physically stressed mice dosed with LMF-A13 showed significant rescue from anxiety, as illustrated by the significant increase in time to spend in the light chamber of the LDT. </w:t>
      </w:r>
      <w:r w:rsidRPr="00D566A1">
        <w:rPr>
          <w:rFonts w:eastAsia="Calibri" w:cstheme="minorHAnsi"/>
          <w:b/>
          <w:bCs/>
          <w:color w:val="000000"/>
          <w:kern w:val="24"/>
          <w:sz w:val="18"/>
          <w:szCs w:val="18"/>
        </w:rPr>
        <w:t xml:space="preserve">(C) </w:t>
      </w:r>
      <w:r w:rsidRPr="00D566A1">
        <w:rPr>
          <w:rFonts w:eastAsia="Calibri" w:cstheme="minorHAnsi"/>
          <w:color w:val="000000"/>
          <w:kern w:val="24"/>
          <w:sz w:val="18"/>
          <w:szCs w:val="18"/>
        </w:rPr>
        <w:t xml:space="preserve">Results of an elevated plus maze also revealed physically stressed mice dosed with LMF-A13 displayed a significant reduction in anxiety, as evidenced by the increase in the duration of time spent in the open arms of the EPM. </w:t>
      </w:r>
      <w:r w:rsidRPr="00D566A1">
        <w:rPr>
          <w:rFonts w:eastAsia="Calibri" w:cstheme="minorHAnsi"/>
          <w:b/>
          <w:bCs/>
          <w:color w:val="000000"/>
          <w:kern w:val="24"/>
          <w:sz w:val="18"/>
          <w:szCs w:val="18"/>
        </w:rPr>
        <w:t>(D)</w:t>
      </w:r>
      <w:r w:rsidRPr="00D566A1">
        <w:rPr>
          <w:rFonts w:eastAsia="Calibri" w:cstheme="minorHAnsi"/>
          <w:color w:val="000000"/>
          <w:kern w:val="24"/>
          <w:sz w:val="18"/>
          <w:szCs w:val="18"/>
        </w:rPr>
        <w:t xml:space="preserve"> Examination of IL1β levels by ELISA in the hippocampus revealed physically stressed mice dosed with LMF-A13 showed diminished IL1β levels. </w:t>
      </w:r>
      <w:r w:rsidRPr="00D566A1">
        <w:rPr>
          <w:rFonts w:eastAsia="Calibri" w:cstheme="minorHAnsi"/>
          <w:b/>
          <w:color w:val="000000"/>
          <w:kern w:val="24"/>
          <w:sz w:val="18"/>
          <w:szCs w:val="18"/>
        </w:rPr>
        <w:t>(E)</w:t>
      </w:r>
      <w:r w:rsidRPr="00D566A1">
        <w:rPr>
          <w:rFonts w:eastAsia="+mn-ea" w:cstheme="minorHAnsi"/>
          <w:color w:val="000000"/>
          <w:kern w:val="24"/>
          <w:sz w:val="18"/>
          <w:szCs w:val="18"/>
        </w:rPr>
        <w:t>Caspase 1 activity in the hippocampus: p</w:t>
      </w:r>
      <w:r w:rsidRPr="00D566A1">
        <w:rPr>
          <w:rFonts w:eastAsia="Calibri" w:cstheme="minorHAnsi"/>
          <w:color w:val="000000"/>
          <w:kern w:val="24"/>
          <w:sz w:val="18"/>
          <w:szCs w:val="18"/>
        </w:rPr>
        <w:t xml:space="preserve">hysically stressed mice administered with LMF-A13 showed reduced Caspase 1 activation, elucidating significant rescue from </w:t>
      </w:r>
      <w:proofErr w:type="spellStart"/>
      <w:r w:rsidRPr="00D566A1">
        <w:rPr>
          <w:rFonts w:eastAsia="Calibri" w:cstheme="minorHAnsi"/>
          <w:color w:val="000000"/>
          <w:kern w:val="24"/>
          <w:sz w:val="18"/>
          <w:szCs w:val="18"/>
        </w:rPr>
        <w:t>anxiogenic</w:t>
      </w:r>
      <w:proofErr w:type="spellEnd"/>
      <w:r w:rsidRPr="00D566A1">
        <w:rPr>
          <w:rFonts w:eastAsia="Calibri" w:cstheme="minorHAnsi"/>
          <w:color w:val="000000"/>
          <w:kern w:val="24"/>
          <w:sz w:val="18"/>
          <w:szCs w:val="18"/>
        </w:rPr>
        <w:t xml:space="preserve"> </w:t>
      </w:r>
      <w:proofErr w:type="spellStart"/>
      <w:r w:rsidRPr="00D566A1">
        <w:rPr>
          <w:rFonts w:eastAsia="Calibri" w:cstheme="minorHAnsi"/>
          <w:color w:val="000000"/>
          <w:kern w:val="24"/>
          <w:sz w:val="18"/>
          <w:szCs w:val="18"/>
        </w:rPr>
        <w:t>proinflammatory</w:t>
      </w:r>
      <w:proofErr w:type="spellEnd"/>
      <w:r w:rsidRPr="00D566A1">
        <w:rPr>
          <w:rFonts w:eastAsia="Calibri" w:cstheme="minorHAnsi"/>
          <w:color w:val="000000"/>
          <w:kern w:val="24"/>
          <w:sz w:val="18"/>
          <w:szCs w:val="18"/>
        </w:rPr>
        <w:t xml:space="preserve"> pathway. All values are presented as Mean with 95% CI (n=20/group); ***p&lt;0.001, ns (not significant); </w:t>
      </w:r>
      <w:r w:rsidRPr="00D566A1">
        <w:rPr>
          <w:rFonts w:cstheme="minorHAnsi"/>
          <w:color w:val="222222"/>
          <w:sz w:val="18"/>
          <w:szCs w:val="18"/>
          <w:shd w:val="clear" w:color="auto" w:fill="FFFFFF"/>
        </w:rPr>
        <w:t>2X2X2 factorial</w:t>
      </w:r>
      <w:r>
        <w:rPr>
          <w:rFonts w:cstheme="minorHAnsi"/>
          <w:color w:val="222222"/>
          <w:sz w:val="18"/>
          <w:szCs w:val="18"/>
          <w:shd w:val="clear" w:color="auto" w:fill="FFFFFF"/>
        </w:rPr>
        <w:t xml:space="preserve"> </w:t>
      </w:r>
      <w:r w:rsidRPr="00D566A1">
        <w:rPr>
          <w:rFonts w:eastAsia="Calibri" w:cstheme="minorHAnsi"/>
          <w:color w:val="000000"/>
          <w:kern w:val="24"/>
          <w:sz w:val="18"/>
          <w:szCs w:val="18"/>
        </w:rPr>
        <w:t xml:space="preserve">ANOVA followed by Bonferroni </w:t>
      </w:r>
      <w:r w:rsidRPr="00D566A1">
        <w:rPr>
          <w:rFonts w:eastAsia="Calibri" w:cstheme="minorHAnsi"/>
          <w:i/>
          <w:iCs/>
          <w:color w:val="000000"/>
          <w:kern w:val="24"/>
          <w:sz w:val="18"/>
          <w:szCs w:val="18"/>
        </w:rPr>
        <w:t>post-hoc</w:t>
      </w:r>
      <w:r w:rsidRPr="00D566A1">
        <w:rPr>
          <w:rFonts w:eastAsia="Calibri" w:cstheme="minorHAnsi"/>
          <w:color w:val="000000"/>
          <w:kern w:val="24"/>
          <w:sz w:val="18"/>
          <w:szCs w:val="18"/>
        </w:rPr>
        <w:t xml:space="preserve"> test.</w:t>
      </w:r>
    </w:p>
    <w:p w:rsidR="004F700E" w:rsidRPr="00A65942" w:rsidRDefault="004F700E" w:rsidP="004F700E">
      <w:pPr>
        <w:tabs>
          <w:tab w:val="left" w:pos="5625"/>
        </w:tabs>
      </w:pPr>
    </w:p>
    <w:p w:rsidR="004F700E" w:rsidRDefault="004F700E" w:rsidP="004F700E">
      <w:pPr>
        <w:spacing w:line="480" w:lineRule="auto"/>
        <w:rPr>
          <w:rFonts w:ascii="Calibri" w:eastAsia="Calibri" w:hAnsi="Calibri" w:cs="Calibri"/>
        </w:rPr>
      </w:pPr>
    </w:p>
    <w:p w:rsidR="00D527A6" w:rsidRDefault="00D527A6"/>
    <w:sectPr w:rsidR="00D52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0E"/>
    <w:rsid w:val="00000A2A"/>
    <w:rsid w:val="00001811"/>
    <w:rsid w:val="00010CDF"/>
    <w:rsid w:val="00025980"/>
    <w:rsid w:val="000300A1"/>
    <w:rsid w:val="00047598"/>
    <w:rsid w:val="00050906"/>
    <w:rsid w:val="00051083"/>
    <w:rsid w:val="00072CD2"/>
    <w:rsid w:val="000868F9"/>
    <w:rsid w:val="00092912"/>
    <w:rsid w:val="000A4EA8"/>
    <w:rsid w:val="000A550C"/>
    <w:rsid w:val="000A635A"/>
    <w:rsid w:val="000A6D53"/>
    <w:rsid w:val="000A7DF1"/>
    <w:rsid w:val="000B7AB3"/>
    <w:rsid w:val="000C2B98"/>
    <w:rsid w:val="000D258D"/>
    <w:rsid w:val="000D3AB6"/>
    <w:rsid w:val="000D5871"/>
    <w:rsid w:val="000E49AF"/>
    <w:rsid w:val="000E76C9"/>
    <w:rsid w:val="000F64B3"/>
    <w:rsid w:val="0011081D"/>
    <w:rsid w:val="00115A38"/>
    <w:rsid w:val="00116ABA"/>
    <w:rsid w:val="00116C11"/>
    <w:rsid w:val="001304A9"/>
    <w:rsid w:val="00130806"/>
    <w:rsid w:val="0014008C"/>
    <w:rsid w:val="00141B62"/>
    <w:rsid w:val="00142B6C"/>
    <w:rsid w:val="00145C8B"/>
    <w:rsid w:val="00152CBB"/>
    <w:rsid w:val="00153BE8"/>
    <w:rsid w:val="00157323"/>
    <w:rsid w:val="001A1885"/>
    <w:rsid w:val="001B2175"/>
    <w:rsid w:val="001B7BF9"/>
    <w:rsid w:val="001B7F66"/>
    <w:rsid w:val="001C04D0"/>
    <w:rsid w:val="001C51D1"/>
    <w:rsid w:val="001C54E3"/>
    <w:rsid w:val="001C56BD"/>
    <w:rsid w:val="001D0A94"/>
    <w:rsid w:val="001F370F"/>
    <w:rsid w:val="001F4B9D"/>
    <w:rsid w:val="00201681"/>
    <w:rsid w:val="0020527F"/>
    <w:rsid w:val="002209AC"/>
    <w:rsid w:val="00226A9F"/>
    <w:rsid w:val="00226CEB"/>
    <w:rsid w:val="002316CA"/>
    <w:rsid w:val="00235028"/>
    <w:rsid w:val="00245058"/>
    <w:rsid w:val="00246CA0"/>
    <w:rsid w:val="00255305"/>
    <w:rsid w:val="00280144"/>
    <w:rsid w:val="002909E5"/>
    <w:rsid w:val="00296D11"/>
    <w:rsid w:val="002A1810"/>
    <w:rsid w:val="002A4D0A"/>
    <w:rsid w:val="002B560F"/>
    <w:rsid w:val="002C084F"/>
    <w:rsid w:val="002C0F16"/>
    <w:rsid w:val="002C30DF"/>
    <w:rsid w:val="002C3499"/>
    <w:rsid w:val="002C69AD"/>
    <w:rsid w:val="002C6CF0"/>
    <w:rsid w:val="002C7782"/>
    <w:rsid w:val="002D46EF"/>
    <w:rsid w:val="002D5356"/>
    <w:rsid w:val="002D5E09"/>
    <w:rsid w:val="002E00DF"/>
    <w:rsid w:val="002E0365"/>
    <w:rsid w:val="002F2369"/>
    <w:rsid w:val="003075F3"/>
    <w:rsid w:val="003134D9"/>
    <w:rsid w:val="0031790A"/>
    <w:rsid w:val="00321228"/>
    <w:rsid w:val="0032258E"/>
    <w:rsid w:val="00322994"/>
    <w:rsid w:val="00344750"/>
    <w:rsid w:val="003448D1"/>
    <w:rsid w:val="00356700"/>
    <w:rsid w:val="00356A48"/>
    <w:rsid w:val="003713A0"/>
    <w:rsid w:val="003960DE"/>
    <w:rsid w:val="003B6BDC"/>
    <w:rsid w:val="003C0ED1"/>
    <w:rsid w:val="003D5301"/>
    <w:rsid w:val="003D5E17"/>
    <w:rsid w:val="003E4F55"/>
    <w:rsid w:val="004019A6"/>
    <w:rsid w:val="004076FB"/>
    <w:rsid w:val="004148B8"/>
    <w:rsid w:val="0042106A"/>
    <w:rsid w:val="00421956"/>
    <w:rsid w:val="00436526"/>
    <w:rsid w:val="00437458"/>
    <w:rsid w:val="00437599"/>
    <w:rsid w:val="00442228"/>
    <w:rsid w:val="00445606"/>
    <w:rsid w:val="00447B47"/>
    <w:rsid w:val="00447B4D"/>
    <w:rsid w:val="00447D7E"/>
    <w:rsid w:val="0045023E"/>
    <w:rsid w:val="004579FE"/>
    <w:rsid w:val="00472CA0"/>
    <w:rsid w:val="00473D4C"/>
    <w:rsid w:val="00475632"/>
    <w:rsid w:val="00476CC5"/>
    <w:rsid w:val="0048228B"/>
    <w:rsid w:val="00493EC2"/>
    <w:rsid w:val="00496DF7"/>
    <w:rsid w:val="004B3B4A"/>
    <w:rsid w:val="004C5542"/>
    <w:rsid w:val="004E0BDC"/>
    <w:rsid w:val="004F0043"/>
    <w:rsid w:val="004F700E"/>
    <w:rsid w:val="005025B2"/>
    <w:rsid w:val="00503258"/>
    <w:rsid w:val="00503B22"/>
    <w:rsid w:val="00505FAB"/>
    <w:rsid w:val="005245F6"/>
    <w:rsid w:val="00541C9B"/>
    <w:rsid w:val="00543E88"/>
    <w:rsid w:val="0055327A"/>
    <w:rsid w:val="005545B9"/>
    <w:rsid w:val="00566424"/>
    <w:rsid w:val="00571009"/>
    <w:rsid w:val="00571D3D"/>
    <w:rsid w:val="00574394"/>
    <w:rsid w:val="0058198C"/>
    <w:rsid w:val="00582A07"/>
    <w:rsid w:val="00582A7A"/>
    <w:rsid w:val="00584B5B"/>
    <w:rsid w:val="005862FA"/>
    <w:rsid w:val="005867FB"/>
    <w:rsid w:val="00586C9B"/>
    <w:rsid w:val="0058702D"/>
    <w:rsid w:val="00592DCA"/>
    <w:rsid w:val="00592FD3"/>
    <w:rsid w:val="00594A59"/>
    <w:rsid w:val="0059518D"/>
    <w:rsid w:val="005A49D1"/>
    <w:rsid w:val="005A66EA"/>
    <w:rsid w:val="005A782C"/>
    <w:rsid w:val="005B71ED"/>
    <w:rsid w:val="005E7783"/>
    <w:rsid w:val="005F20B0"/>
    <w:rsid w:val="00606907"/>
    <w:rsid w:val="006108DC"/>
    <w:rsid w:val="006122F7"/>
    <w:rsid w:val="00612E16"/>
    <w:rsid w:val="00615F2A"/>
    <w:rsid w:val="0062513D"/>
    <w:rsid w:val="00627487"/>
    <w:rsid w:val="00633744"/>
    <w:rsid w:val="006377DF"/>
    <w:rsid w:val="00643073"/>
    <w:rsid w:val="00645E7A"/>
    <w:rsid w:val="006757FA"/>
    <w:rsid w:val="00681E98"/>
    <w:rsid w:val="00683D9C"/>
    <w:rsid w:val="006879C7"/>
    <w:rsid w:val="006921C5"/>
    <w:rsid w:val="00692A02"/>
    <w:rsid w:val="00694A8C"/>
    <w:rsid w:val="006A00D5"/>
    <w:rsid w:val="006A3E81"/>
    <w:rsid w:val="006C7237"/>
    <w:rsid w:val="006D3E10"/>
    <w:rsid w:val="006D5536"/>
    <w:rsid w:val="006D6929"/>
    <w:rsid w:val="00700DEA"/>
    <w:rsid w:val="00716DFA"/>
    <w:rsid w:val="007212DA"/>
    <w:rsid w:val="00735320"/>
    <w:rsid w:val="00745E77"/>
    <w:rsid w:val="00760735"/>
    <w:rsid w:val="007634A4"/>
    <w:rsid w:val="007727E9"/>
    <w:rsid w:val="00775C2F"/>
    <w:rsid w:val="00776CF5"/>
    <w:rsid w:val="007813BD"/>
    <w:rsid w:val="00785C12"/>
    <w:rsid w:val="007A289D"/>
    <w:rsid w:val="007A30F1"/>
    <w:rsid w:val="007B2551"/>
    <w:rsid w:val="007B4593"/>
    <w:rsid w:val="007D3562"/>
    <w:rsid w:val="007D425C"/>
    <w:rsid w:val="007F4C81"/>
    <w:rsid w:val="00800F35"/>
    <w:rsid w:val="00813618"/>
    <w:rsid w:val="0084693D"/>
    <w:rsid w:val="00851385"/>
    <w:rsid w:val="00851C1E"/>
    <w:rsid w:val="00862444"/>
    <w:rsid w:val="00864534"/>
    <w:rsid w:val="00870F5D"/>
    <w:rsid w:val="00890928"/>
    <w:rsid w:val="00891189"/>
    <w:rsid w:val="0089179B"/>
    <w:rsid w:val="008918C9"/>
    <w:rsid w:val="008927EA"/>
    <w:rsid w:val="0089710A"/>
    <w:rsid w:val="008A2BC4"/>
    <w:rsid w:val="008B02C8"/>
    <w:rsid w:val="008B10A8"/>
    <w:rsid w:val="008B1E1F"/>
    <w:rsid w:val="008B4031"/>
    <w:rsid w:val="008B6240"/>
    <w:rsid w:val="008B7BF0"/>
    <w:rsid w:val="008D0ED5"/>
    <w:rsid w:val="008D5668"/>
    <w:rsid w:val="008D769A"/>
    <w:rsid w:val="008E61D7"/>
    <w:rsid w:val="008E7E0E"/>
    <w:rsid w:val="00902176"/>
    <w:rsid w:val="00903C5F"/>
    <w:rsid w:val="009210DF"/>
    <w:rsid w:val="00927DA1"/>
    <w:rsid w:val="00927E20"/>
    <w:rsid w:val="00931050"/>
    <w:rsid w:val="009353E4"/>
    <w:rsid w:val="009511EB"/>
    <w:rsid w:val="0095203D"/>
    <w:rsid w:val="009646D1"/>
    <w:rsid w:val="009648F0"/>
    <w:rsid w:val="00966D0E"/>
    <w:rsid w:val="0099502C"/>
    <w:rsid w:val="009964B1"/>
    <w:rsid w:val="009A105E"/>
    <w:rsid w:val="009A5367"/>
    <w:rsid w:val="009C1A20"/>
    <w:rsid w:val="009C209A"/>
    <w:rsid w:val="009C5342"/>
    <w:rsid w:val="009C75A7"/>
    <w:rsid w:val="009D57B4"/>
    <w:rsid w:val="009E55BC"/>
    <w:rsid w:val="009E6615"/>
    <w:rsid w:val="009F09DC"/>
    <w:rsid w:val="009F303B"/>
    <w:rsid w:val="009F6779"/>
    <w:rsid w:val="00A02230"/>
    <w:rsid w:val="00A0760F"/>
    <w:rsid w:val="00A07B11"/>
    <w:rsid w:val="00A1026A"/>
    <w:rsid w:val="00A1182E"/>
    <w:rsid w:val="00A145B9"/>
    <w:rsid w:val="00A27BD2"/>
    <w:rsid w:val="00A37162"/>
    <w:rsid w:val="00A419D7"/>
    <w:rsid w:val="00A47E01"/>
    <w:rsid w:val="00A66851"/>
    <w:rsid w:val="00A66973"/>
    <w:rsid w:val="00A73F8F"/>
    <w:rsid w:val="00A75ACF"/>
    <w:rsid w:val="00A84B58"/>
    <w:rsid w:val="00A9715B"/>
    <w:rsid w:val="00AA39C0"/>
    <w:rsid w:val="00AB492B"/>
    <w:rsid w:val="00AB4F3F"/>
    <w:rsid w:val="00AB7A28"/>
    <w:rsid w:val="00AC7A6D"/>
    <w:rsid w:val="00AE7A17"/>
    <w:rsid w:val="00AF29B7"/>
    <w:rsid w:val="00AF4BAB"/>
    <w:rsid w:val="00B15AD6"/>
    <w:rsid w:val="00B26456"/>
    <w:rsid w:val="00B356BD"/>
    <w:rsid w:val="00B45364"/>
    <w:rsid w:val="00B46AAC"/>
    <w:rsid w:val="00B51427"/>
    <w:rsid w:val="00B5486C"/>
    <w:rsid w:val="00B57F2E"/>
    <w:rsid w:val="00B60818"/>
    <w:rsid w:val="00B70B6B"/>
    <w:rsid w:val="00B77110"/>
    <w:rsid w:val="00B818D5"/>
    <w:rsid w:val="00B81B2C"/>
    <w:rsid w:val="00B83243"/>
    <w:rsid w:val="00B9413E"/>
    <w:rsid w:val="00B968F2"/>
    <w:rsid w:val="00BA1AF3"/>
    <w:rsid w:val="00BB57A5"/>
    <w:rsid w:val="00BC7828"/>
    <w:rsid w:val="00BC7FDF"/>
    <w:rsid w:val="00BE03A6"/>
    <w:rsid w:val="00BE6703"/>
    <w:rsid w:val="00BE7D5A"/>
    <w:rsid w:val="00C170AA"/>
    <w:rsid w:val="00C17B6D"/>
    <w:rsid w:val="00C36476"/>
    <w:rsid w:val="00C3653C"/>
    <w:rsid w:val="00C419CB"/>
    <w:rsid w:val="00C7186E"/>
    <w:rsid w:val="00C741D2"/>
    <w:rsid w:val="00C74809"/>
    <w:rsid w:val="00C75BA0"/>
    <w:rsid w:val="00C77812"/>
    <w:rsid w:val="00C856FF"/>
    <w:rsid w:val="00C85AC4"/>
    <w:rsid w:val="00C86879"/>
    <w:rsid w:val="00C87367"/>
    <w:rsid w:val="00CA20E0"/>
    <w:rsid w:val="00CA74B3"/>
    <w:rsid w:val="00CB1393"/>
    <w:rsid w:val="00CB3242"/>
    <w:rsid w:val="00CB3FBF"/>
    <w:rsid w:val="00CC76F0"/>
    <w:rsid w:val="00CD0D8F"/>
    <w:rsid w:val="00CD3768"/>
    <w:rsid w:val="00CD724C"/>
    <w:rsid w:val="00CD7383"/>
    <w:rsid w:val="00CE229D"/>
    <w:rsid w:val="00CE38FA"/>
    <w:rsid w:val="00CE3EF3"/>
    <w:rsid w:val="00CE683B"/>
    <w:rsid w:val="00CF307E"/>
    <w:rsid w:val="00D02F16"/>
    <w:rsid w:val="00D060C2"/>
    <w:rsid w:val="00D203EA"/>
    <w:rsid w:val="00D2046F"/>
    <w:rsid w:val="00D3440C"/>
    <w:rsid w:val="00D347A2"/>
    <w:rsid w:val="00D372B3"/>
    <w:rsid w:val="00D37698"/>
    <w:rsid w:val="00D4299F"/>
    <w:rsid w:val="00D4301C"/>
    <w:rsid w:val="00D45CDD"/>
    <w:rsid w:val="00D527A6"/>
    <w:rsid w:val="00D6192A"/>
    <w:rsid w:val="00D6368E"/>
    <w:rsid w:val="00D92566"/>
    <w:rsid w:val="00DA4D94"/>
    <w:rsid w:val="00DA7D0C"/>
    <w:rsid w:val="00DC0AC0"/>
    <w:rsid w:val="00DE0881"/>
    <w:rsid w:val="00DF3D48"/>
    <w:rsid w:val="00E04A8E"/>
    <w:rsid w:val="00E141F0"/>
    <w:rsid w:val="00E317E9"/>
    <w:rsid w:val="00E31A27"/>
    <w:rsid w:val="00E33981"/>
    <w:rsid w:val="00E46B7C"/>
    <w:rsid w:val="00E46D32"/>
    <w:rsid w:val="00E47078"/>
    <w:rsid w:val="00E50DE8"/>
    <w:rsid w:val="00E55CB9"/>
    <w:rsid w:val="00E6221A"/>
    <w:rsid w:val="00E74B48"/>
    <w:rsid w:val="00E757F3"/>
    <w:rsid w:val="00E75ECE"/>
    <w:rsid w:val="00E76ABE"/>
    <w:rsid w:val="00E773E6"/>
    <w:rsid w:val="00E84169"/>
    <w:rsid w:val="00E8607B"/>
    <w:rsid w:val="00E9211E"/>
    <w:rsid w:val="00E95300"/>
    <w:rsid w:val="00EA1B0D"/>
    <w:rsid w:val="00EA55E9"/>
    <w:rsid w:val="00EA62AA"/>
    <w:rsid w:val="00EA6B0A"/>
    <w:rsid w:val="00EB1E04"/>
    <w:rsid w:val="00EB376F"/>
    <w:rsid w:val="00EB3A12"/>
    <w:rsid w:val="00EC05ED"/>
    <w:rsid w:val="00EC49EC"/>
    <w:rsid w:val="00EC4C8D"/>
    <w:rsid w:val="00EC54C3"/>
    <w:rsid w:val="00ED3F29"/>
    <w:rsid w:val="00EE44E9"/>
    <w:rsid w:val="00EF2EE6"/>
    <w:rsid w:val="00F04775"/>
    <w:rsid w:val="00F10FC2"/>
    <w:rsid w:val="00F119DF"/>
    <w:rsid w:val="00F235E2"/>
    <w:rsid w:val="00F33BC2"/>
    <w:rsid w:val="00F565E0"/>
    <w:rsid w:val="00F75A1A"/>
    <w:rsid w:val="00F900F5"/>
    <w:rsid w:val="00F94625"/>
    <w:rsid w:val="00F948E6"/>
    <w:rsid w:val="00FA2C4C"/>
    <w:rsid w:val="00FA56F0"/>
    <w:rsid w:val="00FA5B84"/>
    <w:rsid w:val="00FB0A33"/>
    <w:rsid w:val="00FB503F"/>
    <w:rsid w:val="00FD5C89"/>
    <w:rsid w:val="00FE0889"/>
    <w:rsid w:val="00FE521B"/>
    <w:rsid w:val="00FE692B"/>
    <w:rsid w:val="00FF3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6B9FFB-0F0D-43BF-A948-FF376C71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683</Words>
  <Characters>3895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Indhumathi</dc:creator>
  <cp:keywords/>
  <dc:description/>
  <cp:lastModifiedBy>Indhumathi</cp:lastModifiedBy>
  <cp:revision>2</cp:revision>
  <dcterms:created xsi:type="dcterms:W3CDTF">2021-11-16T02:42:00Z</dcterms:created>
  <dcterms:modified xsi:type="dcterms:W3CDTF">2021-11-16T02:43:00Z</dcterms:modified>
</cp:coreProperties>
</file>