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D808" w14:textId="334A6701" w:rsidR="00F125EE" w:rsidRPr="00DC623A" w:rsidRDefault="00F125EE" w:rsidP="009A670E">
      <w:pPr>
        <w:jc w:val="center"/>
        <w:rPr>
          <w:rFonts w:ascii="Arial" w:hAnsi="Arial" w:cs="Arial"/>
          <w:sz w:val="20"/>
        </w:rPr>
      </w:pPr>
    </w:p>
    <w:p w14:paraId="46F72BDF" w14:textId="3A334C54" w:rsidR="00B16F99" w:rsidRPr="00DC623A" w:rsidRDefault="00EB377C" w:rsidP="00B16F99">
      <w:pPr>
        <w:rPr>
          <w:rFonts w:ascii="Arial" w:hAnsi="Arial" w:cs="Arial"/>
          <w:b/>
          <w:sz w:val="28"/>
          <w:szCs w:val="28"/>
        </w:rPr>
      </w:pPr>
      <w:r>
        <w:rPr>
          <w:rFonts w:ascii="Arial" w:hAnsi="Arial" w:cs="Arial"/>
          <w:b/>
          <w:sz w:val="28"/>
          <w:szCs w:val="28"/>
        </w:rPr>
        <w:t>Additional file</w:t>
      </w:r>
      <w:r w:rsidR="00B16F99" w:rsidRPr="00DC623A">
        <w:rPr>
          <w:rFonts w:ascii="Arial" w:hAnsi="Arial" w:cs="Arial"/>
          <w:b/>
          <w:sz w:val="28"/>
          <w:szCs w:val="28"/>
        </w:rPr>
        <w:t xml:space="preserve"> for</w:t>
      </w:r>
    </w:p>
    <w:p w14:paraId="773A15B7" w14:textId="78F01595" w:rsidR="00015F74" w:rsidRPr="00DC623A" w:rsidRDefault="00CE1343" w:rsidP="007B5946">
      <w:pPr>
        <w:rPr>
          <w:rFonts w:ascii="Arial" w:hAnsi="Arial" w:cs="Arial"/>
          <w:sz w:val="20"/>
        </w:rPr>
      </w:pPr>
      <w:r>
        <w:rPr>
          <w:rFonts w:ascii="Arial" w:hAnsi="Arial" w:cs="Arial"/>
          <w:sz w:val="28"/>
          <w:szCs w:val="28"/>
        </w:rPr>
        <w:t>Alzheimer’s disease related transcriptional sex differences in myeloid cells.</w:t>
      </w:r>
    </w:p>
    <w:p w14:paraId="6985025A" w14:textId="77777777" w:rsidR="00B16F99" w:rsidRPr="00DC623A" w:rsidRDefault="00B16F99" w:rsidP="007B5946">
      <w:pPr>
        <w:rPr>
          <w:rFonts w:ascii="Arial" w:hAnsi="Arial" w:cs="Arial"/>
          <w:sz w:val="20"/>
        </w:rPr>
      </w:pPr>
    </w:p>
    <w:p w14:paraId="5A62FC1C" w14:textId="40A2ECE0" w:rsidR="00CF6E82" w:rsidRPr="00EA2369" w:rsidRDefault="00CF6E82" w:rsidP="00CF6E82">
      <w:pPr>
        <w:spacing w:line="360" w:lineRule="auto"/>
        <w:rPr>
          <w:rFonts w:ascii="Arial" w:hAnsi="Arial" w:cs="Arial"/>
          <w:sz w:val="20"/>
          <w:vertAlign w:val="superscript"/>
        </w:rPr>
      </w:pPr>
      <w:r w:rsidRPr="00EA2369">
        <w:rPr>
          <w:rFonts w:ascii="Arial" w:hAnsi="Arial" w:cs="Arial"/>
          <w:sz w:val="20"/>
        </w:rPr>
        <w:t>Isabelle Coales, Stergios Tsartsalis, Nurun Fancy, Maria Weinert, Daniel Clode, David Owen, Paul M. Matthews</w:t>
      </w:r>
    </w:p>
    <w:p w14:paraId="1EBDE992" w14:textId="77777777" w:rsidR="000F0DCE" w:rsidRPr="00DC623A" w:rsidRDefault="000F0DCE" w:rsidP="007B5946">
      <w:pPr>
        <w:rPr>
          <w:rFonts w:ascii="Arial" w:hAnsi="Arial" w:cs="Arial"/>
          <w:sz w:val="20"/>
        </w:rPr>
      </w:pPr>
    </w:p>
    <w:p w14:paraId="5DAE5CF6" w14:textId="77777777" w:rsidR="00CF6E82" w:rsidRPr="00EA2369" w:rsidRDefault="00CF6E82" w:rsidP="00CF6E82">
      <w:pPr>
        <w:contextualSpacing/>
        <w:jc w:val="both"/>
        <w:rPr>
          <w:rFonts w:ascii="Arial" w:hAnsi="Arial" w:cs="Arial"/>
          <w:b/>
          <w:bCs/>
          <w:sz w:val="20"/>
        </w:rPr>
      </w:pPr>
      <w:r w:rsidRPr="00EA2369">
        <w:rPr>
          <w:rFonts w:ascii="Arial" w:hAnsi="Arial" w:cs="Arial"/>
          <w:b/>
          <w:bCs/>
          <w:sz w:val="20"/>
        </w:rPr>
        <w:t>Correspondence to:</w:t>
      </w:r>
    </w:p>
    <w:p w14:paraId="05312502" w14:textId="77777777" w:rsidR="00CF6E82" w:rsidRPr="00EA2369" w:rsidRDefault="00CF6E82" w:rsidP="00CF6E82">
      <w:pPr>
        <w:contextualSpacing/>
        <w:jc w:val="both"/>
        <w:rPr>
          <w:rFonts w:ascii="Arial" w:hAnsi="Arial" w:cs="Arial"/>
          <w:sz w:val="20"/>
        </w:rPr>
      </w:pPr>
      <w:r w:rsidRPr="00EA2369">
        <w:rPr>
          <w:rFonts w:ascii="Arial" w:hAnsi="Arial" w:cs="Arial"/>
          <w:sz w:val="20"/>
        </w:rPr>
        <w:t xml:space="preserve">Prof. Paul Matthews, E502, Burlington Danes Building, Hammersmith Hospital, DuCane Road, London W12 0NN UK.  </w:t>
      </w:r>
      <w:hyperlink r:id="rId8" w:history="1">
        <w:r w:rsidRPr="00EA2369">
          <w:rPr>
            <w:rStyle w:val="Hyperlink"/>
            <w:rFonts w:ascii="Arial" w:hAnsi="Arial" w:cs="Arial"/>
            <w:sz w:val="20"/>
          </w:rPr>
          <w:t>p.matthews@imperial.ac.uk</w:t>
        </w:r>
      </w:hyperlink>
    </w:p>
    <w:p w14:paraId="496576D2" w14:textId="77777777" w:rsidR="00CF6E82" w:rsidRPr="00EA2369" w:rsidRDefault="00CF6E82" w:rsidP="00CF6E82">
      <w:pPr>
        <w:contextualSpacing/>
        <w:jc w:val="both"/>
        <w:rPr>
          <w:rFonts w:ascii="Arial" w:hAnsi="Arial" w:cs="Arial"/>
          <w:sz w:val="20"/>
        </w:rPr>
      </w:pPr>
      <w:r w:rsidRPr="00EA2369">
        <w:rPr>
          <w:rFonts w:ascii="Arial" w:hAnsi="Arial" w:cs="Arial"/>
          <w:sz w:val="20"/>
        </w:rPr>
        <w:t>or</w:t>
      </w:r>
    </w:p>
    <w:p w14:paraId="548C3FDD" w14:textId="7775C991" w:rsidR="00CF6E82" w:rsidRPr="00EA2369" w:rsidRDefault="00CF6E82" w:rsidP="00CF6E82">
      <w:pPr>
        <w:contextualSpacing/>
        <w:jc w:val="both"/>
        <w:rPr>
          <w:rFonts w:ascii="Arial" w:hAnsi="Arial" w:cs="Arial"/>
          <w:sz w:val="20"/>
        </w:rPr>
      </w:pPr>
      <w:r w:rsidRPr="00EA2369">
        <w:rPr>
          <w:rFonts w:ascii="Arial" w:hAnsi="Arial" w:cs="Arial"/>
          <w:sz w:val="20"/>
        </w:rPr>
        <w:t xml:space="preserve">Dr. David Owen, Clinical Research Facility, ICTM Building, Hammersmith Hospital, DuCane Road, London W12 0NN UK.  </w:t>
      </w:r>
      <w:hyperlink r:id="rId9" w:history="1">
        <w:r w:rsidRPr="00EA2369">
          <w:rPr>
            <w:rStyle w:val="Hyperlink"/>
            <w:rFonts w:ascii="Arial" w:hAnsi="Arial" w:cs="Arial"/>
            <w:sz w:val="20"/>
          </w:rPr>
          <w:t>d.owen@imperial.ac.uk</w:t>
        </w:r>
      </w:hyperlink>
    </w:p>
    <w:p w14:paraId="41FAE993" w14:textId="77777777" w:rsidR="002C030F" w:rsidRPr="00DC623A" w:rsidRDefault="002C030F">
      <w:pPr>
        <w:rPr>
          <w:rFonts w:ascii="Arial" w:hAnsi="Arial" w:cs="Arial"/>
          <w:sz w:val="20"/>
        </w:rPr>
      </w:pPr>
    </w:p>
    <w:p w14:paraId="51DF9633" w14:textId="77777777" w:rsidR="00015F74" w:rsidRPr="00DC623A" w:rsidRDefault="00015F74">
      <w:pPr>
        <w:rPr>
          <w:rFonts w:ascii="Arial" w:hAnsi="Arial" w:cs="Arial"/>
          <w:b/>
          <w:sz w:val="20"/>
        </w:rPr>
      </w:pPr>
    </w:p>
    <w:p w14:paraId="09920EA7" w14:textId="77777777" w:rsidR="002C030F" w:rsidRPr="00DC623A" w:rsidRDefault="009743A9">
      <w:pPr>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4348D444" w14:textId="77777777" w:rsidR="002C030F" w:rsidRPr="00DC623A" w:rsidRDefault="002C030F">
      <w:pPr>
        <w:rPr>
          <w:rFonts w:ascii="Arial" w:hAnsi="Arial" w:cs="Arial"/>
          <w:sz w:val="20"/>
        </w:rPr>
      </w:pPr>
    </w:p>
    <w:p w14:paraId="6A2FA433" w14:textId="0EBC0F15" w:rsidR="00065431" w:rsidRDefault="00901619" w:rsidP="00262D72">
      <w:pPr>
        <w:ind w:left="720"/>
        <w:rPr>
          <w:rFonts w:ascii="Arial" w:hAnsi="Arial" w:cs="Arial"/>
          <w:sz w:val="20"/>
        </w:rPr>
      </w:pPr>
      <w:r>
        <w:rPr>
          <w:rFonts w:ascii="Arial" w:hAnsi="Arial" w:cs="Arial"/>
          <w:sz w:val="20"/>
        </w:rPr>
        <w:t xml:space="preserve">Detailed </w:t>
      </w:r>
      <w:r w:rsidR="00065431">
        <w:rPr>
          <w:rFonts w:ascii="Arial" w:hAnsi="Arial" w:cs="Arial"/>
          <w:sz w:val="20"/>
        </w:rPr>
        <w:t>Methods</w:t>
      </w:r>
    </w:p>
    <w:p w14:paraId="21670AEA" w14:textId="24910313" w:rsidR="002C030F" w:rsidRPr="00DC623A" w:rsidRDefault="00DA59EA" w:rsidP="00262D72">
      <w:pPr>
        <w:ind w:left="720"/>
        <w:rPr>
          <w:rFonts w:ascii="Arial" w:hAnsi="Arial" w:cs="Arial"/>
          <w:sz w:val="20"/>
        </w:rPr>
      </w:pPr>
      <w:r w:rsidRPr="00DC623A">
        <w:rPr>
          <w:rFonts w:ascii="Arial" w:hAnsi="Arial" w:cs="Arial"/>
          <w:sz w:val="20"/>
        </w:rPr>
        <w:t>Figures</w:t>
      </w:r>
      <w:r w:rsidR="00A3403B" w:rsidRPr="00DC623A">
        <w:rPr>
          <w:rFonts w:ascii="Arial" w:hAnsi="Arial" w:cs="Arial"/>
          <w:sz w:val="20"/>
        </w:rPr>
        <w:t xml:space="preserve"> </w:t>
      </w:r>
      <w:r w:rsidR="002C030F" w:rsidRPr="00DC623A">
        <w:rPr>
          <w:rFonts w:ascii="Arial" w:hAnsi="Arial" w:cs="Arial"/>
          <w:sz w:val="20"/>
        </w:rPr>
        <w:t>S1</w:t>
      </w:r>
      <w:r w:rsidR="00A3403B" w:rsidRPr="00DC623A">
        <w:rPr>
          <w:rFonts w:ascii="Arial" w:hAnsi="Arial" w:cs="Arial"/>
          <w:sz w:val="20"/>
        </w:rPr>
        <w:t xml:space="preserve"> to </w:t>
      </w:r>
      <w:r w:rsidR="002C030F" w:rsidRPr="00DC623A">
        <w:rPr>
          <w:rFonts w:ascii="Arial" w:hAnsi="Arial" w:cs="Arial"/>
          <w:sz w:val="20"/>
        </w:rPr>
        <w:t>S</w:t>
      </w:r>
      <w:r w:rsidR="00CF6E82">
        <w:rPr>
          <w:rFonts w:ascii="Arial" w:hAnsi="Arial" w:cs="Arial"/>
          <w:sz w:val="20"/>
        </w:rPr>
        <w:t>4</w:t>
      </w:r>
    </w:p>
    <w:p w14:paraId="0CBE331E" w14:textId="5A09E3B5" w:rsidR="00F74F95" w:rsidRPr="00DC623A" w:rsidRDefault="00415B76" w:rsidP="00262D72">
      <w:pPr>
        <w:ind w:left="720"/>
        <w:rPr>
          <w:rFonts w:ascii="Arial" w:hAnsi="Arial" w:cs="Arial"/>
          <w:sz w:val="20"/>
        </w:rPr>
      </w:pPr>
      <w:r>
        <w:rPr>
          <w:rFonts w:ascii="Arial" w:hAnsi="Arial" w:cs="Arial"/>
          <w:sz w:val="20"/>
        </w:rPr>
        <w:t>Titles</w:t>
      </w:r>
      <w:r w:rsidR="00CF16C9" w:rsidRPr="00DC623A">
        <w:rPr>
          <w:rFonts w:ascii="Arial" w:hAnsi="Arial" w:cs="Arial"/>
          <w:sz w:val="20"/>
        </w:rPr>
        <w:t xml:space="preserve"> </w:t>
      </w:r>
      <w:r w:rsidR="00F74F95" w:rsidRPr="00DC623A">
        <w:rPr>
          <w:rFonts w:ascii="Arial" w:hAnsi="Arial" w:cs="Arial"/>
          <w:sz w:val="20"/>
        </w:rPr>
        <w:t xml:space="preserve">for </w:t>
      </w:r>
      <w:r w:rsidR="00CF6E82">
        <w:rPr>
          <w:rFonts w:ascii="Arial" w:hAnsi="Arial" w:cs="Arial"/>
          <w:sz w:val="20"/>
        </w:rPr>
        <w:t>Tables</w:t>
      </w:r>
      <w:r w:rsidR="00CF16C9" w:rsidRPr="00DC623A">
        <w:rPr>
          <w:rFonts w:ascii="Arial" w:hAnsi="Arial" w:cs="Arial"/>
          <w:sz w:val="20"/>
        </w:rPr>
        <w:t xml:space="preserve"> </w:t>
      </w:r>
      <w:r w:rsidR="00F74F95" w:rsidRPr="00DC623A">
        <w:rPr>
          <w:rFonts w:ascii="Arial" w:hAnsi="Arial" w:cs="Arial"/>
          <w:sz w:val="20"/>
        </w:rPr>
        <w:t>S1 to S</w:t>
      </w:r>
      <w:r>
        <w:rPr>
          <w:rFonts w:ascii="Arial" w:hAnsi="Arial" w:cs="Arial"/>
          <w:sz w:val="20"/>
        </w:rPr>
        <w:t>9</w:t>
      </w:r>
    </w:p>
    <w:p w14:paraId="7702D235" w14:textId="77777777" w:rsidR="002C030F" w:rsidRPr="00DC623A" w:rsidRDefault="002C030F">
      <w:pPr>
        <w:rPr>
          <w:rFonts w:ascii="Arial" w:hAnsi="Arial" w:cs="Arial"/>
          <w:sz w:val="20"/>
        </w:rPr>
      </w:pPr>
    </w:p>
    <w:p w14:paraId="424742A6" w14:textId="4C7DCC9C" w:rsidR="00065EBD" w:rsidRPr="00DC623A" w:rsidRDefault="002C030F" w:rsidP="00015F74">
      <w:pPr>
        <w:rPr>
          <w:rFonts w:ascii="Arial" w:hAnsi="Arial" w:cs="Arial"/>
          <w:sz w:val="20"/>
        </w:rPr>
      </w:pPr>
      <w:r w:rsidRPr="00DC623A">
        <w:rPr>
          <w:rFonts w:ascii="Arial" w:hAnsi="Arial" w:cs="Arial"/>
          <w:b/>
          <w:sz w:val="20"/>
        </w:rPr>
        <w:t xml:space="preserve">Other </w:t>
      </w:r>
      <w:r w:rsidR="00EB377C">
        <w:rPr>
          <w:rFonts w:ascii="Arial" w:hAnsi="Arial" w:cs="Arial"/>
          <w:b/>
          <w:sz w:val="20"/>
        </w:rPr>
        <w:t>additional</w:t>
      </w:r>
      <w:r w:rsidR="004B2F21" w:rsidRPr="00DC623A">
        <w:rPr>
          <w:rFonts w:ascii="Arial" w:hAnsi="Arial" w:cs="Arial"/>
          <w:b/>
          <w:sz w:val="20"/>
        </w:rPr>
        <w:t xml:space="preserve"> materials</w:t>
      </w:r>
      <w:r w:rsidRPr="00DC623A">
        <w:rPr>
          <w:rFonts w:ascii="Arial" w:hAnsi="Arial" w:cs="Arial"/>
          <w:b/>
          <w:sz w:val="20"/>
        </w:rPr>
        <w:t xml:space="preserve"> </w:t>
      </w:r>
      <w:r w:rsidR="009743A9" w:rsidRPr="00DC623A">
        <w:rPr>
          <w:rFonts w:ascii="Arial" w:hAnsi="Arial" w:cs="Arial"/>
          <w:b/>
          <w:sz w:val="20"/>
        </w:rPr>
        <w:t xml:space="preserve">for this manuscript </w:t>
      </w:r>
      <w:r w:rsidRPr="00DC623A">
        <w:rPr>
          <w:rFonts w:ascii="Arial" w:hAnsi="Arial" w:cs="Arial"/>
          <w:b/>
          <w:sz w:val="20"/>
        </w:rPr>
        <w:t>include</w:t>
      </w:r>
      <w:r w:rsidR="00D346C2" w:rsidRPr="00DC623A">
        <w:rPr>
          <w:rFonts w:ascii="Arial" w:hAnsi="Arial" w:cs="Arial"/>
          <w:b/>
          <w:sz w:val="20"/>
        </w:rPr>
        <w:t xml:space="preserve"> </w:t>
      </w:r>
      <w:r w:rsidRPr="00DC623A">
        <w:rPr>
          <w:rFonts w:ascii="Arial" w:hAnsi="Arial" w:cs="Arial"/>
          <w:b/>
          <w:sz w:val="20"/>
        </w:rPr>
        <w:t>the following</w:t>
      </w:r>
      <w:r w:rsidR="00B57F00" w:rsidRPr="00DC623A">
        <w:rPr>
          <w:rFonts w:ascii="Arial" w:hAnsi="Arial" w:cs="Arial"/>
          <w:b/>
          <w:sz w:val="20"/>
        </w:rPr>
        <w:t xml:space="preserve">: </w:t>
      </w:r>
    </w:p>
    <w:p w14:paraId="765D321C" w14:textId="316AF24E" w:rsidR="002C030F" w:rsidRPr="00DC623A" w:rsidRDefault="002C030F" w:rsidP="00CF6E82">
      <w:pPr>
        <w:rPr>
          <w:rFonts w:ascii="Arial" w:hAnsi="Arial" w:cs="Arial"/>
          <w:sz w:val="20"/>
        </w:rPr>
      </w:pPr>
    </w:p>
    <w:p w14:paraId="70584A3D" w14:textId="323AB54B" w:rsidR="002C030F" w:rsidRPr="00DC623A" w:rsidRDefault="00CF6E82" w:rsidP="00262D72">
      <w:pPr>
        <w:ind w:left="720"/>
        <w:rPr>
          <w:rFonts w:ascii="Arial" w:hAnsi="Arial" w:cs="Arial"/>
          <w:sz w:val="20"/>
        </w:rPr>
      </w:pPr>
      <w:r>
        <w:rPr>
          <w:rFonts w:ascii="Arial" w:hAnsi="Arial" w:cs="Arial"/>
          <w:sz w:val="20"/>
        </w:rPr>
        <w:t>Tables</w:t>
      </w:r>
      <w:r w:rsidR="007B5946" w:rsidRPr="00DC623A">
        <w:rPr>
          <w:rFonts w:ascii="Arial" w:hAnsi="Arial" w:cs="Arial"/>
          <w:sz w:val="20"/>
        </w:rPr>
        <w:t xml:space="preserve"> S1 to S</w:t>
      </w:r>
      <w:r w:rsidR="00884E37">
        <w:rPr>
          <w:rFonts w:ascii="Arial" w:hAnsi="Arial" w:cs="Arial"/>
          <w:sz w:val="20"/>
        </w:rPr>
        <w:t>9</w:t>
      </w:r>
    </w:p>
    <w:p w14:paraId="0624FFEC" w14:textId="77777777" w:rsidR="00065EBD" w:rsidRPr="00DC623A" w:rsidRDefault="00065EBD" w:rsidP="00262D72">
      <w:pPr>
        <w:ind w:left="720"/>
        <w:rPr>
          <w:rFonts w:ascii="Arial" w:hAnsi="Arial" w:cs="Arial"/>
          <w:sz w:val="20"/>
        </w:rPr>
      </w:pPr>
    </w:p>
    <w:p w14:paraId="547ABAA7" w14:textId="7C02F285" w:rsidR="00901619" w:rsidRDefault="00015F74" w:rsidP="00017C53">
      <w:pPr>
        <w:ind w:left="720"/>
        <w:rPr>
          <w:rFonts w:ascii="Arial" w:hAnsi="Arial" w:cs="Arial"/>
          <w:sz w:val="20"/>
        </w:rPr>
      </w:pPr>
      <w:r w:rsidRPr="00DC623A">
        <w:rPr>
          <w:rFonts w:ascii="Arial" w:hAnsi="Arial" w:cs="Arial"/>
          <w:sz w:val="20"/>
        </w:rPr>
        <w:br/>
      </w:r>
    </w:p>
    <w:p w14:paraId="181ED034" w14:textId="77777777" w:rsidR="00901619" w:rsidRDefault="00901619">
      <w:pPr>
        <w:rPr>
          <w:rFonts w:ascii="Arial" w:hAnsi="Arial" w:cs="Arial"/>
          <w:sz w:val="20"/>
        </w:rPr>
      </w:pPr>
      <w:r>
        <w:rPr>
          <w:rFonts w:ascii="Arial" w:hAnsi="Arial" w:cs="Arial"/>
          <w:sz w:val="20"/>
        </w:rPr>
        <w:br w:type="page"/>
      </w:r>
    </w:p>
    <w:p w14:paraId="72C0516D" w14:textId="77777777" w:rsidR="000B2989" w:rsidRPr="00EA2369" w:rsidRDefault="000B2989" w:rsidP="000B2989">
      <w:pPr>
        <w:spacing w:line="360" w:lineRule="auto"/>
        <w:jc w:val="both"/>
        <w:rPr>
          <w:rFonts w:ascii="Arial" w:hAnsi="Arial" w:cs="Arial"/>
          <w:b/>
          <w:bCs/>
        </w:rPr>
      </w:pPr>
      <w:r w:rsidRPr="00EA2369">
        <w:rPr>
          <w:rFonts w:ascii="Arial" w:hAnsi="Arial" w:cs="Arial"/>
          <w:b/>
          <w:bCs/>
        </w:rPr>
        <w:lastRenderedPageBreak/>
        <w:t>Generation of pluripotent stem cell-derived microglial-like cells</w:t>
      </w:r>
    </w:p>
    <w:p w14:paraId="3CAF5EDA" w14:textId="77777777" w:rsidR="000453BC" w:rsidRDefault="000453BC" w:rsidP="000453BC">
      <w:pPr>
        <w:spacing w:line="360" w:lineRule="auto"/>
        <w:jc w:val="both"/>
        <w:rPr>
          <w:rFonts w:ascii="Arial" w:hAnsi="Arial" w:cs="Arial"/>
          <w:b/>
          <w:bCs/>
          <w:sz w:val="20"/>
        </w:rPr>
      </w:pPr>
    </w:p>
    <w:p w14:paraId="20B93F45" w14:textId="2AF69115" w:rsidR="000453BC" w:rsidRDefault="000453BC" w:rsidP="000453BC">
      <w:pPr>
        <w:spacing w:line="360" w:lineRule="auto"/>
        <w:jc w:val="both"/>
        <w:rPr>
          <w:rFonts w:ascii="Arial" w:hAnsi="Arial" w:cs="Arial"/>
          <w:sz w:val="20"/>
        </w:rPr>
      </w:pPr>
      <w:r>
        <w:rPr>
          <w:rFonts w:ascii="Arial" w:hAnsi="Arial" w:cs="Arial"/>
          <w:b/>
          <w:bCs/>
          <w:sz w:val="20"/>
        </w:rPr>
        <w:t xml:space="preserve">Generation of myeloid precursor cells from iPSCs: </w:t>
      </w:r>
      <w:r w:rsidRPr="00065431">
        <w:rPr>
          <w:rFonts w:ascii="Arial" w:hAnsi="Arial" w:cs="Arial"/>
          <w:sz w:val="20"/>
        </w:rPr>
        <w:t>The production of iPSC-derived myeloid precursor cells was performed in accordance with the protocol outlined by van Wilgenburg et al., (2013)</w:t>
      </w:r>
      <w:r w:rsidR="00780AC9">
        <w:rPr>
          <w:rFonts w:ascii="Arial" w:hAnsi="Arial" w:cs="Arial"/>
          <w:sz w:val="20"/>
        </w:rPr>
        <w:t xml:space="preserve"> </w:t>
      </w:r>
      <w:sdt>
        <w:sdtPr>
          <w:rPr>
            <w:rFonts w:ascii="Arial" w:hAnsi="Arial" w:cs="Arial"/>
            <w:color w:val="000000"/>
            <w:sz w:val="20"/>
          </w:rPr>
          <w:tag w:val="MENDELEY_CITATION_v3_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"/>
          <w:id w:val="-1449619838"/>
          <w:placeholder>
            <w:docPart w:val="DefaultPlaceholder_-1854013440"/>
          </w:placeholder>
        </w:sdtPr>
        <w:sdtEndPr/>
        <w:sdtContent>
          <w:r w:rsidR="00780AC9" w:rsidRPr="00780AC9">
            <w:rPr>
              <w:rFonts w:ascii="Arial" w:hAnsi="Arial" w:cs="Arial"/>
              <w:color w:val="000000"/>
              <w:sz w:val="20"/>
            </w:rPr>
            <w:t>[1]</w:t>
          </w:r>
        </w:sdtContent>
      </w:sdt>
      <w:r w:rsidRPr="00065431">
        <w:rPr>
          <w:rFonts w:ascii="Arial" w:hAnsi="Arial" w:cs="Arial"/>
          <w:sz w:val="20"/>
        </w:rPr>
        <w:t>, with a few changes as detailed:</w:t>
      </w:r>
      <w:r>
        <w:rPr>
          <w:rFonts w:ascii="Arial" w:hAnsi="Arial" w:cs="Arial"/>
          <w:b/>
          <w:bCs/>
          <w:sz w:val="20"/>
        </w:rPr>
        <w:t xml:space="preserve"> </w:t>
      </w:r>
      <w:r w:rsidRPr="00065431">
        <w:rPr>
          <w:rFonts w:ascii="Arial" w:hAnsi="Arial" w:cs="Arial"/>
          <w:sz w:val="20"/>
        </w:rPr>
        <w:t>To generate embryoid bodies (EBs), adherent iPSCs were detached by incubating the cells in 450 µL TrypLE Express (Gibco) for 3 mins at 37°C. Cells were subsequently pipetted to single cell suspension and diluted 1</w:t>
      </w:r>
      <w:r w:rsidRPr="00065431">
        <w:rPr>
          <w:rFonts w:ascii="Cambria Math" w:hAnsi="Cambria Math" w:cs="Cambria Math"/>
          <w:sz w:val="20"/>
        </w:rPr>
        <w:t>∶</w:t>
      </w:r>
      <w:r w:rsidRPr="00065431">
        <w:rPr>
          <w:rFonts w:ascii="Arial" w:hAnsi="Arial" w:cs="Arial"/>
          <w:sz w:val="20"/>
        </w:rPr>
        <w:t>10 with PBS. Following centrifugation at 600 g for 5 mins, cells were resuspended at 4x106 cells/mL in EB medium (OxE8 medium supplemented with 50 ng/mL BMP4 (PeproTech), 50 ng/mL VEGF (PeproTech) and 20 ng/mL SCF (Miltenyi Biotec)), supplemented with 10 μL/mL ROCKi, seeded into an AggreWell™ 800 plate (Stemcell Technologies) (pre-rinsed with 500 μL AggreWell rinsing solution (Stemcell Technologies) and washed with 1.5 mL KO-DMEM) and centrifuged at 300 g for 2 min, with low acceleration and deceleration. The iPSCs were then given daily feeds of fresh EB medium for 7 days. At day 7, the EBs transferred to an ultra-low adherence plate (Corning) in FM7a medium (Advanced DMEM/F12 (Gibco) supplemented with 20 mM GlutaMAXTM (Gibco), 15mM HEPES (Gibco), 250 µL stabilised insulin (Sigma-Aldrich), 15 µM Tropolone (Sigma-Aldrich), 25 ng/mL IL-3 (PeproTech) and 100 ng/mL M-CSF). The EBs were then transferred to two T175 flasks containing 20 mL FM7a medium each. Once weekly, 10 mL FM7a medium was added to the flask until myeloid precursor cells were visible in the culture medium; the non-adherent cells were then harvested weekly via collection of 25 mL supernatant from each factory, replaced by an equal volume of fresh FM7a medium.</w:t>
      </w:r>
    </w:p>
    <w:p w14:paraId="4F43BA6F" w14:textId="77777777" w:rsidR="00066BB8" w:rsidRDefault="00066BB8" w:rsidP="000B2989">
      <w:pPr>
        <w:spacing w:line="360" w:lineRule="auto"/>
        <w:jc w:val="both"/>
        <w:rPr>
          <w:rFonts w:ascii="Arial" w:hAnsi="Arial" w:cs="Arial"/>
          <w:b/>
          <w:bCs/>
          <w:sz w:val="20"/>
        </w:rPr>
      </w:pPr>
    </w:p>
    <w:p w14:paraId="4F5E67D7" w14:textId="3F6FF284" w:rsidR="000B2989" w:rsidRDefault="000B2989" w:rsidP="000B2989">
      <w:pPr>
        <w:spacing w:line="360" w:lineRule="auto"/>
        <w:jc w:val="both"/>
        <w:rPr>
          <w:rFonts w:ascii="Arial" w:hAnsi="Arial" w:cs="Arial"/>
          <w:sz w:val="20"/>
        </w:rPr>
      </w:pPr>
      <w:r w:rsidRPr="000B2989">
        <w:rPr>
          <w:rStyle w:val="Heading4Char"/>
          <w:rFonts w:ascii="Arial" w:hAnsi="Arial" w:cs="Arial"/>
          <w:color w:val="auto"/>
          <w:sz w:val="20"/>
        </w:rPr>
        <w:t>Differentiation and culture of microglial-like cells:</w:t>
      </w:r>
      <w:r w:rsidRPr="000B2989">
        <w:rPr>
          <w:rStyle w:val="Heading4Char"/>
          <w:rFonts w:ascii="Arial" w:hAnsi="Arial" w:cs="Arial"/>
          <w:b w:val="0"/>
          <w:bCs/>
          <w:color w:val="auto"/>
          <w:sz w:val="20"/>
        </w:rPr>
        <w:t xml:space="preserve"> </w:t>
      </w:r>
      <w:r w:rsidRPr="000B2989">
        <w:rPr>
          <w:rFonts w:ascii="Arial" w:hAnsi="Arial" w:cs="Arial"/>
          <w:sz w:val="20"/>
        </w:rPr>
        <w:t xml:space="preserve">The </w:t>
      </w:r>
      <w:r w:rsidR="00CE1343">
        <w:rPr>
          <w:rFonts w:ascii="Arial" w:hAnsi="Arial" w:cs="Arial"/>
          <w:sz w:val="20"/>
        </w:rPr>
        <w:t>myeloid precursor cells were</w:t>
      </w:r>
      <w:r w:rsidRPr="000B2989">
        <w:rPr>
          <w:rFonts w:ascii="Arial" w:hAnsi="Arial" w:cs="Arial"/>
          <w:sz w:val="20"/>
        </w:rPr>
        <w:t xml:space="preserve"> plated</w:t>
      </w:r>
      <w:r w:rsidR="00CE1343">
        <w:rPr>
          <w:rFonts w:ascii="Arial" w:hAnsi="Arial" w:cs="Arial"/>
          <w:sz w:val="20"/>
        </w:rPr>
        <w:t xml:space="preserve"> into 6-well plates</w:t>
      </w:r>
      <w:r w:rsidRPr="000B2989">
        <w:rPr>
          <w:rFonts w:ascii="Arial" w:hAnsi="Arial" w:cs="Arial"/>
          <w:sz w:val="20"/>
        </w:rPr>
        <w:t xml:space="preserve"> for differentiation to microglial-like cells (MGL). Here, factory supernatant was collected in 50 mL falcon tubes and spun at 600 g for 7 mins and the cell pellet resuspended at 1.5x10</w:t>
      </w:r>
      <w:r w:rsidRPr="000B2989">
        <w:rPr>
          <w:rFonts w:ascii="Arial" w:hAnsi="Arial" w:cs="Arial"/>
          <w:sz w:val="20"/>
          <w:vertAlign w:val="superscript"/>
        </w:rPr>
        <w:t>5</w:t>
      </w:r>
      <w:r w:rsidRPr="000B2989">
        <w:rPr>
          <w:rFonts w:ascii="Arial" w:hAnsi="Arial" w:cs="Arial"/>
          <w:sz w:val="20"/>
        </w:rPr>
        <w:t xml:space="preserve"> cells/mL in MIC10 medium (SILAC Advanced DMEM/F12 (Gibco) supplemented with 20 mM GlutaMAX</w:t>
      </w:r>
      <w:r w:rsidRPr="000B2989">
        <w:rPr>
          <w:rFonts w:ascii="Arial" w:hAnsi="Arial" w:cs="Arial"/>
          <w:sz w:val="20"/>
          <w:vertAlign w:val="superscript"/>
        </w:rPr>
        <w:t>TM</w:t>
      </w:r>
      <w:r w:rsidRPr="000B2989">
        <w:rPr>
          <w:rFonts w:ascii="Arial" w:hAnsi="Arial" w:cs="Arial"/>
          <w:sz w:val="20"/>
        </w:rPr>
        <w:t>, 10 mM glucose (Sigma-Aldrich), 0.5 mM L-lysine (Fisher Scientific), 0.7 mM L-arginine (Fisher Scientific), 100 ng/mL IL-34 (Invitrogen) and 10 ng/mL GM-CSF) for microglial differentiation. Cells then were seeded at a density of 1.5x10</w:t>
      </w:r>
      <w:r w:rsidRPr="000B2989">
        <w:rPr>
          <w:rFonts w:ascii="Arial" w:hAnsi="Arial" w:cs="Arial"/>
          <w:sz w:val="20"/>
          <w:vertAlign w:val="superscript"/>
        </w:rPr>
        <w:t>5</w:t>
      </w:r>
      <w:r w:rsidRPr="000B2989">
        <w:rPr>
          <w:rFonts w:ascii="Arial" w:hAnsi="Arial" w:cs="Arial"/>
          <w:sz w:val="20"/>
        </w:rPr>
        <w:t xml:space="preserve"> cells/well. After 3 days in culture, cells</w:t>
      </w:r>
      <w:r w:rsidR="00CE1343">
        <w:rPr>
          <w:rFonts w:ascii="Arial" w:hAnsi="Arial" w:cs="Arial"/>
          <w:sz w:val="20"/>
        </w:rPr>
        <w:t xml:space="preserve"> were</w:t>
      </w:r>
      <w:r w:rsidRPr="000B2989">
        <w:rPr>
          <w:rFonts w:ascii="Arial" w:hAnsi="Arial" w:cs="Arial"/>
          <w:sz w:val="20"/>
        </w:rPr>
        <w:t xml:space="preserve"> fed with fresh MIC10 medium. Following 7 days of differentiation, half of the plated MGL for each cell line were treated with fresh MIC10 medium supplemented with 13 pmol/L</w:t>
      </w:r>
      <w:r w:rsidR="00780AC9">
        <w:rPr>
          <w:rFonts w:ascii="Arial" w:hAnsi="Arial" w:cs="Arial"/>
          <w:sz w:val="20"/>
        </w:rPr>
        <w:t xml:space="preserve"> </w:t>
      </w:r>
      <w:sdt>
        <w:sdtPr>
          <w:rPr>
            <w:rFonts w:ascii="Arial" w:hAnsi="Arial" w:cs="Arial"/>
            <w:color w:val="000000"/>
            <w:sz w:val="20"/>
          </w:rPr>
          <w:tag w:val="MENDELEY_CITATION_v3_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"/>
          <w:id w:val="-991088515"/>
          <w:placeholder>
            <w:docPart w:val="DefaultPlaceholder_-1854013440"/>
          </w:placeholder>
        </w:sdtPr>
        <w:sdtEndPr/>
        <w:sdtContent>
          <w:r w:rsidR="00780AC9" w:rsidRPr="00780AC9">
            <w:rPr>
              <w:rFonts w:ascii="Arial" w:hAnsi="Arial" w:cs="Arial"/>
              <w:color w:val="000000"/>
              <w:sz w:val="20"/>
            </w:rPr>
            <w:t>[2]</w:t>
          </w:r>
        </w:sdtContent>
      </w:sdt>
      <w:r w:rsidRPr="000B2989">
        <w:rPr>
          <w:rFonts w:ascii="Arial" w:hAnsi="Arial" w:cs="Arial"/>
          <w:sz w:val="20"/>
        </w:rPr>
        <w:t xml:space="preserve"> (representing 1.3 % free of a total circulating 1000 pmol/L</w:t>
      </w:r>
      <w:r w:rsidR="00CE1343">
        <w:rPr>
          <w:rFonts w:ascii="Arial" w:hAnsi="Arial" w:cs="Arial"/>
          <w:sz w:val="20"/>
        </w:rPr>
        <w:t>)</w:t>
      </w:r>
      <w:r w:rsidRPr="000B2989">
        <w:rPr>
          <w:rFonts w:ascii="Arial" w:hAnsi="Arial" w:cs="Arial"/>
          <w:sz w:val="20"/>
        </w:rPr>
        <w:t xml:space="preserve"> of 17β-estradiol (E2, Sigma-Aldrich) for 24 hrs. To obtain a stock concentration of 0.1 mg/mL E2, 1 mg powdered E2 was dissolved in 10 mL absolute ethanol and passed through a WhatmanTM 0.2 µm syringe filter prior to further dilution in MIC10 medium. Parallel wells treated with an equivalent</w:t>
      </w:r>
      <w:r w:rsidRPr="00EA2369">
        <w:rPr>
          <w:rFonts w:ascii="Arial" w:hAnsi="Arial" w:cs="Arial"/>
          <w:sz w:val="20"/>
        </w:rPr>
        <w:t xml:space="preserve"> final concentration of EtOH (E2 controls). </w:t>
      </w:r>
    </w:p>
    <w:p w14:paraId="7A66E5EC" w14:textId="77777777" w:rsidR="000453BC" w:rsidRPr="00EA2369" w:rsidRDefault="000453BC" w:rsidP="000B2989">
      <w:pPr>
        <w:spacing w:line="360" w:lineRule="auto"/>
        <w:jc w:val="both"/>
        <w:rPr>
          <w:rFonts w:ascii="Arial" w:hAnsi="Arial" w:cs="Arial"/>
          <w:sz w:val="20"/>
        </w:rPr>
      </w:pPr>
    </w:p>
    <w:p w14:paraId="5229461E" w14:textId="5E905A1A" w:rsidR="000B2989" w:rsidRPr="00EA2369" w:rsidRDefault="000B2989" w:rsidP="000B2989">
      <w:pPr>
        <w:spacing w:line="360" w:lineRule="auto"/>
        <w:jc w:val="both"/>
        <w:rPr>
          <w:rFonts w:ascii="Arial" w:hAnsi="Arial" w:cs="Arial"/>
          <w:sz w:val="20"/>
        </w:rPr>
      </w:pPr>
      <w:r w:rsidRPr="000B2989">
        <w:rPr>
          <w:rStyle w:val="Heading4Char"/>
          <w:rFonts w:ascii="Arial" w:hAnsi="Arial" w:cs="Arial"/>
          <w:color w:val="auto"/>
          <w:sz w:val="20"/>
        </w:rPr>
        <w:lastRenderedPageBreak/>
        <w:t>Sequencing and data processing of monocyte-derived macrophages (MDMs):</w:t>
      </w:r>
      <w:r w:rsidRPr="000B2989">
        <w:rPr>
          <w:rStyle w:val="Heading4Char"/>
          <w:rFonts w:ascii="Arial" w:hAnsi="Arial" w:cs="Arial"/>
          <w:b w:val="0"/>
          <w:bCs/>
          <w:color w:val="auto"/>
          <w:sz w:val="20"/>
        </w:rPr>
        <w:t xml:space="preserve"> </w:t>
      </w:r>
      <w:r w:rsidRPr="00EA2369">
        <w:rPr>
          <w:rFonts w:ascii="Arial" w:hAnsi="Arial" w:cs="Arial"/>
          <w:sz w:val="20"/>
        </w:rPr>
        <w:t>Samples were sent to Genewiz (Hertfordshire, England) where RNA was quantified via absorption (Qubit) and RNA integrity number (RIN) assessed using Tapestation (Agilent).</w:t>
      </w:r>
      <w:r w:rsidR="005664A7">
        <w:t xml:space="preserve"> </w:t>
      </w:r>
      <w:r w:rsidR="005664A7" w:rsidRPr="005664A7">
        <w:rPr>
          <w:rFonts w:ascii="Arial" w:hAnsi="Arial" w:cs="Arial"/>
          <w:sz w:val="20"/>
        </w:rPr>
        <w:t xml:space="preserve">Total RNA concentrations ranged from 16.2 ng to 1517.88 ng, with a mean value of 482.75 ng. In order to include as many samples as possible in the analyses, only samples with &gt; 100 ng total RNA were used for </w:t>
      </w:r>
      <w:r w:rsidR="005664A7">
        <w:rPr>
          <w:rFonts w:ascii="Arial" w:hAnsi="Arial" w:cs="Arial"/>
          <w:sz w:val="20"/>
        </w:rPr>
        <w:t>l</w:t>
      </w:r>
      <w:r w:rsidRPr="00EA2369">
        <w:rPr>
          <w:rFonts w:ascii="Arial" w:hAnsi="Arial" w:cs="Arial"/>
          <w:sz w:val="20"/>
        </w:rPr>
        <w:t>ibrary construction via QuantSeq 3’ mRNA-Seq Library Prep Kit FWD for Illumina (Lexogen). Libraries were run in single index on HiSeq (llumina) in 2 x 150 bp configuration per lane to obtain an average read depth of ~ 10M reads per sample. Data processing was performed via nf-core-rnaseq (V 1.4.2)</w:t>
      </w:r>
      <w:r w:rsidR="00780AC9">
        <w:rPr>
          <w:rFonts w:ascii="Arial" w:hAnsi="Arial" w:cs="Arial"/>
          <w:sz w:val="20"/>
        </w:rPr>
        <w:t xml:space="preserve"> </w:t>
      </w:r>
      <w:sdt>
        <w:sdtPr>
          <w:rPr>
            <w:rFonts w:ascii="Arial" w:hAnsi="Arial" w:cs="Arial"/>
            <w:color w:val="000000"/>
            <w:sz w:val="20"/>
          </w:rPr>
          <w:tag w:val="MENDELEY_CITATION_v3_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"/>
          <w:id w:val="741840884"/>
          <w:placeholder>
            <w:docPart w:val="DefaultPlaceholder_-1854013440"/>
          </w:placeholder>
        </w:sdtPr>
        <w:sdtEndPr/>
        <w:sdtContent>
          <w:r w:rsidR="00780AC9" w:rsidRPr="00780AC9">
            <w:rPr>
              <w:rFonts w:ascii="Arial" w:hAnsi="Arial" w:cs="Arial"/>
              <w:color w:val="000000"/>
              <w:sz w:val="20"/>
            </w:rPr>
            <w:t>[3]</w:t>
          </w:r>
        </w:sdtContent>
      </w:sdt>
      <w:r>
        <w:rPr>
          <w:rFonts w:ascii="Arial" w:hAnsi="Arial" w:cs="Arial"/>
          <w:sz w:val="20"/>
        </w:rPr>
        <w:t xml:space="preserve"> </w:t>
      </w:r>
      <w:r w:rsidRPr="00EA2369">
        <w:rPr>
          <w:rFonts w:ascii="Arial" w:hAnsi="Arial" w:cs="Arial"/>
          <w:sz w:val="20"/>
        </w:rPr>
        <w:t>pipeline. Firstly, Trim Galore! (V 0.6.4)</w:t>
      </w:r>
      <w:r w:rsidR="00780AC9">
        <w:rPr>
          <w:rFonts w:ascii="Arial" w:hAnsi="Arial" w:cs="Arial"/>
          <w:sz w:val="20"/>
        </w:rPr>
        <w:t xml:space="preserve"> </w:t>
      </w:r>
      <w:sdt>
        <w:sdtPr>
          <w:rPr>
            <w:rFonts w:ascii="Arial" w:hAnsi="Arial" w:cs="Arial"/>
            <w:color w:val="000000"/>
            <w:sz w:val="20"/>
          </w:rPr>
          <w:tag w:val="MENDELEY_CITATION_v3_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"/>
          <w:id w:val="1647081666"/>
          <w:placeholder>
            <w:docPart w:val="DefaultPlaceholder_-1854013440"/>
          </w:placeholder>
        </w:sdtPr>
        <w:sdtEndPr/>
        <w:sdtContent>
          <w:r w:rsidR="00780AC9" w:rsidRPr="00780AC9">
            <w:rPr>
              <w:rFonts w:ascii="Arial" w:hAnsi="Arial" w:cs="Arial"/>
              <w:color w:val="000000"/>
              <w:sz w:val="20"/>
            </w:rPr>
            <w:t>[4]</w:t>
          </w:r>
        </w:sdtContent>
      </w:sdt>
      <w:r w:rsidR="00780AC9">
        <w:rPr>
          <w:rFonts w:ascii="Arial" w:hAnsi="Arial" w:cs="Arial"/>
          <w:sz w:val="20"/>
        </w:rPr>
        <w:t xml:space="preserve"> </w:t>
      </w:r>
      <w:r w:rsidRPr="00EA2369">
        <w:rPr>
          <w:rFonts w:ascii="Arial" w:hAnsi="Arial" w:cs="Arial"/>
          <w:sz w:val="20"/>
        </w:rPr>
        <w:t>was employed to trim the adapter sequence ('AGATCGGAAGAGC'), with a maximum trimming error rate of 0.1 (default), a minimum required adapter overlap of 1 bp, and a minimum required sequence length of 20 bp. To ensure the removal of low-quality reads from samples a quality phred score cut-off of 20 was used and sequences were trimmed by 18 bp from their 3' end to avoid poor qualities or biases. Processed reads were mapped to the GRCh38 human reference genome via STAR (v 2.7.0a)</w:t>
      </w:r>
      <w:r w:rsidR="00451112">
        <w:rPr>
          <w:rFonts w:ascii="Arial" w:hAnsi="Arial" w:cs="Arial"/>
          <w:sz w:val="20"/>
        </w:rPr>
        <w:t xml:space="preserve"> </w:t>
      </w:r>
      <w:sdt>
        <w:sdtPr>
          <w:rPr>
            <w:rFonts w:ascii="Arial" w:hAnsi="Arial" w:cs="Arial"/>
            <w:color w:val="000000"/>
            <w:sz w:val="20"/>
          </w:rPr>
          <w:tag w:val="MENDELEY_CITATION_v3_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"/>
          <w:id w:val="2101609710"/>
          <w:placeholder>
            <w:docPart w:val="DefaultPlaceholder_-1854013440"/>
          </w:placeholder>
        </w:sdtPr>
        <w:sdtEndPr/>
        <w:sdtContent>
          <w:r w:rsidR="00780AC9" w:rsidRPr="00780AC9">
            <w:rPr>
              <w:rFonts w:ascii="Arial" w:hAnsi="Arial" w:cs="Arial"/>
              <w:color w:val="000000"/>
              <w:sz w:val="20"/>
            </w:rPr>
            <w:t>[5]</w:t>
          </w:r>
        </w:sdtContent>
      </w:sdt>
      <w:r w:rsidR="00780AC9">
        <w:rPr>
          <w:rFonts w:ascii="Arial" w:hAnsi="Arial" w:cs="Arial"/>
          <w:sz w:val="20"/>
        </w:rPr>
        <w:t xml:space="preserve"> </w:t>
      </w:r>
      <w:r w:rsidRPr="00EA2369">
        <w:rPr>
          <w:rFonts w:ascii="Arial" w:hAnsi="Arial" w:cs="Arial"/>
          <w:sz w:val="20"/>
        </w:rPr>
        <w:t>using gene annotations from Ensembl (v 97)</w:t>
      </w:r>
      <w:r>
        <w:rPr>
          <w:rFonts w:ascii="Arial" w:hAnsi="Arial" w:cs="Arial"/>
          <w:color w:val="000000"/>
          <w:sz w:val="20"/>
        </w:rPr>
        <w:t>.</w:t>
      </w:r>
      <w:r w:rsidRPr="00EA2369">
        <w:rPr>
          <w:rFonts w:ascii="Arial" w:hAnsi="Arial" w:cs="Arial"/>
          <w:sz w:val="20"/>
        </w:rPr>
        <w:t xml:space="preserve"> For STAR mapping default settings were employed with the addition of (i) --twopassMode set to Basic and (ii) --quantMode set to GeneCounts for gene-level abundance estimates. </w:t>
      </w:r>
    </w:p>
    <w:p w14:paraId="290C4CC0" w14:textId="77777777" w:rsidR="00066BB8" w:rsidRDefault="00066BB8" w:rsidP="000B2989">
      <w:pPr>
        <w:spacing w:line="360" w:lineRule="auto"/>
        <w:jc w:val="both"/>
        <w:rPr>
          <w:rStyle w:val="Heading4Char"/>
          <w:rFonts w:ascii="Arial" w:hAnsi="Arial" w:cs="Arial"/>
          <w:color w:val="auto"/>
          <w:sz w:val="20"/>
        </w:rPr>
      </w:pPr>
    </w:p>
    <w:p w14:paraId="1473D427" w14:textId="6B9F25BA" w:rsidR="000B2989" w:rsidRPr="00EA2369" w:rsidRDefault="000B2989" w:rsidP="000B2989">
      <w:pPr>
        <w:spacing w:line="360" w:lineRule="auto"/>
        <w:jc w:val="both"/>
        <w:rPr>
          <w:rFonts w:ascii="Arial" w:hAnsi="Arial" w:cs="Arial"/>
          <w:sz w:val="20"/>
        </w:rPr>
      </w:pPr>
      <w:r w:rsidRPr="000B2989">
        <w:rPr>
          <w:rStyle w:val="Heading4Char"/>
          <w:rFonts w:ascii="Arial" w:hAnsi="Arial" w:cs="Arial"/>
          <w:color w:val="auto"/>
          <w:sz w:val="20"/>
        </w:rPr>
        <w:t>Sequencing of microglial</w:t>
      </w:r>
      <w:r w:rsidR="00863534">
        <w:rPr>
          <w:rStyle w:val="Heading4Char"/>
          <w:rFonts w:ascii="Arial" w:hAnsi="Arial" w:cs="Arial"/>
          <w:color w:val="auto"/>
          <w:sz w:val="20"/>
        </w:rPr>
        <w:t>-like cells</w:t>
      </w:r>
      <w:r w:rsidRPr="000B2989">
        <w:rPr>
          <w:rStyle w:val="Heading4Char"/>
          <w:rFonts w:ascii="Arial" w:hAnsi="Arial" w:cs="Arial"/>
          <w:color w:val="auto"/>
          <w:sz w:val="20"/>
        </w:rPr>
        <w:t xml:space="preserve"> RNA and data pre-processing:</w:t>
      </w:r>
      <w:r w:rsidRPr="000B2989">
        <w:rPr>
          <w:rStyle w:val="Heading4Char"/>
          <w:rFonts w:ascii="Arial" w:hAnsi="Arial" w:cs="Arial"/>
          <w:b w:val="0"/>
          <w:bCs/>
          <w:color w:val="auto"/>
          <w:sz w:val="20"/>
        </w:rPr>
        <w:t xml:space="preserve"> </w:t>
      </w:r>
      <w:r w:rsidRPr="00EA2369">
        <w:rPr>
          <w:rFonts w:ascii="Arial" w:hAnsi="Arial" w:cs="Arial"/>
          <w:sz w:val="20"/>
        </w:rPr>
        <w:t>Sample QC, library preparation and sequencing were performed by the Imperial BRC Genomics facility</w:t>
      </w:r>
      <w:r w:rsidR="00863534">
        <w:rPr>
          <w:rFonts w:ascii="Arial" w:hAnsi="Arial" w:cs="Arial"/>
          <w:sz w:val="20"/>
        </w:rPr>
        <w:t xml:space="preserve"> (London, England)</w:t>
      </w:r>
      <w:r w:rsidRPr="00EA2369">
        <w:rPr>
          <w:rFonts w:ascii="Arial" w:hAnsi="Arial" w:cs="Arial"/>
          <w:sz w:val="20"/>
        </w:rPr>
        <w:t>. RNA was quantified and RNA integrity number (RIN) assessed using Tapestation (Agilent). Total RNA concentrations ranged from 203.4 ng to 1377 ng, with a mean value of 613.6 ng</w:t>
      </w:r>
      <w:r w:rsidR="0009227C">
        <w:rPr>
          <w:rFonts w:ascii="Arial" w:hAnsi="Arial" w:cs="Arial"/>
          <w:sz w:val="20"/>
        </w:rPr>
        <w:t xml:space="preserve">. </w:t>
      </w:r>
      <w:r w:rsidR="005664A7">
        <w:rPr>
          <w:rFonts w:ascii="Arial" w:hAnsi="Arial" w:cs="Arial"/>
          <w:sz w:val="20"/>
        </w:rPr>
        <w:t>L</w:t>
      </w:r>
      <w:r w:rsidRPr="00EA2369">
        <w:rPr>
          <w:rFonts w:ascii="Arial" w:hAnsi="Arial" w:cs="Arial"/>
          <w:sz w:val="20"/>
        </w:rPr>
        <w:t>ibrary construction</w:t>
      </w:r>
      <w:r w:rsidR="005664A7">
        <w:rPr>
          <w:rFonts w:ascii="Arial" w:hAnsi="Arial" w:cs="Arial"/>
          <w:sz w:val="20"/>
        </w:rPr>
        <w:t xml:space="preserve"> was performed on 200 ng total RNA</w:t>
      </w:r>
      <w:r w:rsidRPr="00EA2369">
        <w:rPr>
          <w:rFonts w:ascii="Arial" w:hAnsi="Arial" w:cs="Arial"/>
          <w:sz w:val="20"/>
        </w:rPr>
        <w:t xml:space="preserve"> via QuantSeq 3’ mRNA-Seq Library Prep Kit FWD for Illumina (Lexogen). Libraries were run in single index on HiSeq 400 75 PE (lllumina) in 2 x 150 bp configuration per lane to obtain an average read depth of ~ 10M reads per sample. Raw data files were processed for fastq by the Imperial BRC Genomics Facility using the software Bcl2Fastq, this pipeline included demultiplexing and the trimming of Illumina generic adapters from the reads with the setting set to default. Subsequent data processing was performed via nf-core-rnaseq (V 1.4.2)</w:t>
      </w:r>
      <w:r w:rsidR="00780AC9">
        <w:rPr>
          <w:rFonts w:ascii="Arial" w:hAnsi="Arial" w:cs="Arial"/>
          <w:sz w:val="20"/>
        </w:rPr>
        <w:t xml:space="preserve"> </w:t>
      </w:r>
      <w:sdt>
        <w:sdtPr>
          <w:rPr>
            <w:rFonts w:ascii="Arial" w:hAnsi="Arial" w:cs="Arial"/>
            <w:color w:val="000000"/>
            <w:sz w:val="20"/>
          </w:rPr>
          <w:tag w:val="MENDELEY_CITATION_v3_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"/>
          <w:id w:val="1437708607"/>
          <w:placeholder>
            <w:docPart w:val="DefaultPlaceholder_-1854013440"/>
          </w:placeholder>
        </w:sdtPr>
        <w:sdtEndPr/>
        <w:sdtContent>
          <w:r w:rsidR="00780AC9" w:rsidRPr="00780AC9">
            <w:rPr>
              <w:rFonts w:ascii="Arial" w:hAnsi="Arial" w:cs="Arial"/>
              <w:color w:val="000000"/>
              <w:sz w:val="20"/>
            </w:rPr>
            <w:t>[3]</w:t>
          </w:r>
        </w:sdtContent>
      </w:sdt>
      <w:r>
        <w:rPr>
          <w:rFonts w:ascii="Arial" w:hAnsi="Arial" w:cs="Arial"/>
          <w:color w:val="000000"/>
          <w:sz w:val="20"/>
        </w:rPr>
        <w:t>.</w:t>
      </w:r>
      <w:r w:rsidRPr="00EA2369">
        <w:rPr>
          <w:rFonts w:ascii="Arial" w:hAnsi="Arial" w:cs="Arial"/>
          <w:sz w:val="20"/>
        </w:rPr>
        <w:t xml:space="preserve"> Processed reads were mapped to the GRCh38 human reference genome via STAR (v 2.7.0a)</w:t>
      </w:r>
      <w:r>
        <w:rPr>
          <w:rFonts w:ascii="Arial" w:hAnsi="Arial" w:cs="Arial"/>
          <w:sz w:val="20"/>
        </w:rPr>
        <w:t xml:space="preserve"> </w:t>
      </w:r>
      <w:sdt>
        <w:sdtPr>
          <w:rPr>
            <w:rFonts w:ascii="Arial" w:hAnsi="Arial" w:cs="Arial"/>
            <w:color w:val="000000"/>
            <w:sz w:val="20"/>
          </w:rPr>
          <w:tag w:val="MENDELEY_CITATION_v3_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"/>
          <w:id w:val="-1314324469"/>
          <w:placeholder>
            <w:docPart w:val="DefaultPlaceholder_-1854013440"/>
          </w:placeholder>
        </w:sdtPr>
        <w:sdtEndPr/>
        <w:sdtContent>
          <w:r w:rsidR="00780AC9" w:rsidRPr="00780AC9">
            <w:rPr>
              <w:rFonts w:ascii="Arial" w:hAnsi="Arial" w:cs="Arial"/>
              <w:color w:val="000000"/>
              <w:sz w:val="20"/>
            </w:rPr>
            <w:t>[5]</w:t>
          </w:r>
        </w:sdtContent>
      </w:sdt>
      <w:r w:rsidRPr="00EA2369">
        <w:rPr>
          <w:rFonts w:ascii="Arial" w:hAnsi="Arial" w:cs="Arial"/>
          <w:sz w:val="20"/>
        </w:rPr>
        <w:t xml:space="preserve"> using gene annotations from Ensembl (v 97), as described above. </w:t>
      </w:r>
    </w:p>
    <w:p w14:paraId="2C60D0C6" w14:textId="19361852" w:rsidR="00065431" w:rsidRDefault="00065431" w:rsidP="000B2989">
      <w:pPr>
        <w:spacing w:line="360" w:lineRule="auto"/>
        <w:jc w:val="both"/>
        <w:rPr>
          <w:rFonts w:ascii="Arial" w:hAnsi="Arial" w:cs="Arial"/>
          <w:sz w:val="20"/>
        </w:rPr>
      </w:pPr>
      <w:bookmarkStart w:id="0" w:name="Tables"/>
      <w:bookmarkStart w:id="1" w:name="MaterialsMethods"/>
      <w:bookmarkEnd w:id="0"/>
      <w:bookmarkEnd w:id="1"/>
    </w:p>
    <w:p w14:paraId="4B4FB3D7" w14:textId="77777777" w:rsidR="00065431" w:rsidRDefault="00065431" w:rsidP="000B2989">
      <w:pPr>
        <w:jc w:val="both"/>
        <w:rPr>
          <w:rFonts w:ascii="Arial" w:hAnsi="Arial" w:cs="Arial"/>
          <w:sz w:val="20"/>
        </w:rPr>
      </w:pPr>
    </w:p>
    <w:p w14:paraId="32606E03" w14:textId="38692EA0" w:rsidR="00065431" w:rsidRDefault="00065431" w:rsidP="000B2989">
      <w:pPr>
        <w:jc w:val="both"/>
        <w:rPr>
          <w:rFonts w:ascii="Arial" w:hAnsi="Arial" w:cs="Arial"/>
          <w:sz w:val="20"/>
        </w:rPr>
      </w:pPr>
      <w:r>
        <w:rPr>
          <w:rFonts w:ascii="Arial" w:hAnsi="Arial" w:cs="Arial"/>
          <w:sz w:val="20"/>
        </w:rPr>
        <w:br w:type="page"/>
      </w:r>
    </w:p>
    <w:p w14:paraId="362E792E" w14:textId="77777777" w:rsidR="00065431" w:rsidRDefault="00065431">
      <w:pPr>
        <w:rPr>
          <w:rFonts w:ascii="Arial" w:hAnsi="Arial" w:cs="Arial"/>
          <w:sz w:val="20"/>
        </w:rPr>
      </w:pPr>
    </w:p>
    <w:p w14:paraId="1B12D67C" w14:textId="3FC77D60" w:rsidR="00CF6E82" w:rsidRDefault="00CF6E82">
      <w:pPr>
        <w:rPr>
          <w:rFonts w:ascii="Arial" w:hAnsi="Arial" w:cs="Arial"/>
          <w:sz w:val="20"/>
        </w:rPr>
      </w:pPr>
    </w:p>
    <w:p w14:paraId="5E324433" w14:textId="496F3417" w:rsidR="00CF6E82" w:rsidRDefault="00CF6E82" w:rsidP="00B9440A">
      <w:pPr>
        <w:pStyle w:val="SMcaption"/>
        <w:rPr>
          <w:rFonts w:ascii="Arial" w:hAnsi="Arial" w:cs="Arial"/>
          <w:sz w:val="20"/>
        </w:rPr>
      </w:pPr>
      <w:r>
        <w:rPr>
          <w:noProof/>
        </w:rPr>
        <w:drawing>
          <wp:inline distT="0" distB="0" distL="0" distR="0" wp14:anchorId="4A2E3D3B" wp14:editId="67131C4D">
            <wp:extent cx="5486400" cy="2848965"/>
            <wp:effectExtent l="0" t="0" r="0" b="8890"/>
            <wp:docPr id="7" name="Picture 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848965"/>
                    </a:xfrm>
                    <a:prstGeom prst="rect">
                      <a:avLst/>
                    </a:prstGeom>
                    <a:noFill/>
                    <a:ln>
                      <a:noFill/>
                    </a:ln>
                  </pic:spPr>
                </pic:pic>
              </a:graphicData>
            </a:graphic>
          </wp:inline>
        </w:drawing>
      </w:r>
    </w:p>
    <w:p w14:paraId="71F28670" w14:textId="77777777" w:rsidR="00CF6E82" w:rsidRPr="00DC623A" w:rsidRDefault="00CF6E82" w:rsidP="00B9440A">
      <w:pPr>
        <w:pStyle w:val="SMcaption"/>
        <w:rPr>
          <w:rFonts w:ascii="Arial" w:hAnsi="Arial" w:cs="Arial"/>
          <w:sz w:val="20"/>
        </w:rPr>
      </w:pPr>
    </w:p>
    <w:p w14:paraId="74ACA0DC" w14:textId="0A2771D4" w:rsidR="00CF6E82" w:rsidRPr="00CF6E82" w:rsidRDefault="00112C5B" w:rsidP="00451112">
      <w:pPr>
        <w:pStyle w:val="SMHeading"/>
        <w:spacing w:line="360" w:lineRule="auto"/>
        <w:jc w:val="both"/>
        <w:rPr>
          <w:rFonts w:ascii="Arial" w:hAnsi="Arial"/>
          <w:kern w:val="0"/>
          <w:sz w:val="20"/>
        </w:rPr>
      </w:pPr>
      <w:r w:rsidRPr="00DC623A">
        <w:rPr>
          <w:rFonts w:ascii="Arial" w:hAnsi="Arial" w:cs="Arial"/>
          <w:sz w:val="20"/>
          <w:szCs w:val="20"/>
        </w:rPr>
        <w:t>Fig. S</w:t>
      </w:r>
      <w:r w:rsidR="000540D8">
        <w:rPr>
          <w:rFonts w:ascii="Arial" w:hAnsi="Arial" w:cs="Arial"/>
          <w:sz w:val="20"/>
          <w:szCs w:val="20"/>
        </w:rPr>
        <w:t>1</w:t>
      </w:r>
      <w:r w:rsidR="00B42F9C" w:rsidRPr="00DC623A">
        <w:rPr>
          <w:rFonts w:ascii="Arial" w:hAnsi="Arial" w:cs="Arial"/>
          <w:sz w:val="20"/>
          <w:szCs w:val="20"/>
        </w:rPr>
        <w:t xml:space="preserve">. </w:t>
      </w:r>
      <w:r w:rsidR="006C7538" w:rsidRPr="006C7538">
        <w:rPr>
          <w:rFonts w:ascii="Arial" w:hAnsi="Arial" w:cs="Arial"/>
          <w:bCs w:val="0"/>
          <w:sz w:val="20"/>
          <w:szCs w:val="20"/>
        </w:rPr>
        <w:t>Sex labelling and identification of a population of post-menopausal female and age-matched male monocytes</w:t>
      </w:r>
      <w:r w:rsidR="006C7538">
        <w:rPr>
          <w:rFonts w:ascii="Arial" w:hAnsi="Arial" w:cs="Arial"/>
          <w:bCs w:val="0"/>
          <w:sz w:val="20"/>
          <w:szCs w:val="20"/>
        </w:rPr>
        <w:t>:</w:t>
      </w:r>
      <w:r w:rsidR="006C7538" w:rsidRPr="006C7538">
        <w:rPr>
          <w:rFonts w:ascii="Arial" w:hAnsi="Arial" w:cs="Arial"/>
          <w:b w:val="0"/>
          <w:sz w:val="20"/>
          <w:szCs w:val="20"/>
        </w:rPr>
        <w:t xml:space="preserve"> (A) Histogram showing expression counts of the Y-chromosomal gene, RPS4Y1, in a collection of 1,202 monocyte samples derived taken from the publicly available microarray dataset E-GEOD-56047. To sex the samples, expression counts of RPS4Y1 which fell below 200 were classed as female whilst expression counts exceeding 3,750 were classed as male. Samples whose expression fell between these values were left as unknowns. (B) Box and whisker plot showing the age of MCs following exclusion of all samples younger than 59 years of age, n = 297 male, 296 female, and 56 unknown.</w:t>
      </w:r>
    </w:p>
    <w:p w14:paraId="39C006A6" w14:textId="39777B0B" w:rsidR="00CF6E82" w:rsidRDefault="00CF6E82" w:rsidP="00CF6E82">
      <w:pPr>
        <w:pStyle w:val="SMcaption"/>
        <w:rPr>
          <w:rFonts w:ascii="Arial" w:hAnsi="Arial"/>
          <w:sz w:val="20"/>
        </w:rPr>
      </w:pPr>
    </w:p>
    <w:p w14:paraId="37B818BB" w14:textId="2C999F91" w:rsidR="00CF6E82" w:rsidRDefault="00CF6E82" w:rsidP="00CF6E82">
      <w:pPr>
        <w:pStyle w:val="SMcaption"/>
        <w:rPr>
          <w:rFonts w:ascii="Arial" w:hAnsi="Arial"/>
          <w:sz w:val="20"/>
        </w:rPr>
      </w:pPr>
    </w:p>
    <w:p w14:paraId="1C8B4B27" w14:textId="24B0B7D0" w:rsidR="006C7538" w:rsidRDefault="006C7538">
      <w:pPr>
        <w:rPr>
          <w:rFonts w:ascii="Arial" w:hAnsi="Arial"/>
          <w:sz w:val="20"/>
        </w:rPr>
      </w:pPr>
      <w:r>
        <w:rPr>
          <w:rFonts w:ascii="Arial" w:hAnsi="Arial"/>
          <w:sz w:val="20"/>
        </w:rPr>
        <w:br w:type="page"/>
      </w:r>
    </w:p>
    <w:p w14:paraId="2A886880" w14:textId="758358E2" w:rsidR="00CF6E82" w:rsidRDefault="00884E37" w:rsidP="00884E37">
      <w:pPr>
        <w:pStyle w:val="SMcaption"/>
        <w:jc w:val="center"/>
        <w:rPr>
          <w:rFonts w:ascii="Arial" w:hAnsi="Arial"/>
          <w:sz w:val="20"/>
        </w:rPr>
      </w:pPr>
      <w:r>
        <w:rPr>
          <w:noProof/>
        </w:rPr>
        <w:lastRenderedPageBreak/>
        <w:drawing>
          <wp:inline distT="0" distB="0" distL="0" distR="0" wp14:anchorId="5AFA9EE8" wp14:editId="1CB8B84E">
            <wp:extent cx="2733675" cy="3385820"/>
            <wp:effectExtent l="0" t="0" r="952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3675" cy="3385820"/>
                    </a:xfrm>
                    <a:prstGeom prst="rect">
                      <a:avLst/>
                    </a:prstGeom>
                    <a:noFill/>
                    <a:ln>
                      <a:noFill/>
                    </a:ln>
                  </pic:spPr>
                </pic:pic>
              </a:graphicData>
            </a:graphic>
          </wp:inline>
        </w:drawing>
      </w:r>
    </w:p>
    <w:p w14:paraId="6AF2778E" w14:textId="72E15FB8" w:rsidR="00CF6E82" w:rsidRDefault="00CF6E82" w:rsidP="00CF6E82">
      <w:pPr>
        <w:pStyle w:val="SMcaption"/>
        <w:rPr>
          <w:rFonts w:ascii="Arial" w:hAnsi="Arial"/>
          <w:sz w:val="20"/>
        </w:rPr>
      </w:pPr>
    </w:p>
    <w:p w14:paraId="4B220DA7" w14:textId="7472AA96" w:rsidR="00CF6E82" w:rsidRDefault="00CF6E82" w:rsidP="00CF6E82">
      <w:pPr>
        <w:pStyle w:val="SMcaption"/>
        <w:rPr>
          <w:rFonts w:ascii="Arial" w:hAnsi="Arial"/>
          <w:sz w:val="20"/>
        </w:rPr>
      </w:pPr>
    </w:p>
    <w:p w14:paraId="6E074469" w14:textId="27D85D2B" w:rsidR="00CF6E82" w:rsidRDefault="00CF6E82" w:rsidP="00CF6E82">
      <w:pPr>
        <w:pStyle w:val="SMcaption"/>
        <w:rPr>
          <w:rFonts w:ascii="Arial" w:hAnsi="Arial"/>
          <w:sz w:val="20"/>
        </w:rPr>
      </w:pPr>
    </w:p>
    <w:p w14:paraId="756CF8B0" w14:textId="264698AD" w:rsidR="006C7538" w:rsidRPr="00DC623A" w:rsidRDefault="006C7538" w:rsidP="00884E37">
      <w:pPr>
        <w:pStyle w:val="SMHeading"/>
        <w:spacing w:line="360" w:lineRule="auto"/>
        <w:rPr>
          <w:rFonts w:ascii="Arial" w:hAnsi="Arial" w:cs="Arial"/>
          <w:b w:val="0"/>
          <w:sz w:val="20"/>
          <w:szCs w:val="20"/>
        </w:rPr>
      </w:pPr>
      <w:r w:rsidRPr="00DC623A">
        <w:rPr>
          <w:rFonts w:ascii="Arial" w:hAnsi="Arial" w:cs="Arial"/>
          <w:sz w:val="20"/>
          <w:szCs w:val="20"/>
        </w:rPr>
        <w:t>Fig. S</w:t>
      </w:r>
      <w:r w:rsidR="000540D8">
        <w:rPr>
          <w:rFonts w:ascii="Arial" w:hAnsi="Arial" w:cs="Arial"/>
          <w:sz w:val="20"/>
          <w:szCs w:val="20"/>
        </w:rPr>
        <w:t>2</w:t>
      </w:r>
      <w:r>
        <w:rPr>
          <w:rFonts w:ascii="Arial" w:hAnsi="Arial" w:cs="Arial"/>
          <w:sz w:val="20"/>
          <w:szCs w:val="20"/>
        </w:rPr>
        <w:t>.</w:t>
      </w:r>
      <w:r w:rsidRPr="006C7538">
        <w:rPr>
          <w:rFonts w:ascii="Arial" w:hAnsi="Arial" w:cs="Arial"/>
          <w:sz w:val="20"/>
          <w:szCs w:val="20"/>
        </w:rPr>
        <w:t xml:space="preserve"> Serum concentrations of E2</w:t>
      </w:r>
      <w:r>
        <w:rPr>
          <w:rFonts w:ascii="Arial" w:hAnsi="Arial" w:cs="Arial"/>
          <w:sz w:val="20"/>
          <w:szCs w:val="20"/>
        </w:rPr>
        <w:t>:</w:t>
      </w:r>
      <w:r w:rsidRPr="006C7538">
        <w:rPr>
          <w:rFonts w:ascii="Arial" w:hAnsi="Arial" w:cs="Arial"/>
          <w:sz w:val="20"/>
          <w:szCs w:val="20"/>
        </w:rPr>
        <w:t xml:space="preserve"> </w:t>
      </w:r>
      <w:r w:rsidRPr="006C7538">
        <w:rPr>
          <w:rFonts w:ascii="Arial" w:hAnsi="Arial" w:cs="Arial"/>
          <w:b w:val="0"/>
          <w:bCs w:val="0"/>
          <w:sz w:val="20"/>
          <w:szCs w:val="20"/>
        </w:rPr>
        <w:t>Box plot showing differences in the serum concentrations of 17β-estradiol (E2).</w:t>
      </w:r>
      <w:r>
        <w:rPr>
          <w:rFonts w:ascii="Arial" w:hAnsi="Arial" w:cs="Arial"/>
          <w:sz w:val="20"/>
          <w:szCs w:val="20"/>
        </w:rPr>
        <w:t xml:space="preserve"> </w:t>
      </w:r>
      <w:r w:rsidRPr="006C7538">
        <w:rPr>
          <w:rFonts w:ascii="Arial" w:hAnsi="Arial" w:cs="Arial"/>
          <w:b w:val="0"/>
          <w:bCs w:val="0"/>
          <w:sz w:val="20"/>
          <w:szCs w:val="20"/>
        </w:rPr>
        <w:t>Significance was determined via an unpaired t-test for the male-female comparisons and a paired t-test to compare across the menstrual cycle. FDR corrected p-values are shown. (* p &lt; 0.05; ** p &lt; 0.01).</w:t>
      </w:r>
    </w:p>
    <w:p w14:paraId="708D6794" w14:textId="77777777" w:rsidR="006C7538" w:rsidRDefault="006C7538" w:rsidP="006C7538">
      <w:pPr>
        <w:pStyle w:val="SMcaption"/>
        <w:rPr>
          <w:rFonts w:ascii="Arial" w:hAnsi="Arial" w:cs="Arial"/>
          <w:sz w:val="20"/>
        </w:rPr>
      </w:pPr>
    </w:p>
    <w:p w14:paraId="327AF930" w14:textId="32B6739D" w:rsidR="00CF6E82" w:rsidRDefault="00CF6E82" w:rsidP="00CF6E82">
      <w:pPr>
        <w:pStyle w:val="SMcaption"/>
        <w:rPr>
          <w:rFonts w:ascii="Arial" w:hAnsi="Arial"/>
          <w:sz w:val="20"/>
        </w:rPr>
      </w:pPr>
    </w:p>
    <w:p w14:paraId="1C7E2B53" w14:textId="41CA8C32" w:rsidR="006C7538" w:rsidRDefault="006C7538">
      <w:pPr>
        <w:rPr>
          <w:rFonts w:ascii="Arial" w:hAnsi="Arial"/>
          <w:sz w:val="20"/>
        </w:rPr>
      </w:pPr>
      <w:r>
        <w:rPr>
          <w:rFonts w:ascii="Arial" w:hAnsi="Arial"/>
          <w:sz w:val="20"/>
        </w:rPr>
        <w:br w:type="page"/>
      </w:r>
    </w:p>
    <w:p w14:paraId="12712B51" w14:textId="0EA14E1A" w:rsidR="00CF6E82" w:rsidRDefault="006C7538" w:rsidP="00CF6E82">
      <w:pPr>
        <w:pStyle w:val="SMcaption"/>
        <w:rPr>
          <w:rFonts w:ascii="Arial" w:hAnsi="Arial"/>
          <w:sz w:val="20"/>
        </w:rPr>
      </w:pPr>
      <w:r>
        <w:rPr>
          <w:noProof/>
        </w:rPr>
        <w:lastRenderedPageBreak/>
        <w:drawing>
          <wp:inline distT="0" distB="0" distL="0" distR="0" wp14:anchorId="5D3DFF54" wp14:editId="24EFB20A">
            <wp:extent cx="5486400" cy="3240416"/>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3240416"/>
                    </a:xfrm>
                    <a:prstGeom prst="rect">
                      <a:avLst/>
                    </a:prstGeom>
                    <a:noFill/>
                    <a:ln>
                      <a:noFill/>
                    </a:ln>
                  </pic:spPr>
                </pic:pic>
              </a:graphicData>
            </a:graphic>
          </wp:inline>
        </w:drawing>
      </w:r>
    </w:p>
    <w:p w14:paraId="491942B8" w14:textId="69216C4D" w:rsidR="00CF6E82" w:rsidRDefault="00CF6E82" w:rsidP="00CF6E82">
      <w:pPr>
        <w:pStyle w:val="SMcaption"/>
        <w:rPr>
          <w:rFonts w:ascii="Arial" w:hAnsi="Arial"/>
          <w:sz w:val="20"/>
        </w:rPr>
      </w:pPr>
    </w:p>
    <w:p w14:paraId="4244AF8C" w14:textId="016CFF99" w:rsidR="00CF6E82" w:rsidRDefault="00CF6E82" w:rsidP="00CF6E82">
      <w:pPr>
        <w:pStyle w:val="SMcaption"/>
        <w:rPr>
          <w:rFonts w:ascii="Arial" w:hAnsi="Arial"/>
          <w:sz w:val="20"/>
        </w:rPr>
      </w:pPr>
    </w:p>
    <w:p w14:paraId="4D964B53" w14:textId="19D49895" w:rsidR="006C7538" w:rsidRDefault="006C7538" w:rsidP="00CF6E82">
      <w:pPr>
        <w:pStyle w:val="SMcaption"/>
        <w:rPr>
          <w:rFonts w:ascii="Arial" w:hAnsi="Arial"/>
          <w:sz w:val="20"/>
        </w:rPr>
      </w:pPr>
    </w:p>
    <w:p w14:paraId="0BEE3A83" w14:textId="4D4777C6" w:rsidR="006C7538" w:rsidRDefault="006C7538" w:rsidP="00CF6E82">
      <w:pPr>
        <w:pStyle w:val="SMcaption"/>
        <w:rPr>
          <w:rFonts w:ascii="Arial" w:hAnsi="Arial"/>
          <w:sz w:val="20"/>
        </w:rPr>
      </w:pPr>
    </w:p>
    <w:p w14:paraId="0A724B5A" w14:textId="7D5BE356" w:rsidR="006C7538" w:rsidRPr="00DC623A" w:rsidRDefault="006C7538" w:rsidP="00884E37">
      <w:pPr>
        <w:pStyle w:val="SMHeading"/>
        <w:spacing w:line="360" w:lineRule="auto"/>
        <w:rPr>
          <w:rFonts w:ascii="Arial" w:hAnsi="Arial" w:cs="Arial"/>
          <w:b w:val="0"/>
          <w:sz w:val="20"/>
          <w:szCs w:val="20"/>
        </w:rPr>
      </w:pPr>
      <w:r w:rsidRPr="00DC623A">
        <w:rPr>
          <w:rFonts w:ascii="Arial" w:hAnsi="Arial" w:cs="Arial"/>
          <w:sz w:val="20"/>
          <w:szCs w:val="20"/>
        </w:rPr>
        <w:t>Fig. S</w:t>
      </w:r>
      <w:r w:rsidR="000540D8">
        <w:rPr>
          <w:rFonts w:ascii="Arial" w:hAnsi="Arial" w:cs="Arial"/>
          <w:sz w:val="20"/>
          <w:szCs w:val="20"/>
        </w:rPr>
        <w:t>3</w:t>
      </w:r>
      <w:r>
        <w:rPr>
          <w:rFonts w:ascii="Arial" w:hAnsi="Arial" w:cs="Arial"/>
          <w:sz w:val="20"/>
          <w:szCs w:val="20"/>
        </w:rPr>
        <w:t>.</w:t>
      </w:r>
      <w:r w:rsidRPr="006C7538">
        <w:rPr>
          <w:rFonts w:ascii="Arial" w:hAnsi="Arial" w:cs="Arial"/>
          <w:sz w:val="20"/>
          <w:szCs w:val="20"/>
        </w:rPr>
        <w:t xml:space="preserve"> Oestrogen receptor expression in MGLs</w:t>
      </w:r>
      <w:r>
        <w:rPr>
          <w:rFonts w:ascii="Arial" w:hAnsi="Arial" w:cs="Arial"/>
          <w:sz w:val="20"/>
          <w:szCs w:val="20"/>
        </w:rPr>
        <w:t>:</w:t>
      </w:r>
      <w:r w:rsidRPr="006C7538">
        <w:rPr>
          <w:rFonts w:ascii="Arial" w:hAnsi="Arial" w:cs="Arial"/>
          <w:sz w:val="20"/>
          <w:szCs w:val="20"/>
        </w:rPr>
        <w:t xml:space="preserve"> </w:t>
      </w:r>
      <w:r w:rsidRPr="006C7538">
        <w:rPr>
          <w:rFonts w:ascii="Arial" w:hAnsi="Arial" w:cs="Arial"/>
          <w:b w:val="0"/>
          <w:bCs w:val="0"/>
          <w:sz w:val="20"/>
          <w:szCs w:val="20"/>
        </w:rPr>
        <w:t>Violin and box plots showing the kernel probability, the median, and interquartile range of the normalized expression counts of ESR1 and GPER1.</w:t>
      </w:r>
    </w:p>
    <w:p w14:paraId="49CACC02" w14:textId="040143D8" w:rsidR="006C7538" w:rsidRDefault="006C7538" w:rsidP="00884E37">
      <w:pPr>
        <w:pStyle w:val="SMcaption"/>
        <w:spacing w:line="360" w:lineRule="auto"/>
        <w:rPr>
          <w:rFonts w:ascii="Arial" w:hAnsi="Arial"/>
          <w:sz w:val="20"/>
        </w:rPr>
      </w:pPr>
    </w:p>
    <w:p w14:paraId="3F946426" w14:textId="3AD2E5DD" w:rsidR="006C7538" w:rsidRDefault="006C7538" w:rsidP="00CF6E82">
      <w:pPr>
        <w:pStyle w:val="SMcaption"/>
        <w:rPr>
          <w:rFonts w:ascii="Arial" w:hAnsi="Arial"/>
          <w:sz w:val="20"/>
        </w:rPr>
      </w:pPr>
    </w:p>
    <w:p w14:paraId="47C923E1" w14:textId="77777777" w:rsidR="006C7538" w:rsidRDefault="006C7538" w:rsidP="00CF6E82">
      <w:pPr>
        <w:pStyle w:val="SMcaption"/>
        <w:rPr>
          <w:rFonts w:ascii="Arial" w:hAnsi="Arial"/>
          <w:sz w:val="20"/>
        </w:rPr>
      </w:pPr>
    </w:p>
    <w:p w14:paraId="49A5743A" w14:textId="6B68A53E" w:rsidR="00CF6E82" w:rsidRDefault="00CF6E82" w:rsidP="00CF6E82">
      <w:pPr>
        <w:pStyle w:val="SMcaption"/>
        <w:rPr>
          <w:rFonts w:ascii="Arial" w:hAnsi="Arial"/>
          <w:sz w:val="20"/>
        </w:rPr>
      </w:pPr>
    </w:p>
    <w:p w14:paraId="28982300" w14:textId="6F838AFE" w:rsidR="00CF6E82" w:rsidRDefault="00CF6E82" w:rsidP="00CF6E82">
      <w:pPr>
        <w:pStyle w:val="SMcaption"/>
        <w:rPr>
          <w:rFonts w:ascii="Arial" w:hAnsi="Arial"/>
          <w:sz w:val="20"/>
        </w:rPr>
      </w:pPr>
    </w:p>
    <w:p w14:paraId="0AF77A97" w14:textId="77777777" w:rsidR="009F443C" w:rsidRPr="00DC623A" w:rsidRDefault="002A7905" w:rsidP="009F443C">
      <w:pPr>
        <w:pStyle w:val="SMText"/>
        <w:ind w:firstLine="0"/>
        <w:rPr>
          <w:rFonts w:ascii="Arial" w:hAnsi="Arial" w:cs="Arial"/>
          <w:sz w:val="20"/>
        </w:rPr>
      </w:pPr>
      <w:r>
        <w:rPr>
          <w:rFonts w:ascii="Arial" w:hAnsi="Arial" w:cs="Arial"/>
          <w:sz w:val="20"/>
        </w:rPr>
        <w:br w:type="page"/>
      </w:r>
      <w:r w:rsidR="009F443C">
        <w:rPr>
          <w:noProof/>
        </w:rPr>
        <w:lastRenderedPageBreak/>
        <w:drawing>
          <wp:inline distT="0" distB="0" distL="0" distR="0" wp14:anchorId="7541A685" wp14:editId="729E3925">
            <wp:extent cx="5486400" cy="4495614"/>
            <wp:effectExtent l="0" t="0" r="0" b="635"/>
            <wp:docPr id="6" name="Picture 6"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diagram, rada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4495614"/>
                    </a:xfrm>
                    <a:prstGeom prst="rect">
                      <a:avLst/>
                    </a:prstGeom>
                    <a:noFill/>
                    <a:ln>
                      <a:noFill/>
                    </a:ln>
                  </pic:spPr>
                </pic:pic>
              </a:graphicData>
            </a:graphic>
          </wp:inline>
        </w:drawing>
      </w:r>
    </w:p>
    <w:p w14:paraId="5326AD73" w14:textId="77777777" w:rsidR="009F443C" w:rsidRDefault="009F443C" w:rsidP="009F443C">
      <w:pPr>
        <w:pStyle w:val="SMHeading"/>
        <w:rPr>
          <w:rFonts w:ascii="Arial" w:hAnsi="Arial" w:cs="Arial"/>
          <w:sz w:val="20"/>
          <w:szCs w:val="20"/>
        </w:rPr>
      </w:pPr>
    </w:p>
    <w:p w14:paraId="0DD8F045" w14:textId="492D46D0" w:rsidR="009F443C" w:rsidRPr="00DC623A" w:rsidRDefault="009F443C" w:rsidP="009F443C">
      <w:pPr>
        <w:pStyle w:val="SMHeading"/>
        <w:spacing w:line="360" w:lineRule="auto"/>
        <w:jc w:val="both"/>
        <w:rPr>
          <w:rFonts w:ascii="Arial" w:hAnsi="Arial" w:cs="Arial"/>
          <w:b w:val="0"/>
          <w:sz w:val="20"/>
          <w:szCs w:val="20"/>
        </w:rPr>
      </w:pPr>
      <w:r w:rsidRPr="00DC623A">
        <w:rPr>
          <w:rFonts w:ascii="Arial" w:hAnsi="Arial" w:cs="Arial"/>
          <w:sz w:val="20"/>
          <w:szCs w:val="20"/>
        </w:rPr>
        <w:t>Fig. S</w:t>
      </w:r>
      <w:r>
        <w:rPr>
          <w:rFonts w:ascii="Arial" w:hAnsi="Arial" w:cs="Arial"/>
          <w:sz w:val="20"/>
          <w:szCs w:val="20"/>
        </w:rPr>
        <w:t>4</w:t>
      </w:r>
      <w:r w:rsidRPr="00DC623A">
        <w:rPr>
          <w:rFonts w:ascii="Arial" w:hAnsi="Arial" w:cs="Arial"/>
          <w:sz w:val="20"/>
          <w:szCs w:val="20"/>
        </w:rPr>
        <w:t xml:space="preserve">. </w:t>
      </w:r>
      <w:r w:rsidRPr="00CF6E82">
        <w:rPr>
          <w:rFonts w:ascii="Arial" w:hAnsi="Arial" w:cs="Arial"/>
          <w:bCs w:val="0"/>
          <w:sz w:val="20"/>
          <w:szCs w:val="20"/>
        </w:rPr>
        <w:t>Expression of microglial genes in MGLs</w:t>
      </w:r>
      <w:r>
        <w:rPr>
          <w:rFonts w:ascii="Arial" w:hAnsi="Arial" w:cs="Arial"/>
          <w:bCs w:val="0"/>
          <w:sz w:val="20"/>
          <w:szCs w:val="20"/>
        </w:rPr>
        <w:t xml:space="preserve">: </w:t>
      </w:r>
      <w:r w:rsidRPr="00CF6E82">
        <w:rPr>
          <w:rFonts w:ascii="Arial" w:hAnsi="Arial" w:cs="Arial"/>
          <w:b w:val="0"/>
          <w:sz w:val="20"/>
          <w:szCs w:val="20"/>
        </w:rPr>
        <w:t>Violin and box plots of the normalized expression counts of key microglial genes, including IBA1/AIF1, ITGAM (CD11b), ITGAX (CD11c), P2RY12, TMEM119, and CX3CR1 in male and female induced pluripotent stem cell-derived microglial-like cells (MGLs).</w:t>
      </w:r>
    </w:p>
    <w:p w14:paraId="10C22F57" w14:textId="56863239" w:rsidR="009F443C" w:rsidRDefault="009F443C">
      <w:pPr>
        <w:rPr>
          <w:rFonts w:ascii="Arial" w:hAnsi="Arial" w:cs="Arial"/>
          <w:sz w:val="20"/>
        </w:rPr>
      </w:pPr>
      <w:r>
        <w:rPr>
          <w:rFonts w:ascii="Arial" w:hAnsi="Arial" w:cs="Arial"/>
          <w:sz w:val="20"/>
        </w:rPr>
        <w:br w:type="page"/>
      </w:r>
    </w:p>
    <w:p w14:paraId="629BB83A" w14:textId="77777777" w:rsidR="002A7905" w:rsidRDefault="002A7905">
      <w:pPr>
        <w:rPr>
          <w:rFonts w:ascii="Arial" w:hAnsi="Arial" w:cs="Arial"/>
          <w:sz w:val="20"/>
        </w:rPr>
      </w:pPr>
    </w:p>
    <w:p w14:paraId="07F77CC0" w14:textId="7CCA944A" w:rsidR="007843C9" w:rsidRPr="0069245A" w:rsidRDefault="0069245A" w:rsidP="006C7538">
      <w:pPr>
        <w:pStyle w:val="NormalWeb"/>
        <w:shd w:val="clear" w:color="auto" w:fill="FFFFFF"/>
        <w:textAlignment w:val="baseline"/>
        <w:rPr>
          <w:rFonts w:ascii="Calibri" w:hAnsi="Calibri" w:cs="Calibri"/>
          <w:color w:val="000000"/>
          <w:sz w:val="22"/>
          <w:szCs w:val="22"/>
          <w:lang w:val="en-GB" w:eastAsia="en-GB"/>
        </w:rPr>
      </w:pPr>
      <w:r w:rsidRPr="0069245A">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sidRPr="0069245A">
        <w:rPr>
          <w:rFonts w:ascii="Calibri" w:hAnsi="Calibri" w:cs="Calibri"/>
          <w:b/>
          <w:bCs/>
          <w:color w:val="000000"/>
          <w:sz w:val="22"/>
          <w:szCs w:val="22"/>
          <w:lang w:val="en-GB" w:eastAsia="en-GB"/>
        </w:rPr>
        <w:t xml:space="preserve">1: </w:t>
      </w:r>
      <w:r w:rsidRPr="0069245A">
        <w:rPr>
          <w:rFonts w:ascii="Calibri" w:hAnsi="Calibri" w:cs="Calibri"/>
          <w:color w:val="000000"/>
          <w:sz w:val="22"/>
          <w:szCs w:val="22"/>
          <w:lang w:val="en-GB" w:eastAsia="en-GB"/>
        </w:rPr>
        <w:t xml:space="preserve">Sexually differentially expressed genes in the microglial nuclei. </w:t>
      </w:r>
    </w:p>
    <w:p w14:paraId="4E28757B" w14:textId="77777777" w:rsidR="0069245A" w:rsidRDefault="0069245A" w:rsidP="006C7538">
      <w:pPr>
        <w:pStyle w:val="NormalWeb"/>
        <w:shd w:val="clear" w:color="auto" w:fill="FFFFFF"/>
        <w:textAlignment w:val="baseline"/>
        <w:rPr>
          <w:rFonts w:ascii="Arial" w:hAnsi="Arial" w:cs="Arial"/>
          <w:sz w:val="20"/>
          <w:szCs w:val="20"/>
        </w:rPr>
      </w:pPr>
    </w:p>
    <w:p w14:paraId="49DBF73E" w14:textId="12B24C4C" w:rsidR="002A7905" w:rsidRDefault="002A7905" w:rsidP="0069245A">
      <w:pPr>
        <w:rPr>
          <w:rFonts w:ascii="Calibri" w:hAnsi="Calibri" w:cs="Calibri"/>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sidRPr="002A7905">
        <w:rPr>
          <w:rFonts w:ascii="Calibri" w:hAnsi="Calibri" w:cs="Calibri"/>
          <w:b/>
          <w:bCs/>
          <w:color w:val="000000"/>
          <w:sz w:val="22"/>
          <w:szCs w:val="22"/>
          <w:lang w:val="en-GB" w:eastAsia="en-GB"/>
        </w:rPr>
        <w:t xml:space="preserve">2: </w:t>
      </w:r>
      <w:r w:rsidR="0069245A" w:rsidRPr="0069245A">
        <w:rPr>
          <w:rFonts w:ascii="Calibri" w:hAnsi="Calibri" w:cs="Calibri"/>
          <w:color w:val="000000"/>
          <w:sz w:val="22"/>
          <w:szCs w:val="22"/>
          <w:lang w:val="en-GB" w:eastAsia="en-GB"/>
        </w:rPr>
        <w:t>Genes comprising each of the IR-AD gene sets</w:t>
      </w:r>
    </w:p>
    <w:p w14:paraId="23A1C430" w14:textId="77777777" w:rsidR="0069245A" w:rsidRDefault="0069245A" w:rsidP="0069245A">
      <w:pPr>
        <w:rPr>
          <w:rFonts w:ascii="Arial" w:hAnsi="Arial" w:cs="Arial"/>
          <w:sz w:val="20"/>
        </w:rPr>
      </w:pPr>
    </w:p>
    <w:p w14:paraId="7A4115AF" w14:textId="0AC43FA0" w:rsidR="002A7905" w:rsidRDefault="002A7905" w:rsidP="0069245A">
      <w:pPr>
        <w:rPr>
          <w:rFonts w:ascii="Calibri" w:hAnsi="Calibri" w:cs="Calibri"/>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sidRPr="002A7905">
        <w:rPr>
          <w:rFonts w:ascii="Calibri" w:hAnsi="Calibri" w:cs="Calibri"/>
          <w:b/>
          <w:bCs/>
          <w:color w:val="000000"/>
          <w:sz w:val="22"/>
          <w:szCs w:val="22"/>
          <w:lang w:val="en-GB" w:eastAsia="en-GB"/>
        </w:rPr>
        <w:t xml:space="preserve">3: </w:t>
      </w:r>
      <w:r w:rsidR="0069245A" w:rsidRPr="0069245A">
        <w:rPr>
          <w:rFonts w:ascii="Calibri" w:hAnsi="Calibri" w:cs="Calibri"/>
          <w:color w:val="000000"/>
          <w:sz w:val="22"/>
          <w:szCs w:val="22"/>
          <w:lang w:val="en-GB" w:eastAsia="en-GB"/>
        </w:rPr>
        <w:t>Sexually differentially expressed genes between the F- and M-MCs</w:t>
      </w:r>
    </w:p>
    <w:p w14:paraId="04F84557" w14:textId="77777777" w:rsidR="0069245A" w:rsidRDefault="0069245A" w:rsidP="0069245A">
      <w:pPr>
        <w:rPr>
          <w:rFonts w:ascii="Arial" w:hAnsi="Arial" w:cs="Arial"/>
          <w:sz w:val="20"/>
        </w:rPr>
      </w:pPr>
    </w:p>
    <w:p w14:paraId="1353ED4B" w14:textId="3F9522F0" w:rsidR="002A7905" w:rsidRPr="002A7905" w:rsidRDefault="002A7905" w:rsidP="002A7905">
      <w:pPr>
        <w:rPr>
          <w:rFonts w:ascii="Calibri" w:hAnsi="Calibri" w:cs="Calibri"/>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sidRPr="002A7905">
        <w:rPr>
          <w:rFonts w:ascii="Calibri" w:hAnsi="Calibri" w:cs="Calibri"/>
          <w:b/>
          <w:bCs/>
          <w:color w:val="000000"/>
          <w:sz w:val="22"/>
          <w:szCs w:val="22"/>
          <w:lang w:val="en-GB" w:eastAsia="en-GB"/>
        </w:rPr>
        <w:t xml:space="preserve">4: </w:t>
      </w:r>
      <w:r w:rsidR="0069245A" w:rsidRPr="0069245A">
        <w:rPr>
          <w:rFonts w:ascii="Calibri" w:hAnsi="Calibri" w:cs="Calibri"/>
          <w:color w:val="000000"/>
          <w:sz w:val="22"/>
          <w:szCs w:val="22"/>
          <w:lang w:val="en-GB" w:eastAsia="en-GB"/>
        </w:rPr>
        <w:t>GSVA of IR-AD gene sets between F</w:t>
      </w:r>
      <w:r w:rsidR="0069245A" w:rsidRPr="0069245A">
        <w:rPr>
          <w:rFonts w:ascii="Calibri" w:hAnsi="Calibri" w:cs="Calibri"/>
          <w:color w:val="000000"/>
          <w:sz w:val="22"/>
          <w:szCs w:val="22"/>
          <w:vertAlign w:val="subscript"/>
          <w:lang w:val="en-GB" w:eastAsia="en-GB"/>
        </w:rPr>
        <w:t>lo</w:t>
      </w:r>
      <w:r w:rsidR="0069245A" w:rsidRPr="0069245A">
        <w:rPr>
          <w:rFonts w:ascii="Calibri" w:hAnsi="Calibri" w:cs="Calibri"/>
          <w:color w:val="000000"/>
          <w:sz w:val="22"/>
          <w:szCs w:val="22"/>
          <w:lang w:val="en-GB" w:eastAsia="en-GB"/>
        </w:rPr>
        <w:t>- and F</w:t>
      </w:r>
      <w:r w:rsidR="0069245A" w:rsidRPr="0069245A">
        <w:rPr>
          <w:rFonts w:ascii="Calibri" w:hAnsi="Calibri" w:cs="Calibri"/>
          <w:color w:val="000000"/>
          <w:sz w:val="22"/>
          <w:szCs w:val="22"/>
          <w:vertAlign w:val="subscript"/>
          <w:lang w:val="en-GB" w:eastAsia="en-GB"/>
        </w:rPr>
        <w:t>hi</w:t>
      </w:r>
      <w:r w:rsidR="0069245A" w:rsidRPr="0069245A">
        <w:rPr>
          <w:rFonts w:ascii="Calibri" w:hAnsi="Calibri" w:cs="Calibri"/>
          <w:color w:val="000000"/>
          <w:sz w:val="22"/>
          <w:szCs w:val="22"/>
          <w:lang w:val="en-GB" w:eastAsia="en-GB"/>
        </w:rPr>
        <w:t>-MDMs results</w:t>
      </w:r>
    </w:p>
    <w:p w14:paraId="03EC1F71" w14:textId="08ED4F21" w:rsidR="002A7905" w:rsidRDefault="002A7905" w:rsidP="006C7538">
      <w:pPr>
        <w:pStyle w:val="NormalWeb"/>
        <w:shd w:val="clear" w:color="auto" w:fill="FFFFFF"/>
        <w:textAlignment w:val="baseline"/>
        <w:rPr>
          <w:rFonts w:ascii="Arial" w:hAnsi="Arial" w:cs="Arial"/>
          <w:sz w:val="20"/>
          <w:szCs w:val="20"/>
        </w:rPr>
      </w:pPr>
    </w:p>
    <w:p w14:paraId="5935E0A8" w14:textId="1F4F19BA" w:rsidR="002A7905" w:rsidRPr="002A7905" w:rsidRDefault="002A7905" w:rsidP="002A7905">
      <w:pPr>
        <w:rPr>
          <w:rFonts w:ascii="Calibri" w:hAnsi="Calibri" w:cs="Calibri"/>
          <w:b/>
          <w:bCs/>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sidRPr="002A7905">
        <w:rPr>
          <w:rFonts w:ascii="Calibri" w:hAnsi="Calibri" w:cs="Calibri"/>
          <w:b/>
          <w:bCs/>
          <w:color w:val="000000"/>
          <w:sz w:val="22"/>
          <w:szCs w:val="22"/>
          <w:lang w:val="en-GB" w:eastAsia="en-GB"/>
        </w:rPr>
        <w:t xml:space="preserve">5: </w:t>
      </w:r>
      <w:r w:rsidR="0069245A" w:rsidRPr="0069245A">
        <w:rPr>
          <w:rFonts w:ascii="Calibri" w:hAnsi="Calibri" w:cs="Calibri"/>
          <w:color w:val="000000"/>
          <w:sz w:val="22"/>
          <w:szCs w:val="22"/>
          <w:lang w:val="en-GB" w:eastAsia="en-GB"/>
        </w:rPr>
        <w:t>Sexually differentially expressed genes between the F</w:t>
      </w:r>
      <w:r w:rsidR="0069245A" w:rsidRPr="0069245A">
        <w:rPr>
          <w:rFonts w:ascii="Calibri" w:hAnsi="Calibri" w:cs="Calibri"/>
          <w:color w:val="000000"/>
          <w:sz w:val="22"/>
          <w:szCs w:val="22"/>
          <w:vertAlign w:val="subscript"/>
          <w:lang w:val="en-GB" w:eastAsia="en-GB"/>
        </w:rPr>
        <w:t>lo</w:t>
      </w:r>
      <w:r w:rsidR="0069245A" w:rsidRPr="0069245A">
        <w:rPr>
          <w:rFonts w:ascii="Calibri" w:hAnsi="Calibri" w:cs="Calibri"/>
          <w:color w:val="000000"/>
          <w:sz w:val="22"/>
          <w:szCs w:val="22"/>
          <w:lang w:val="en-GB" w:eastAsia="en-GB"/>
        </w:rPr>
        <w:t>- and M-MDMs.</w:t>
      </w:r>
    </w:p>
    <w:p w14:paraId="13015792" w14:textId="3B4EF98B" w:rsidR="002A7905" w:rsidRDefault="002A7905" w:rsidP="006C7538">
      <w:pPr>
        <w:pStyle w:val="NormalWeb"/>
        <w:shd w:val="clear" w:color="auto" w:fill="FFFFFF"/>
        <w:textAlignment w:val="baseline"/>
        <w:rPr>
          <w:rFonts w:ascii="Arial" w:hAnsi="Arial" w:cs="Arial"/>
          <w:sz w:val="20"/>
          <w:szCs w:val="20"/>
        </w:rPr>
      </w:pPr>
    </w:p>
    <w:p w14:paraId="5D022C1D" w14:textId="20AF0037" w:rsidR="002A7905" w:rsidRPr="002A7905" w:rsidRDefault="002A7905" w:rsidP="002A7905">
      <w:pPr>
        <w:rPr>
          <w:rFonts w:ascii="Calibri" w:hAnsi="Calibri" w:cs="Calibri"/>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Pr>
          <w:rFonts w:ascii="Calibri" w:hAnsi="Calibri" w:cs="Calibri"/>
          <w:b/>
          <w:bCs/>
          <w:color w:val="000000"/>
          <w:sz w:val="22"/>
          <w:szCs w:val="22"/>
          <w:lang w:val="en-GB" w:eastAsia="en-GB"/>
        </w:rPr>
        <w:t>6</w:t>
      </w:r>
      <w:r w:rsidRPr="002A7905">
        <w:rPr>
          <w:rFonts w:ascii="Calibri" w:hAnsi="Calibri" w:cs="Calibri"/>
          <w:b/>
          <w:bCs/>
          <w:color w:val="000000"/>
          <w:sz w:val="22"/>
          <w:szCs w:val="22"/>
          <w:lang w:val="en-GB" w:eastAsia="en-GB"/>
        </w:rPr>
        <w:t xml:space="preserve">: </w:t>
      </w:r>
      <w:r w:rsidR="0069245A" w:rsidRPr="0069245A">
        <w:rPr>
          <w:rFonts w:ascii="Calibri" w:hAnsi="Calibri" w:cs="Calibri"/>
          <w:color w:val="000000"/>
          <w:sz w:val="22"/>
          <w:szCs w:val="22"/>
          <w:lang w:val="en-GB" w:eastAsia="en-GB"/>
        </w:rPr>
        <w:t>Sexually differentially expressed reactome pathways between the F</w:t>
      </w:r>
      <w:r w:rsidR="0069245A" w:rsidRPr="0069245A">
        <w:rPr>
          <w:rFonts w:ascii="Calibri" w:hAnsi="Calibri" w:cs="Calibri"/>
          <w:color w:val="000000"/>
          <w:sz w:val="22"/>
          <w:szCs w:val="22"/>
          <w:vertAlign w:val="subscript"/>
          <w:lang w:val="en-GB" w:eastAsia="en-GB"/>
        </w:rPr>
        <w:t>lo</w:t>
      </w:r>
      <w:r w:rsidR="0069245A" w:rsidRPr="0069245A">
        <w:rPr>
          <w:rFonts w:ascii="Calibri" w:hAnsi="Calibri" w:cs="Calibri"/>
          <w:color w:val="000000"/>
          <w:sz w:val="22"/>
          <w:szCs w:val="22"/>
          <w:lang w:val="en-GB" w:eastAsia="en-GB"/>
        </w:rPr>
        <w:t>- and M-MDMs.</w:t>
      </w:r>
    </w:p>
    <w:p w14:paraId="5FC80EA7" w14:textId="7AD610DB" w:rsidR="002A7905" w:rsidRDefault="002A7905" w:rsidP="006C7538">
      <w:pPr>
        <w:pStyle w:val="NormalWeb"/>
        <w:shd w:val="clear" w:color="auto" w:fill="FFFFFF"/>
        <w:textAlignment w:val="baseline"/>
        <w:rPr>
          <w:rFonts w:ascii="Arial" w:hAnsi="Arial" w:cs="Arial"/>
          <w:sz w:val="20"/>
          <w:szCs w:val="20"/>
        </w:rPr>
      </w:pPr>
    </w:p>
    <w:p w14:paraId="0275F645" w14:textId="6AC9FCF5" w:rsidR="002A7905" w:rsidRPr="002A7905" w:rsidRDefault="002A7905" w:rsidP="002A7905">
      <w:pPr>
        <w:rPr>
          <w:rFonts w:ascii="Calibri" w:hAnsi="Calibri" w:cs="Calibri"/>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sidRPr="002A7905">
        <w:rPr>
          <w:rFonts w:ascii="Calibri" w:hAnsi="Calibri" w:cs="Calibri"/>
          <w:b/>
          <w:bCs/>
          <w:color w:val="000000"/>
          <w:sz w:val="22"/>
          <w:szCs w:val="22"/>
          <w:lang w:val="en-GB" w:eastAsia="en-GB"/>
        </w:rPr>
        <w:t xml:space="preserve">7: </w:t>
      </w:r>
      <w:r w:rsidR="00451112" w:rsidRPr="002A7905">
        <w:rPr>
          <w:rFonts w:ascii="Calibri" w:hAnsi="Calibri" w:cs="Calibri"/>
          <w:color w:val="000000"/>
          <w:sz w:val="22"/>
          <w:szCs w:val="22"/>
          <w:lang w:val="en-GB" w:eastAsia="en-GB"/>
        </w:rPr>
        <w:t>Differentially expressed reactome pathways between the F</w:t>
      </w:r>
      <w:r w:rsidR="00451112" w:rsidRPr="002A7905">
        <w:rPr>
          <w:rFonts w:ascii="Calibri" w:hAnsi="Calibri" w:cs="Calibri"/>
          <w:color w:val="000000"/>
          <w:sz w:val="22"/>
          <w:szCs w:val="22"/>
          <w:vertAlign w:val="subscript"/>
          <w:lang w:val="en-GB" w:eastAsia="en-GB"/>
        </w:rPr>
        <w:t>lo</w:t>
      </w:r>
      <w:r w:rsidR="00451112" w:rsidRPr="002A7905">
        <w:rPr>
          <w:rFonts w:ascii="Calibri" w:hAnsi="Calibri" w:cs="Calibri"/>
          <w:color w:val="000000"/>
          <w:sz w:val="22"/>
          <w:szCs w:val="22"/>
          <w:lang w:val="en-GB" w:eastAsia="en-GB"/>
        </w:rPr>
        <w:t>- and F</w:t>
      </w:r>
      <w:r w:rsidR="00451112" w:rsidRPr="002A7905">
        <w:rPr>
          <w:rFonts w:ascii="Calibri" w:hAnsi="Calibri" w:cs="Calibri"/>
          <w:color w:val="000000"/>
          <w:sz w:val="22"/>
          <w:szCs w:val="22"/>
          <w:vertAlign w:val="subscript"/>
          <w:lang w:val="en-GB" w:eastAsia="en-GB"/>
        </w:rPr>
        <w:t>hi</w:t>
      </w:r>
      <w:r w:rsidR="00451112" w:rsidRPr="002A7905">
        <w:rPr>
          <w:rFonts w:ascii="Calibri" w:hAnsi="Calibri" w:cs="Calibri"/>
          <w:color w:val="000000"/>
          <w:sz w:val="22"/>
          <w:szCs w:val="22"/>
          <w:lang w:val="en-GB" w:eastAsia="en-GB"/>
        </w:rPr>
        <w:t>-MDMs.</w:t>
      </w:r>
    </w:p>
    <w:p w14:paraId="01518E49" w14:textId="02757283" w:rsidR="002A7905" w:rsidRDefault="002A7905" w:rsidP="006C7538">
      <w:pPr>
        <w:pStyle w:val="NormalWeb"/>
        <w:shd w:val="clear" w:color="auto" w:fill="FFFFFF"/>
        <w:textAlignment w:val="baseline"/>
        <w:rPr>
          <w:rFonts w:ascii="Arial" w:hAnsi="Arial" w:cs="Arial"/>
          <w:sz w:val="20"/>
          <w:szCs w:val="20"/>
        </w:rPr>
      </w:pPr>
    </w:p>
    <w:p w14:paraId="1323FAE4" w14:textId="5616FAD9" w:rsidR="002A7905" w:rsidRDefault="002A7905" w:rsidP="002A7905">
      <w:pPr>
        <w:rPr>
          <w:rFonts w:ascii="Calibri" w:hAnsi="Calibri" w:cs="Calibri"/>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sidRPr="002A7905">
        <w:rPr>
          <w:rFonts w:ascii="Calibri" w:hAnsi="Calibri" w:cs="Calibri"/>
          <w:b/>
          <w:bCs/>
          <w:color w:val="000000"/>
          <w:sz w:val="22"/>
          <w:szCs w:val="22"/>
          <w:lang w:val="en-GB" w:eastAsia="en-GB"/>
        </w:rPr>
        <w:t xml:space="preserve">8: </w:t>
      </w:r>
      <w:r w:rsidR="00451112" w:rsidRPr="00451112">
        <w:rPr>
          <w:rFonts w:ascii="Calibri" w:hAnsi="Calibri" w:cs="Calibri"/>
          <w:color w:val="000000"/>
          <w:sz w:val="22"/>
          <w:szCs w:val="22"/>
          <w:lang w:val="en-GB" w:eastAsia="en-GB"/>
        </w:rPr>
        <w:t>Smith et al., (2021) Sample specific metadata</w:t>
      </w:r>
      <w:r w:rsidR="00451112">
        <w:rPr>
          <w:rFonts w:ascii="Calibri" w:hAnsi="Calibri" w:cs="Calibri"/>
          <w:color w:val="000000"/>
          <w:sz w:val="22"/>
          <w:szCs w:val="22"/>
          <w:lang w:val="en-GB" w:eastAsia="en-GB"/>
        </w:rPr>
        <w:t>.</w:t>
      </w:r>
    </w:p>
    <w:p w14:paraId="14E893C4" w14:textId="397976FB" w:rsidR="00451112" w:rsidRDefault="00451112" w:rsidP="002A7905">
      <w:pPr>
        <w:rPr>
          <w:rFonts w:ascii="Calibri" w:hAnsi="Calibri" w:cs="Calibri"/>
          <w:color w:val="000000"/>
          <w:sz w:val="22"/>
          <w:szCs w:val="22"/>
          <w:lang w:val="en-GB" w:eastAsia="en-GB"/>
        </w:rPr>
      </w:pPr>
    </w:p>
    <w:p w14:paraId="03D65E8B" w14:textId="4DCFCA06" w:rsidR="00451112" w:rsidRDefault="00451112" w:rsidP="002A7905">
      <w:pPr>
        <w:rPr>
          <w:rFonts w:ascii="Calibri" w:hAnsi="Calibri" w:cs="Calibri"/>
          <w:color w:val="000000"/>
          <w:sz w:val="22"/>
          <w:szCs w:val="22"/>
          <w:lang w:val="en-GB" w:eastAsia="en-GB"/>
        </w:rPr>
      </w:pPr>
      <w:r w:rsidRPr="002A7905">
        <w:rPr>
          <w:rFonts w:ascii="Calibri" w:hAnsi="Calibri" w:cs="Calibri"/>
          <w:b/>
          <w:bCs/>
          <w:color w:val="000000"/>
          <w:sz w:val="22"/>
          <w:szCs w:val="22"/>
          <w:lang w:val="en-GB" w:eastAsia="en-GB"/>
        </w:rPr>
        <w:t xml:space="preserve">Table </w:t>
      </w:r>
      <w:r w:rsidR="00EB377C">
        <w:rPr>
          <w:rFonts w:ascii="Calibri" w:hAnsi="Calibri" w:cs="Calibri"/>
          <w:b/>
          <w:bCs/>
          <w:color w:val="000000"/>
          <w:sz w:val="22"/>
          <w:szCs w:val="22"/>
          <w:lang w:val="en-GB" w:eastAsia="en-GB"/>
        </w:rPr>
        <w:t>S</w:t>
      </w:r>
      <w:r>
        <w:rPr>
          <w:rFonts w:ascii="Calibri" w:hAnsi="Calibri" w:cs="Calibri"/>
          <w:b/>
          <w:bCs/>
          <w:color w:val="000000"/>
          <w:sz w:val="22"/>
          <w:szCs w:val="22"/>
          <w:lang w:val="en-GB" w:eastAsia="en-GB"/>
        </w:rPr>
        <w:t>9</w:t>
      </w:r>
      <w:r w:rsidRPr="002A7905">
        <w:rPr>
          <w:rFonts w:ascii="Calibri" w:hAnsi="Calibri" w:cs="Calibri"/>
          <w:b/>
          <w:bCs/>
          <w:color w:val="000000"/>
          <w:sz w:val="22"/>
          <w:szCs w:val="22"/>
          <w:lang w:val="en-GB" w:eastAsia="en-GB"/>
        </w:rPr>
        <w:t xml:space="preserve">: </w:t>
      </w:r>
      <w:r w:rsidRPr="00451112">
        <w:rPr>
          <w:rFonts w:ascii="Calibri" w:hAnsi="Calibri" w:cs="Calibri"/>
          <w:color w:val="000000"/>
          <w:sz w:val="22"/>
          <w:szCs w:val="22"/>
          <w:lang w:val="en-GB" w:eastAsia="en-GB"/>
        </w:rPr>
        <w:t>Reactome gene sets used for the analysis of the MDMs.</w:t>
      </w:r>
    </w:p>
    <w:p w14:paraId="27D331BB" w14:textId="77777777" w:rsidR="00451112" w:rsidRPr="002A7905" w:rsidRDefault="00451112" w:rsidP="002A7905">
      <w:pPr>
        <w:rPr>
          <w:rFonts w:ascii="Calibri" w:hAnsi="Calibri" w:cs="Calibri"/>
          <w:color w:val="000000"/>
          <w:sz w:val="22"/>
          <w:szCs w:val="22"/>
          <w:lang w:val="en-GB" w:eastAsia="en-GB"/>
        </w:rPr>
      </w:pPr>
    </w:p>
    <w:p w14:paraId="6EB6BCF8" w14:textId="77777777" w:rsidR="002A7905" w:rsidRDefault="002A7905" w:rsidP="006C7538">
      <w:pPr>
        <w:pStyle w:val="NormalWeb"/>
        <w:shd w:val="clear" w:color="auto" w:fill="FFFFFF"/>
        <w:textAlignment w:val="baseline"/>
        <w:rPr>
          <w:rFonts w:ascii="Arial" w:hAnsi="Arial" w:cs="Arial"/>
          <w:sz w:val="20"/>
          <w:szCs w:val="20"/>
        </w:rPr>
      </w:pPr>
    </w:p>
    <w:p w14:paraId="7711744F" w14:textId="77777777" w:rsidR="002A7905" w:rsidRDefault="002A7905" w:rsidP="006C7538">
      <w:pPr>
        <w:pStyle w:val="NormalWeb"/>
        <w:shd w:val="clear" w:color="auto" w:fill="FFFFFF"/>
        <w:textAlignment w:val="baseline"/>
        <w:rPr>
          <w:rFonts w:ascii="Arial" w:hAnsi="Arial" w:cs="Arial"/>
          <w:sz w:val="20"/>
          <w:szCs w:val="20"/>
        </w:rPr>
      </w:pPr>
    </w:p>
    <w:p w14:paraId="1232A0C9" w14:textId="77777777" w:rsidR="002A7905" w:rsidRPr="00DC623A" w:rsidRDefault="002A7905" w:rsidP="006C7538">
      <w:pPr>
        <w:pStyle w:val="NormalWeb"/>
        <w:shd w:val="clear" w:color="auto" w:fill="FFFFFF"/>
        <w:textAlignment w:val="baseline"/>
        <w:rPr>
          <w:rFonts w:ascii="Arial" w:hAnsi="Arial" w:cs="Arial"/>
          <w:sz w:val="20"/>
          <w:szCs w:val="20"/>
        </w:rPr>
      </w:pPr>
    </w:p>
    <w:sectPr w:rsidR="002A7905" w:rsidRPr="00DC623A" w:rsidSect="00F125EE">
      <w:headerReference w:type="default" r:id="rId14"/>
      <w:footerReference w:type="default" r:id="rId15"/>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7094" w14:textId="77777777" w:rsidR="00743987" w:rsidRDefault="00743987">
      <w:r>
        <w:separator/>
      </w:r>
    </w:p>
  </w:endnote>
  <w:endnote w:type="continuationSeparator" w:id="0">
    <w:p w14:paraId="0903629A" w14:textId="77777777" w:rsidR="00743987" w:rsidRDefault="0074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636CDF8D" w:rsidR="00F125EE" w:rsidRDefault="00114193">
    <w:pPr>
      <w:pStyle w:val="Footer"/>
      <w:jc w:val="right"/>
    </w:pPr>
    <w:r>
      <w:fldChar w:fldCharType="begin"/>
    </w:r>
    <w:r>
      <w:instrText xml:space="preserve"> PAGE   \* MERGEFORMAT </w:instrText>
    </w:r>
    <w:r>
      <w:fldChar w:fldCharType="separate"/>
    </w:r>
    <w:r w:rsidR="005609E9">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A77E" w14:textId="77777777" w:rsidR="00743987" w:rsidRDefault="00743987">
      <w:r>
        <w:separator/>
      </w:r>
    </w:p>
  </w:footnote>
  <w:footnote w:type="continuationSeparator" w:id="0">
    <w:p w14:paraId="753887D0" w14:textId="77777777" w:rsidR="00743987" w:rsidRDefault="00743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0F"/>
    <w:rsid w:val="000004B2"/>
    <w:rsid w:val="00015F74"/>
    <w:rsid w:val="00017C53"/>
    <w:rsid w:val="00030840"/>
    <w:rsid w:val="000453BC"/>
    <w:rsid w:val="000540D8"/>
    <w:rsid w:val="00065431"/>
    <w:rsid w:val="00065EBD"/>
    <w:rsid w:val="00066BB8"/>
    <w:rsid w:val="00080124"/>
    <w:rsid w:val="00083B44"/>
    <w:rsid w:val="000850DC"/>
    <w:rsid w:val="0009227C"/>
    <w:rsid w:val="000A41E4"/>
    <w:rsid w:val="000B2989"/>
    <w:rsid w:val="000C2771"/>
    <w:rsid w:val="000C5F36"/>
    <w:rsid w:val="000F0DCE"/>
    <w:rsid w:val="00112C5B"/>
    <w:rsid w:val="00114193"/>
    <w:rsid w:val="00115A38"/>
    <w:rsid w:val="0011687B"/>
    <w:rsid w:val="00124F82"/>
    <w:rsid w:val="0016337A"/>
    <w:rsid w:val="00164269"/>
    <w:rsid w:val="001A1BDE"/>
    <w:rsid w:val="001C0520"/>
    <w:rsid w:val="001C0975"/>
    <w:rsid w:val="001F0876"/>
    <w:rsid w:val="001F167C"/>
    <w:rsid w:val="001F5E91"/>
    <w:rsid w:val="002077B9"/>
    <w:rsid w:val="00262D72"/>
    <w:rsid w:val="00265047"/>
    <w:rsid w:val="00294FBB"/>
    <w:rsid w:val="002A7905"/>
    <w:rsid w:val="002C030F"/>
    <w:rsid w:val="002C667A"/>
    <w:rsid w:val="003071C7"/>
    <w:rsid w:val="00325D90"/>
    <w:rsid w:val="00331D75"/>
    <w:rsid w:val="003324A9"/>
    <w:rsid w:val="00332BFB"/>
    <w:rsid w:val="00355362"/>
    <w:rsid w:val="00363E44"/>
    <w:rsid w:val="00387114"/>
    <w:rsid w:val="00395E86"/>
    <w:rsid w:val="00397983"/>
    <w:rsid w:val="003A2FD8"/>
    <w:rsid w:val="003B40E6"/>
    <w:rsid w:val="003F6E14"/>
    <w:rsid w:val="00405336"/>
    <w:rsid w:val="00415B76"/>
    <w:rsid w:val="00451112"/>
    <w:rsid w:val="004571D5"/>
    <w:rsid w:val="00461D81"/>
    <w:rsid w:val="0046356B"/>
    <w:rsid w:val="00477182"/>
    <w:rsid w:val="004779CB"/>
    <w:rsid w:val="004A159F"/>
    <w:rsid w:val="004B2F21"/>
    <w:rsid w:val="004D645C"/>
    <w:rsid w:val="004E42D8"/>
    <w:rsid w:val="004E7BA2"/>
    <w:rsid w:val="004F7EDF"/>
    <w:rsid w:val="005001AC"/>
    <w:rsid w:val="00526FD2"/>
    <w:rsid w:val="00527D71"/>
    <w:rsid w:val="005607DD"/>
    <w:rsid w:val="005609E9"/>
    <w:rsid w:val="005664A7"/>
    <w:rsid w:val="005A021F"/>
    <w:rsid w:val="005A558C"/>
    <w:rsid w:val="005C52D5"/>
    <w:rsid w:val="005D088E"/>
    <w:rsid w:val="005E28F8"/>
    <w:rsid w:val="005E6059"/>
    <w:rsid w:val="005E6513"/>
    <w:rsid w:val="006069C6"/>
    <w:rsid w:val="00611A19"/>
    <w:rsid w:val="006140DF"/>
    <w:rsid w:val="00651114"/>
    <w:rsid w:val="0065772A"/>
    <w:rsid w:val="00662D74"/>
    <w:rsid w:val="00670299"/>
    <w:rsid w:val="00690668"/>
    <w:rsid w:val="00691985"/>
    <w:rsid w:val="0069245A"/>
    <w:rsid w:val="006A1B64"/>
    <w:rsid w:val="006C7538"/>
    <w:rsid w:val="006D169A"/>
    <w:rsid w:val="006E3E68"/>
    <w:rsid w:val="006E3F4A"/>
    <w:rsid w:val="007108F5"/>
    <w:rsid w:val="00713E5B"/>
    <w:rsid w:val="007402FC"/>
    <w:rsid w:val="007411A1"/>
    <w:rsid w:val="00743987"/>
    <w:rsid w:val="00763345"/>
    <w:rsid w:val="00780AC9"/>
    <w:rsid w:val="00783E94"/>
    <w:rsid w:val="007843C9"/>
    <w:rsid w:val="00797F24"/>
    <w:rsid w:val="007B4143"/>
    <w:rsid w:val="007B5946"/>
    <w:rsid w:val="007F5297"/>
    <w:rsid w:val="00807D35"/>
    <w:rsid w:val="00820484"/>
    <w:rsid w:val="00824DF3"/>
    <w:rsid w:val="00840BB2"/>
    <w:rsid w:val="00863534"/>
    <w:rsid w:val="00884E37"/>
    <w:rsid w:val="00885C9B"/>
    <w:rsid w:val="008B5657"/>
    <w:rsid w:val="008B59A1"/>
    <w:rsid w:val="008C069B"/>
    <w:rsid w:val="008D5D2A"/>
    <w:rsid w:val="00901619"/>
    <w:rsid w:val="00914B63"/>
    <w:rsid w:val="009258B8"/>
    <w:rsid w:val="009354F3"/>
    <w:rsid w:val="00943C3C"/>
    <w:rsid w:val="009447DC"/>
    <w:rsid w:val="009519CF"/>
    <w:rsid w:val="00961BA5"/>
    <w:rsid w:val="009743A9"/>
    <w:rsid w:val="009A510E"/>
    <w:rsid w:val="009A5287"/>
    <w:rsid w:val="009A670E"/>
    <w:rsid w:val="009B2AC5"/>
    <w:rsid w:val="009B3C34"/>
    <w:rsid w:val="009B7984"/>
    <w:rsid w:val="009F443C"/>
    <w:rsid w:val="009F4BED"/>
    <w:rsid w:val="009F7D93"/>
    <w:rsid w:val="00A3403B"/>
    <w:rsid w:val="00A51A12"/>
    <w:rsid w:val="00A627D4"/>
    <w:rsid w:val="00A62D00"/>
    <w:rsid w:val="00A72B81"/>
    <w:rsid w:val="00A74DA2"/>
    <w:rsid w:val="00AC15B4"/>
    <w:rsid w:val="00AD499C"/>
    <w:rsid w:val="00AE5A70"/>
    <w:rsid w:val="00B003EE"/>
    <w:rsid w:val="00B038F4"/>
    <w:rsid w:val="00B15008"/>
    <w:rsid w:val="00B16F99"/>
    <w:rsid w:val="00B36869"/>
    <w:rsid w:val="00B42F9C"/>
    <w:rsid w:val="00B43B31"/>
    <w:rsid w:val="00B47CFA"/>
    <w:rsid w:val="00B57F00"/>
    <w:rsid w:val="00B77B2A"/>
    <w:rsid w:val="00B82C22"/>
    <w:rsid w:val="00B8723B"/>
    <w:rsid w:val="00B93DBA"/>
    <w:rsid w:val="00B9440A"/>
    <w:rsid w:val="00BA5F66"/>
    <w:rsid w:val="00BB2D2A"/>
    <w:rsid w:val="00BD58CF"/>
    <w:rsid w:val="00C046DC"/>
    <w:rsid w:val="00C04CC1"/>
    <w:rsid w:val="00C330B7"/>
    <w:rsid w:val="00C364C5"/>
    <w:rsid w:val="00C47714"/>
    <w:rsid w:val="00C50C6D"/>
    <w:rsid w:val="00C600D9"/>
    <w:rsid w:val="00CC1384"/>
    <w:rsid w:val="00CD3720"/>
    <w:rsid w:val="00CE1343"/>
    <w:rsid w:val="00CF16C9"/>
    <w:rsid w:val="00CF1848"/>
    <w:rsid w:val="00CF5C2F"/>
    <w:rsid w:val="00CF6E82"/>
    <w:rsid w:val="00D04BCF"/>
    <w:rsid w:val="00D143D9"/>
    <w:rsid w:val="00D269AB"/>
    <w:rsid w:val="00D346C2"/>
    <w:rsid w:val="00DA22DA"/>
    <w:rsid w:val="00DA59EA"/>
    <w:rsid w:val="00DB0B1D"/>
    <w:rsid w:val="00DC3F5D"/>
    <w:rsid w:val="00DC623A"/>
    <w:rsid w:val="00DD421A"/>
    <w:rsid w:val="00E257C8"/>
    <w:rsid w:val="00E37047"/>
    <w:rsid w:val="00E60D0F"/>
    <w:rsid w:val="00E6364C"/>
    <w:rsid w:val="00E9773B"/>
    <w:rsid w:val="00EA596B"/>
    <w:rsid w:val="00EB377C"/>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D1EA8"/>
  <w15:docId w15:val="{9A615077-C28D-47D3-A9A6-5D9139DF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E82"/>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character" w:customStyle="1" w:styleId="Heading4Char">
    <w:name w:val="Heading 4 Char"/>
    <w:basedOn w:val="DefaultParagraphFont"/>
    <w:link w:val="Heading4"/>
    <w:semiHidden/>
    <w:rsid w:val="000B2989"/>
    <w:rPr>
      <w:rFonts w:ascii="Times" w:hAnsi="Times"/>
      <w:b/>
      <w:color w:val="0000FF"/>
      <w:sz w:val="44"/>
    </w:rPr>
  </w:style>
  <w:style w:type="character" w:styleId="PlaceholderText">
    <w:name w:val="Placeholder Text"/>
    <w:basedOn w:val="DefaultParagraphFont"/>
    <w:uiPriority w:val="99"/>
    <w:semiHidden/>
    <w:rsid w:val="00780AC9"/>
    <w:rPr>
      <w:color w:val="808080"/>
    </w:rPr>
  </w:style>
  <w:style w:type="paragraph" w:styleId="Revision">
    <w:name w:val="Revision"/>
    <w:hidden/>
    <w:uiPriority w:val="99"/>
    <w:semiHidden/>
    <w:rsid w:val="00CE134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1267">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712655521">
      <w:bodyDiv w:val="1"/>
      <w:marLeft w:val="0"/>
      <w:marRight w:val="0"/>
      <w:marTop w:val="0"/>
      <w:marBottom w:val="0"/>
      <w:divBdr>
        <w:top w:val="none" w:sz="0" w:space="0" w:color="auto"/>
        <w:left w:val="none" w:sz="0" w:space="0" w:color="auto"/>
        <w:bottom w:val="none" w:sz="0" w:space="0" w:color="auto"/>
        <w:right w:val="none" w:sz="0" w:space="0" w:color="auto"/>
      </w:divBdr>
    </w:div>
    <w:div w:id="777800149">
      <w:bodyDiv w:val="1"/>
      <w:marLeft w:val="0"/>
      <w:marRight w:val="0"/>
      <w:marTop w:val="0"/>
      <w:marBottom w:val="0"/>
      <w:divBdr>
        <w:top w:val="none" w:sz="0" w:space="0" w:color="auto"/>
        <w:left w:val="none" w:sz="0" w:space="0" w:color="auto"/>
        <w:bottom w:val="none" w:sz="0" w:space="0" w:color="auto"/>
        <w:right w:val="none" w:sz="0" w:space="0" w:color="auto"/>
      </w:divBdr>
    </w:div>
    <w:div w:id="843056146">
      <w:bodyDiv w:val="1"/>
      <w:marLeft w:val="0"/>
      <w:marRight w:val="0"/>
      <w:marTop w:val="0"/>
      <w:marBottom w:val="0"/>
      <w:divBdr>
        <w:top w:val="none" w:sz="0" w:space="0" w:color="auto"/>
        <w:left w:val="none" w:sz="0" w:space="0" w:color="auto"/>
        <w:bottom w:val="none" w:sz="0" w:space="0" w:color="auto"/>
        <w:right w:val="none" w:sz="0" w:space="0" w:color="auto"/>
      </w:divBdr>
    </w:div>
    <w:div w:id="932781122">
      <w:bodyDiv w:val="1"/>
      <w:marLeft w:val="0"/>
      <w:marRight w:val="0"/>
      <w:marTop w:val="0"/>
      <w:marBottom w:val="0"/>
      <w:divBdr>
        <w:top w:val="none" w:sz="0" w:space="0" w:color="auto"/>
        <w:left w:val="none" w:sz="0" w:space="0" w:color="auto"/>
        <w:bottom w:val="none" w:sz="0" w:space="0" w:color="auto"/>
        <w:right w:val="none" w:sz="0" w:space="0" w:color="auto"/>
      </w:divBdr>
    </w:div>
    <w:div w:id="962154407">
      <w:bodyDiv w:val="1"/>
      <w:marLeft w:val="0"/>
      <w:marRight w:val="0"/>
      <w:marTop w:val="0"/>
      <w:marBottom w:val="0"/>
      <w:divBdr>
        <w:top w:val="none" w:sz="0" w:space="0" w:color="auto"/>
        <w:left w:val="none" w:sz="0" w:space="0" w:color="auto"/>
        <w:bottom w:val="none" w:sz="0" w:space="0" w:color="auto"/>
        <w:right w:val="none" w:sz="0" w:space="0" w:color="auto"/>
      </w:divBdr>
    </w:div>
    <w:div w:id="985090010">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497845708">
      <w:bodyDiv w:val="1"/>
      <w:marLeft w:val="0"/>
      <w:marRight w:val="0"/>
      <w:marTop w:val="0"/>
      <w:marBottom w:val="0"/>
      <w:divBdr>
        <w:top w:val="none" w:sz="0" w:space="0" w:color="auto"/>
        <w:left w:val="none" w:sz="0" w:space="0" w:color="auto"/>
        <w:bottom w:val="none" w:sz="0" w:space="0" w:color="auto"/>
        <w:right w:val="none" w:sz="0" w:space="0" w:color="auto"/>
      </w:divBdr>
    </w:div>
    <w:div w:id="1714577122">
      <w:bodyDiv w:val="1"/>
      <w:marLeft w:val="0"/>
      <w:marRight w:val="0"/>
      <w:marTop w:val="0"/>
      <w:marBottom w:val="0"/>
      <w:divBdr>
        <w:top w:val="none" w:sz="0" w:space="0" w:color="auto"/>
        <w:left w:val="none" w:sz="0" w:space="0" w:color="auto"/>
        <w:bottom w:val="none" w:sz="0" w:space="0" w:color="auto"/>
        <w:right w:val="none" w:sz="0" w:space="0" w:color="auto"/>
      </w:divBdr>
    </w:div>
    <w:div w:id="1777941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matthews@imperial.ac.uk"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owen@imperial.ac.uk"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87BE6B6-9CE9-4DE8-B6CA-A9D00C1BB2AF}"/>
      </w:docPartPr>
      <w:docPartBody>
        <w:p w:rsidR="00C5656E" w:rsidRDefault="00852DFF">
          <w:r w:rsidRPr="001953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DFF"/>
    <w:rsid w:val="003E1964"/>
    <w:rsid w:val="00852DFF"/>
    <w:rsid w:val="00C5656E"/>
    <w:rsid w:val="00E91527"/>
    <w:rsid w:val="00E97A98"/>
    <w:rsid w:val="00EA3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2D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E952DC-F744-4251-9D33-B78170206567}">
  <we:reference id="f78a3046-9e99-4300-aa2b-5814002b01a2" version="1.35.0.0" store="EXCatalog" storeType="EXCatalog"/>
  <we:alternateReferences>
    <we:reference id="WA104382081" version="1.35.0.0" store="en-GB" storeType="OMEX"/>
  </we:alternateReferences>
  <we:properties>
    <we:property name="MENDELEY_CITATIONS" value="[{&quot;citationID&quot;:&quot;MENDELEY_CITATION_7de5246f-1f06-4889-89ad-16e1f3544358&quot;,&quot;properties&quot;:{&quot;noteIndex&quot;:0},&quot;isEdited&quot;:false,&quot;manualOverride&quot;:{&quot;isManuallyOverridden&quot;:false,&quot;citeprocText&quot;:&quot;[1]&quot;,&quot;manualOverrideText&quot;:&quot;&quot;},&quot;citationTag&quot;:&quot;MENDELEY_CITATION_v3_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&quot;,&quot;citationItems&quot;:[{&quot;id&quot;:&quot;a820f1b0-4e10-316f-a711-697d49aa0a66&quot;,&quot;itemData&quot;:{&quot;type&quot;:&quot;article-journal&quot;,&quot;id&quot;:&quot;a820f1b0-4e10-316f-a711-697d49aa0a66&quot;,&quot;title&quot;:&quot;Efficient, Long Term Production of Monocyte-Derived Macrophages from Human Pluripotent Stem Cells under Partly-Defined and Fully-Defined Conditions&quot;,&quot;author&quot;:[{&quot;family&quot;:&quot;Wilgenburg&quot;,&quot;given&quot;:&quot;Bonnie&quot;,&quot;parse-names&quot;:false,&quot;dropping-particle&quot;:&quot;&quot;,&quot;non-dropping-particle&quot;:&quot;van&quot;},{&quot;family&quot;:&quot;Browne&quot;,&quot;given&quot;:&quot;Cathy&quot;,&quot;parse-names&quot;:false,&quot;dropping-particle&quot;:&quot;&quot;,&quot;non-dropping-particle&quot;:&quot;&quot;},{&quot;family&quot;:&quot;Vowles&quot;,&quot;given&quot;:&quot;Jane&quot;,&quot;parse-names&quot;:false,&quot;dropping-particle&quot;:&quot;&quot;,&quot;non-dropping-particle&quot;:&quot;&quot;},{&quot;family&quot;:&quot;Cowley&quot;,&quot;given&quot;:&quot;Sally A.&quot;,&quot;parse-names&quot;:false,&quot;dropping-particle&quot;:&quot;&quot;,&quot;non-dropping-particle&quot;:&quot;&quot;}],&quot;container-title&quot;:&quot;PLoS ONE&quot;,&quot;DOI&quot;:&quot;10.1371/journal.pone.0071098&quot;,&quot;ISSN&quot;:&quot;19326203&quot;,&quot;issued&quot;:{&quot;date-parts&quot;:[[2013]]},&quot;abstract&quot;:&quot;Human macrophages are specialised hosts for HIV-1, dengue virus, Leishmania and Mycobacterium tuberculosis. Yet macrophage research is hampered by lack of appropriate cell models for modelling infection by these human pathogens, because available myeloid cell lines are, by definition, not terminally differentiated like tissue macrophages. We describe here a method for deriving monocytes and macrophages from human Pluripotent Stem Cells which improves on previously published protocols in that it uses entirely defined, feeder- and serum-free culture conditions and produces very consistent, pure, high yields across both human Embryonic Stem Cell (hESC) and multiple human induced Pluripotent Stem Cell (hiPSC) lines over time periods of up to one year. Cumulatively, up to ∼3×107 monocytes can be harvested per 6-well plate. The monocytes produced are most closely similar to the major blood monocyte (CD14+, CD16low, CD163+). Differentiation with M-CSF produces macrophages that are highly phagocytic, HIV-1-infectable, and upon activation produce a pro-inflammatory cytokine profile similar to blood monocyte-derived macrophages. Macrophages are notoriously hard to genetically manipulate, as they recognise foreign nucleic acids; the lentivector system described here overcomes this, as pluripotent stem cells can be relatively simply genetically manipulated for efficient transgene expression in the differentiated cells, surmounting issues of transgene silencing. Overall, the method we describe here is an efficient, effective, scalable system for the reproducible production and genetic modification of human macrophages, facilitating the interrogation of human macrophage biology. © 2013 van Wilgenburg et al.&quot;,&quot;issue&quot;:&quot;8&quot;,&quot;volume&quot;:&quot;8&quot;,&quot;container-title-short&quot;:&quot;&quot;},&quot;isTemporary&quot;:false}]},{&quot;citationID&quot;:&quot;MENDELEY_CITATION_959e4880-02e9-47a8-bb14-5c82b73cf389&quot;,&quot;properties&quot;:{&quot;noteIndex&quot;:0},&quot;isEdited&quot;:false,&quot;manualOverride&quot;:{&quot;isManuallyOverridden&quot;:false,&quot;citeprocText&quot;:&quot;[1]&quot;,&quot;manualOverrideText&quot;:&quot;&quot;},&quot;citationTag&quot;:&quot;MENDELEY_CITATION_v3_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&quot;,&quot;citationItems&quot;:[{&quot;id&quot;:&quot;a820f1b0-4e10-316f-a711-697d49aa0a66&quot;,&quot;itemData&quot;:{&quot;type&quot;:&quot;article-journal&quot;,&quot;id&quot;:&quot;a820f1b0-4e10-316f-a711-697d49aa0a66&quot;,&quot;title&quot;:&quot;Efficient, Long Term Production of Monocyte-Derived Macrophages from Human Pluripotent Stem Cells under Partly-Defined and Fully-Defined Conditions&quot;,&quot;author&quot;:[{&quot;family&quot;:&quot;Wilgenburg&quot;,&quot;given&quot;:&quot;Bonnie&quot;,&quot;parse-names&quot;:false,&quot;dropping-particle&quot;:&quot;&quot;,&quot;non-dropping-particle&quot;:&quot;van&quot;},{&quot;family&quot;:&quot;Browne&quot;,&quot;given&quot;:&quot;Cathy&quot;,&quot;parse-names&quot;:false,&quot;dropping-particle&quot;:&quot;&quot;,&quot;non-dropping-particle&quot;:&quot;&quot;},{&quot;family&quot;:&quot;Vowles&quot;,&quot;given&quot;:&quot;Jane&quot;,&quot;parse-names&quot;:false,&quot;dropping-particle&quot;:&quot;&quot;,&quot;non-dropping-particle&quot;:&quot;&quot;},{&quot;family&quot;:&quot;Cowley&quot;,&quot;given&quot;:&quot;Sally A.&quot;,&quot;parse-names&quot;:false,&quot;dropping-particle&quot;:&quot;&quot;,&quot;non-dropping-particle&quot;:&quot;&quot;}],&quot;container-title&quot;:&quot;PLoS ONE&quot;,&quot;DOI&quot;:&quot;10.1371/journal.pone.0071098&quot;,&quot;ISSN&quot;:&quot;19326203&quot;,&quot;issued&quot;:{&quot;date-parts&quot;:[[2013]]},&quot;abstract&quot;:&quot;Human macrophages are specialised hosts for HIV-1, dengue virus, Leishmania and Mycobacterium tuberculosis. Yet macrophage research is hampered by lack of appropriate cell models for modelling infection by these human pathogens, because available myeloid cell lines are, by definition, not terminally differentiated like tissue macrophages. We describe here a method for deriving monocytes and macrophages from human Pluripotent Stem Cells which improves on previously published protocols in that it uses entirely defined, feeder- and serum-free culture conditions and produces very consistent, pure, high yields across both human Embryonic Stem Cell (hESC) and multiple human induced Pluripotent Stem Cell (hiPSC) lines over time periods of up to one year. Cumulatively, up to ∼3×107 monocytes can be harvested per 6-well plate. The monocytes produced are most closely similar to the major blood monocyte (CD14+, CD16low, CD163+). Differentiation with M-CSF produces macrophages that are highly phagocytic, HIV-1-infectable, and upon activation produce a pro-inflammatory cytokine profile similar to blood monocyte-derived macrophages. Macrophages are notoriously hard to genetically manipulate, as they recognise foreign nucleic acids; the lentivector system described here overcomes this, as pluripotent stem cells can be relatively simply genetically manipulated for efficient transgene expression in the differentiated cells, surmounting issues of transgene silencing. Overall, the method we describe here is an efficient, effective, scalable system for the reproducible production and genetic modification of human macrophages, facilitating the interrogation of human macrophage biology. © 2013 van Wilgenburg et al.&quot;,&quot;issue&quot;:&quot;8&quot;,&quot;volume&quot;:&quot;8&quot;,&quot;container-title-short&quot;:&quot;&quot;},&quot;isTemporary&quot;:false}]},{&quot;citationID&quot;:&quot;MENDELEY_CITATION_39f9fca5-91dc-4d31-b476-2eb5a9e6252a&quot;,&quot;properties&quot;:{&quot;noteIndex&quot;:0},&quot;isEdited&quot;:false,&quot;manualOverride&quot;:{&quot;isManuallyOverridden&quot;:false,&quot;citeprocText&quot;:&quot;[2]&quot;,&quot;manualOverrideText&quot;:&quot;&quot;},&quot;citationTag&quot;:&quot;MENDELEY_CITATION_v3_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&quot;,&quot;citationItems&quot;:[{&quot;id&quot;:&quot;7fc63558-19cb-378a-9263-828507981d16&quot;,&quot;itemData&quot;:{&quot;type&quot;:&quot;article-journal&quot;,&quot;id&quot;:&quot;7fc63558-19cb-378a-9263-828507981d16&quot;,&quot;title&quot;:&quot;Menstrual cycle characteristics and steroid hormone, prolactin, and growth factor levels in premenopausal women&quot;,&quot;author&quot;:[{&quot;family&quot;:&quot;Farland&quot;,&quot;given&quot;:&quot;Leslie&quot;,&quot;parse-names&quot;:false,&quot;dropping-particle&quot;:&quot;v.&quot;,&quot;non-dropping-particle&quot;:&quot;&quot;},{&quot;family&quot;:&quot;Mu&quot;,&quot;given&quot;:&quot;Fan&quot;,&quot;parse-names&quot;:false,&quot;dropping-particle&quot;:&quot;&quot;,&quot;non-dropping-particle&quot;:&quot;&quot;},{&quot;family&quot;:&quot;Eliassen&quot;,&quot;given&quot;:&quot;A. Heather&quot;,&quot;parse-names&quot;:false,&quot;dropping-particle&quot;:&quot;&quot;,&quot;non-dropping-particle&quot;:&quot;&quot;},{&quot;family&quot;:&quot;Hankinson&quot;,&quot;given&quot;:&quot;Susan E.&quot;,&quot;parse-names&quot;:false,&quot;dropping-particle&quot;:&quot;&quot;,&quot;non-dropping-particle&quot;:&quot;&quot;},{&quot;family&quot;:&quot;Tworoger&quot;,&quot;given&quot;:&quot;Shelley S.&quot;,&quot;parse-names&quot;:false,&quot;dropping-particle&quot;:&quot;&quot;,&quot;non-dropping-particle&quot;:&quot;&quot;},{&quot;family&quot;:&quot;Barbieri&quot;,&quot;given&quot;:&quot;Robert L.&quot;,&quot;parse-names&quot;:false,&quot;dropping-particle&quot;:&quot;&quot;,&quot;non-dropping-particle&quot;:&quot;&quot;},{&quot;family&quot;:&quot;Dowsett&quot;,&quot;given&quot;:&quot;Mitch&quot;,&quot;parse-names&quot;:false,&quot;dropping-particle&quot;:&quot;&quot;,&quot;non-dropping-particle&quot;:&quot;&quot;},{&quot;family&quot;:&quot;Pollak&quot;,&quot;given&quot;:&quot;Michael N.&quot;,&quot;parse-names&quot;:false,&quot;dropping-particle&quot;:&quot;&quot;,&quot;non-dropping-particle&quot;:&quot;&quot;},{&quot;family&quot;:&quot;Missmer&quot;,&quot;given&quot;:&quot;Stacey A.&quot;,&quot;parse-names&quot;:false,&quot;dropping-particle&quot;:&quot;&quot;,&quot;non-dropping-particle&quot;:&quot;&quot;}],&quot;container-title&quot;:&quot;Cancer Causes and Control&quot;,&quot;DOI&quot;:&quot;10.1007/s10552-017-0971-2&quot;,&quot;ISSN&quot;:&quot;15737225&quot;,&quot;issued&quot;:{&quot;date-parts&quot;:[[2017]]},&quot;abstract&quot;:&quot;Purpose: Menstrual cycle characteristics are markers of endocrine milieu. However, associations between age at menarche and adulthood sex steroid hormone levels have been inconsistent, and data on menstrual characteristics and non-sex steroid hormones are sparse. Methods: We assessed the relations of menstrual characteristics with premenopausal plasma sex steroid hormones, sex hormone binding globulin (SHBG), prolactin, and growth factors among 2,745 premenopausal women (age 32–52) from the Nurses’ Health Study II. Geometric means and tests for trend were calculated using multivariable general linear models. Results: Early age at menarche was associated with higher premenopausal early-follicular free estradiol (percent difference &lt; 12 vs. &gt; 13 years = 11%), early-follicular estrone (7%), luteal estrone (7%), and free testosterone (8%) (all ptrend &lt; 0.05). Short menstrual cycle length at age 18–22 was associated with higher early-follicular total (&lt; 26 vs. &gt; 39 days = 18%) and free estradiol (16%), early-follicular estrone (9%), SHBG (7%), lower luteal free estradiol (− 14%), total (− 6%), and free testosterone (− 15%) (all ptrend &lt; 0.05). Short adult menstrual length was associated with higher early-follicular total estradiol (&lt; 26 vs. &gt; 31 days = 14%), SHBG (10%), lower luteal estrone (− 8%), progesterone (− 9%), total (− 11%) and free testosterone (− 25%), and androstenedione (− 14%) (all ptrend &lt; 0.05). Irregularity of menses at 18–22 was associated with lower early-follicular total (irregular vs. very regular = − 14%) and free estradiol (− 14%), and early-follicular estrone (− 8%) (All ptrend &lt; 0.05). Irregularity of adult menstrual cycle was associated with lower luteal total estradiol (irregular vs. very regular = − 8%), SHBG (− 3%), higher total (8%), and free testosterone (11%) (all ptrend &lt; 0.05). Conclusions: Early-life and adulthood menstrual characteristics are moderately associated with mid-to-late reproductive year’s hormone concentrations. These relations of menstrual characteristics with endogenous hormone levels could partially account for associations between menstrual characteristics and reproductive cancers or other chronic diseases.&quot;,&quot;issue&quot;:&quot;12&quot;,&quot;volume&quot;:&quot;28&quot;,&quot;container-title-short&quot;:&quot;&quot;},&quot;isTemporary&quot;:false}]},{&quot;citationID&quot;:&quot;MENDELEY_CITATION_4aaa5f59-3886-4060-a934-d8dcd6e43a2b&quot;,&quot;properties&quot;:{&quot;noteIndex&quot;:0},&quot;isEdited&quot;:false,&quot;manualOverride&quot;:{&quot;isManuallyOverridden&quot;:false,&quot;citeprocText&quot;:&quot;[3]&quot;,&quot;manualOverrideText&quot;:&quot;&quot;},&quot;citationTag&quot;:&quot;MENDELEY_CITATION_v3_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&quot;,&quot;citationItems&quot;:[{&quot;id&quot;:&quot;bb55823f-ee1b-3fdd-9f63-25fa47b3d5b7&quot;,&quot;itemData&quot;:{&quot;type&quot;:&quot;article&quot;,&quot;id&quot;:&quot;bb55823f-ee1b-3fdd-9f63-25fa47b3d5b7&quot;,&quot;title&quot;:&quot;The nf-core framework for community-curated bioinformatics pipelines&quot;,&quot;author&quot;:[{&quot;family&quot;:&quot;Ewels&quot;,&quot;given&quot;:&quot;Philip A.&quot;,&quot;parse-names&quot;:false,&quot;dropping-particle&quot;:&quot;&quot;,&quot;non-dropping-particle&quot;:&quot;&quot;},{&quot;family&quot;:&quot;Peltzer&quot;,&quot;given&quot;:&quot;Alexander&quot;,&quot;parse-names&quot;:false,&quot;dropping-particle&quot;:&quot;&quot;,&quot;non-dropping-particle&quot;:&quot;&quot;},{&quot;family&quot;:&quot;Fillinger&quot;,&quot;given&quot;:&quot;Sven&quot;,&quot;parse-names&quot;:false,&quot;dropping-particle&quot;:&quot;&quot;,&quot;non-dropping-particle&quot;:&quot;&quot;},{&quot;family&quot;:&quot;Patel&quot;,&quot;given&quot;:&quot;Harshil&quot;,&quot;parse-names&quot;:false,&quot;dropping-particle&quot;:&quot;&quot;,&quot;non-dropping-particle&quot;:&quot;&quot;},{&quot;family&quot;:&quot;Alneberg&quot;,&quot;given&quot;:&quot;Johannes&quot;,&quot;parse-names&quot;:false,&quot;dropping-particle&quot;:&quot;&quot;,&quot;non-dropping-particle&quot;:&quot;&quot;},{&quot;family&quot;:&quot;Wilm&quot;,&quot;given&quot;:&quot;Andreas&quot;,&quot;parse-names&quot;:false,&quot;dropping-particle&quot;:&quot;&quot;,&quot;non-dropping-particle&quot;:&quot;&quot;},{&quot;family&quot;:&quot;Garcia&quot;,&quot;given&quot;:&quot;Maxime Ulysse&quot;,&quot;parse-names&quot;:false,&quot;dropping-particle&quot;:&quot;&quot;,&quot;non-dropping-particle&quot;:&quot;&quot;},{&quot;family&quot;:&quot;Tommaso&quot;,&quot;given&quot;:&quot;Paolo&quot;,&quot;parse-names&quot;:false,&quot;dropping-particle&quot;:&quot;&quot;,&quot;non-dropping-particle&quot;:&quot;di&quot;},{&quot;family&quot;:&quot;Nahnsen&quot;,&quot;given&quot;:&quot;Sven&quot;,&quot;parse-names&quot;:false,&quot;dropping-particle&quot;:&quot;&quot;,&quot;non-dropping-particle&quot;:&quot;&quot;}],&quot;container-title&quot;:&quot;Nature Biotechnology&quot;,&quot;DOI&quot;:&quot;10.1038/s41587-020-0439-x&quot;,&quot;ISSN&quot;:&quot;15461696&quot;,&quot;issued&quot;:{&quot;date-parts&quot;:[[2020]]},&quot;issue&quot;:&quot;3&quot;,&quot;volume&quot;:&quot;38&quot;,&quot;container-title-short&quot;:&quot;&quot;},&quot;isTemporary&quot;:false}]},{&quot;citationID&quot;:&quot;MENDELEY_CITATION_26117d5d-42fe-46a2-82a4-8cedc8406e21&quot;,&quot;properties&quot;:{&quot;noteIndex&quot;:0},&quot;isEdited&quot;:false,&quot;manualOverride&quot;:{&quot;isManuallyOverridden&quot;:false,&quot;citeprocText&quot;:&quot;[4]&quot;,&quot;manualOverrideText&quot;:&quot;&quot;},&quot;citationTag&quot;:&quot;MENDELEY_CITATION_v3_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&quot;,&quot;citationItems&quot;:[{&quot;id&quot;:&quot;1b050b6a-7f9a-352c-9d3f-6a0da85d4388&quot;,&quot;itemData&quot;:{&quot;type&quot;:&quot;webpage&quot;,&quot;id&quot;:&quot;1b050b6a-7f9a-352c-9d3f-6a0da85d4388&quot;,&quot;title&quot;:&quot;Trim Galore!&quot;,&quot;author&quot;:[{&quot;family&quot;:&quot;Krueger&quot;,&quot;given&quot;:&quot;F&quot;,&quot;parse-names&quot;:false,&quot;dropping-particle&quot;:&quot;&quot;,&quot;non-dropping-particle&quot;:&quot;&quot;}],&quot;container-title&quot;:&quot;Babraham Bioinformatics&quot;,&quot;issued&quot;:{&quot;date-parts&quot;:[[2012]]},&quot;abstract&quot;:&quot;Trim Galore! is a wrapper script to automate quality and adapter trimming as well as quality control, with some added functionality to remove biased methylation positions for RRBS sequence files (for directional, non-directional (or paired-end) sequencing).&quot;,&quot;container-title-short&quot;:&quot;&quot;},&quot;isTemporary&quot;:false}]},{&quot;citationID&quot;:&quot;MENDELEY_CITATION_d8c21d6b-3bb8-4654-ac76-481ec96ba8e4&quot;,&quot;properties&quot;:{&quot;noteIndex&quot;:0},&quot;isEdited&quot;:false,&quot;manualOverride&quot;:{&quot;isManuallyOverridden&quot;:false,&quot;citeprocText&quot;:&quot;[5]&quot;,&quot;manualOverrideText&quot;:&quot;&quot;},&quot;citationTag&quot;:&quot;MENDELEY_CITATION_v3_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&quot;,&quot;citationItems&quot;:[{&quot;id&quot;:&quot;7e9c2206-c426-3c31-afb4-6e4dc975e926&quot;,&quot;itemData&quot;:{&quot;type&quot;:&quot;article-journal&quot;,&quot;id&quot;:&quot;7e9c2206-c426-3c31-afb4-6e4dc975e926&quot;,&quot;title&quot;:&quot;STAR: Ultrafast universal RNA-seq aligner&quot;,&quot;author&quot;:[{&quot;family&quot;:&quot;Dobin&quot;,&quot;given&quot;:&quot;Alexander&quot;,&quot;parse-names&quot;:false,&quot;dropping-particle&quot;:&quot;&quot;,&quot;non-dropping-particle&quot;:&quot;&quot;},{&quot;family&quot;:&quot;Davis&quot;,&quot;given&quot;:&quot;Carrie A.&quot;,&quot;parse-names&quot;:false,&quot;dropping-particle&quot;:&quot;&quot;,&quot;non-dropping-particle&quot;:&quot;&quot;},{&quot;family&quot;:&quot;Schlesinger&quot;,&quot;given&quot;:&quot;Felix&quot;,&quot;parse-names&quot;:false,&quot;dropping-particle&quot;:&quot;&quot;,&quot;non-dropping-particle&quot;:&quot;&quot;},{&quot;family&quot;:&quot;Drenkow&quot;,&quot;given&quot;:&quot;Jorg&quot;,&quot;parse-names&quot;:false,&quot;dropping-particle&quot;:&quot;&quot;,&quot;non-dropping-particle&quot;:&quot;&quot;},{&quot;family&quot;:&quot;Zaleski&quot;,&quot;given&quot;:&quot;Chris&quot;,&quot;parse-names&quot;:false,&quot;dropping-particle&quot;:&quot;&quot;,&quot;non-dropping-particle&quot;:&quot;&quot;},{&quot;family&quot;:&quot;Jha&quot;,&quot;given&quot;:&quot;Sonali&quot;,&quot;parse-names&quot;:false,&quot;dropping-particle&quot;:&quot;&quot;,&quot;non-dropping-particle&quot;:&quot;&quot;},{&quot;family&quot;:&quot;Batut&quot;,&quot;given&quot;:&quot;Philippe&quot;,&quot;parse-names&quot;:false,&quot;dropping-particle&quot;:&quot;&quot;,&quot;non-dropping-particle&quot;:&quot;&quot;},{&quot;family&quot;:&quot;Chaisson&quot;,&quot;given&quot;:&quot;Mark&quot;,&quot;parse-names&quot;:false,&quot;dropping-particle&quot;:&quot;&quot;,&quot;non-dropping-particle&quot;:&quot;&quot;},{&quot;family&quot;:&quot;Gingeras&quot;,&quot;given&quot;:&quot;Thomas R.&quot;,&quot;parse-names&quot;:false,&quot;dropping-particle&quot;:&quot;&quot;,&quot;non-dropping-particle&quot;:&quot;&quot;}],&quot;container-title&quot;:&quot;Bioinformatics&quot;,&quot;DOI&quot;:&quot;10.1093/bioinformatics/bts635&quot;,&quot;ISSN&quot;:&quot;13674803&quot;,&quot;issued&quot;:{&quot;date-parts&quot;:[[2013]]},&quot;abstract&quot;:&quo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quot;,&quot;issue&quot;:&quot;1&quot;,&quot;volume&quot;:&quot;29&quot;,&quot;container-title-short&quot;:&quot;&quot;},&quot;isTemporary&quot;:false}]},{&quot;citationID&quot;:&quot;MENDELEY_CITATION_138e1cb2-816d-4fb3-851e-aec622c7fb7d&quot;,&quot;properties&quot;:{&quot;noteIndex&quot;:0},&quot;isEdited&quot;:false,&quot;manualOverride&quot;:{&quot;isManuallyOverridden&quot;:false,&quot;citeprocText&quot;:&quot;[3]&quot;,&quot;manualOverrideText&quot;:&quot;&quot;},&quot;citationTag&quot;:&quot;MENDELEY_CITATION_v3_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&quot;,&quot;citationItems&quot;:[{&quot;id&quot;:&quot;bb55823f-ee1b-3fdd-9f63-25fa47b3d5b7&quot;,&quot;itemData&quot;:{&quot;type&quot;:&quot;article&quot;,&quot;id&quot;:&quot;bb55823f-ee1b-3fdd-9f63-25fa47b3d5b7&quot;,&quot;title&quot;:&quot;The nf-core framework for community-curated bioinformatics pipelines&quot;,&quot;author&quot;:[{&quot;family&quot;:&quot;Ewels&quot;,&quot;given&quot;:&quot;Philip A.&quot;,&quot;parse-names&quot;:false,&quot;dropping-particle&quot;:&quot;&quot;,&quot;non-dropping-particle&quot;:&quot;&quot;},{&quot;family&quot;:&quot;Peltzer&quot;,&quot;given&quot;:&quot;Alexander&quot;,&quot;parse-names&quot;:false,&quot;dropping-particle&quot;:&quot;&quot;,&quot;non-dropping-particle&quot;:&quot;&quot;},{&quot;family&quot;:&quot;Fillinger&quot;,&quot;given&quot;:&quot;Sven&quot;,&quot;parse-names&quot;:false,&quot;dropping-particle&quot;:&quot;&quot;,&quot;non-dropping-particle&quot;:&quot;&quot;},{&quot;family&quot;:&quot;Patel&quot;,&quot;given&quot;:&quot;Harshil&quot;,&quot;parse-names&quot;:false,&quot;dropping-particle&quot;:&quot;&quot;,&quot;non-dropping-particle&quot;:&quot;&quot;},{&quot;family&quot;:&quot;Alneberg&quot;,&quot;given&quot;:&quot;Johannes&quot;,&quot;parse-names&quot;:false,&quot;dropping-particle&quot;:&quot;&quot;,&quot;non-dropping-particle&quot;:&quot;&quot;},{&quot;family&quot;:&quot;Wilm&quot;,&quot;given&quot;:&quot;Andreas&quot;,&quot;parse-names&quot;:false,&quot;dropping-particle&quot;:&quot;&quot;,&quot;non-dropping-particle&quot;:&quot;&quot;},{&quot;family&quot;:&quot;Garcia&quot;,&quot;given&quot;:&quot;Maxime Ulysse&quot;,&quot;parse-names&quot;:false,&quot;dropping-particle&quot;:&quot;&quot;,&quot;non-dropping-particle&quot;:&quot;&quot;},{&quot;family&quot;:&quot;Tommaso&quot;,&quot;given&quot;:&quot;Paolo&quot;,&quot;parse-names&quot;:false,&quot;dropping-particle&quot;:&quot;&quot;,&quot;non-dropping-particle&quot;:&quot;di&quot;},{&quot;family&quot;:&quot;Nahnsen&quot;,&quot;given&quot;:&quot;Sven&quot;,&quot;parse-names&quot;:false,&quot;dropping-particle&quot;:&quot;&quot;,&quot;non-dropping-particle&quot;:&quot;&quot;}],&quot;container-title&quot;:&quot;Nature Biotechnology&quot;,&quot;DOI&quot;:&quot;10.1038/s41587-020-0439-x&quot;,&quot;ISSN&quot;:&quot;15461696&quot;,&quot;issued&quot;:{&quot;date-parts&quot;:[[2020]]},&quot;issue&quot;:&quot;3&quot;,&quot;volume&quot;:&quot;38&quot;,&quot;container-title-short&quot;:&quot;&quot;},&quot;isTemporary&quot;:false}]},{&quot;citationID&quot;:&quot;MENDELEY_CITATION_172f3619-22bc-4f98-881b-5e74d10e4ed5&quot;,&quot;properties&quot;:{&quot;noteIndex&quot;:0},&quot;isEdited&quot;:false,&quot;manualOverride&quot;:{&quot;isManuallyOverridden&quot;:false,&quot;citeprocText&quot;:&quot;[5]&quot;,&quot;manualOverrideText&quot;:&quot;&quot;},&quot;citationTag&quot;:&quot;MENDELEY_CITATION_v3_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&quot;,&quot;citationItems&quot;:[{&quot;id&quot;:&quot;7e9c2206-c426-3c31-afb4-6e4dc975e926&quot;,&quot;itemData&quot;:{&quot;type&quot;:&quot;article-journal&quot;,&quot;id&quot;:&quot;7e9c2206-c426-3c31-afb4-6e4dc975e926&quot;,&quot;title&quot;:&quot;STAR: Ultrafast universal RNA-seq aligner&quot;,&quot;author&quot;:[{&quot;family&quot;:&quot;Dobin&quot;,&quot;given&quot;:&quot;Alexander&quot;,&quot;parse-names&quot;:false,&quot;dropping-particle&quot;:&quot;&quot;,&quot;non-dropping-particle&quot;:&quot;&quot;},{&quot;family&quot;:&quot;Davis&quot;,&quot;given&quot;:&quot;Carrie A.&quot;,&quot;parse-names&quot;:false,&quot;dropping-particle&quot;:&quot;&quot;,&quot;non-dropping-particle&quot;:&quot;&quot;},{&quot;family&quot;:&quot;Schlesinger&quot;,&quot;given&quot;:&quot;Felix&quot;,&quot;parse-names&quot;:false,&quot;dropping-particle&quot;:&quot;&quot;,&quot;non-dropping-particle&quot;:&quot;&quot;},{&quot;family&quot;:&quot;Drenkow&quot;,&quot;given&quot;:&quot;Jorg&quot;,&quot;parse-names&quot;:false,&quot;dropping-particle&quot;:&quot;&quot;,&quot;non-dropping-particle&quot;:&quot;&quot;},{&quot;family&quot;:&quot;Zaleski&quot;,&quot;given&quot;:&quot;Chris&quot;,&quot;parse-names&quot;:false,&quot;dropping-particle&quot;:&quot;&quot;,&quot;non-dropping-particle&quot;:&quot;&quot;},{&quot;family&quot;:&quot;Jha&quot;,&quot;given&quot;:&quot;Sonali&quot;,&quot;parse-names&quot;:false,&quot;dropping-particle&quot;:&quot;&quot;,&quot;non-dropping-particle&quot;:&quot;&quot;},{&quot;family&quot;:&quot;Batut&quot;,&quot;given&quot;:&quot;Philippe&quot;,&quot;parse-names&quot;:false,&quot;dropping-particle&quot;:&quot;&quot;,&quot;non-dropping-particle&quot;:&quot;&quot;},{&quot;family&quot;:&quot;Chaisson&quot;,&quot;given&quot;:&quot;Mark&quot;,&quot;parse-names&quot;:false,&quot;dropping-particle&quot;:&quot;&quot;,&quot;non-dropping-particle&quot;:&quot;&quot;},{&quot;family&quot;:&quot;Gingeras&quot;,&quot;given&quot;:&quot;Thomas R.&quot;,&quot;parse-names&quot;:false,&quot;dropping-particle&quot;:&quot;&quot;,&quot;non-dropping-particle&quot;:&quot;&quot;}],&quot;container-title&quot;:&quot;Bioinformatics&quot;,&quot;DOI&quot;:&quot;10.1093/bioinformatics/bts635&quot;,&quot;ISSN&quot;:&quot;13674803&quot;,&quot;issued&quot;:{&quot;date-parts&quot;:[[2013]]},&quot;abstract&quot;:&quo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quot;,&quot;issue&quot;:&quot;1&quot;,&quot;volume&quot;:&quot;29&quot;,&quot;container-title-short&quot;:&quot;&quot;},&quot;isTemporary&quot;:false}]}]"/>
    <we:property name="MENDELEY_CITATIONS_STYLE" value="{&quot;id&quot;:&quot;https://www.zotero.org/styles/journal-of-neuroinflammation&quot;,&quot;title&quot;:&quot;Journal of Neuroinflammation&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B2B56-2A89-4BEC-8704-A6FBF911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8607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Jini Mol</cp:lastModifiedBy>
  <cp:revision>3</cp:revision>
  <cp:lastPrinted>2022-06-18T13:29:00Z</cp:lastPrinted>
  <dcterms:created xsi:type="dcterms:W3CDTF">2022-09-13T08:12:00Z</dcterms:created>
  <dcterms:modified xsi:type="dcterms:W3CDTF">2022-09-28T01:39:00Z</dcterms:modified>
</cp:coreProperties>
</file>