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49C851" w14:textId="15CB6505" w:rsidR="00E84498" w:rsidRDefault="00E84498" w:rsidP="00E84498">
      <w:pPr>
        <w:rPr>
          <w:rFonts w:ascii="Arial" w:hAnsi="Arial" w:cs="Arial"/>
          <w:sz w:val="20"/>
          <w:szCs w:val="20"/>
          <w:lang w:val="en-US"/>
        </w:rPr>
      </w:pPr>
      <w:r>
        <w:rPr>
          <w:rFonts w:ascii="Arial" w:hAnsi="Arial" w:cs="Arial"/>
          <w:b/>
          <w:bCs/>
          <w:sz w:val="24"/>
          <w:szCs w:val="24"/>
          <w:lang w:val="en-US"/>
        </w:rPr>
        <w:t xml:space="preserve">Table </w:t>
      </w:r>
      <w:r w:rsidR="00DB75B9">
        <w:rPr>
          <w:rFonts w:ascii="Arial" w:hAnsi="Arial" w:cs="Arial"/>
          <w:b/>
          <w:bCs/>
          <w:sz w:val="24"/>
          <w:szCs w:val="24"/>
          <w:lang w:val="en-US"/>
        </w:rPr>
        <w:t>S</w:t>
      </w:r>
      <w:bookmarkStart w:id="0" w:name="_GoBack"/>
      <w:bookmarkEnd w:id="0"/>
      <w:r>
        <w:rPr>
          <w:rFonts w:ascii="Arial" w:hAnsi="Arial" w:cs="Arial"/>
          <w:b/>
          <w:bCs/>
          <w:sz w:val="24"/>
          <w:szCs w:val="24"/>
          <w:lang w:val="en-US"/>
        </w:rPr>
        <w:t>2. Markers of human T-cell differentiation</w:t>
      </w:r>
      <w:r>
        <w:rPr>
          <w:rFonts w:ascii="Arial" w:hAnsi="Arial" w:cs="Arial"/>
          <w:b/>
          <w:bCs/>
          <w:sz w:val="24"/>
          <w:szCs w:val="24"/>
          <w:vertAlign w:val="superscript"/>
          <w:lang w:val="en-US"/>
        </w:rPr>
        <w:t>*</w:t>
      </w:r>
      <w:r>
        <w:rPr>
          <w:rFonts w:ascii="Arial" w:hAnsi="Arial" w:cs="Arial"/>
          <w:b/>
          <w:bCs/>
          <w:sz w:val="24"/>
          <w:szCs w:val="24"/>
          <w:lang w:val="en-US"/>
        </w:rPr>
        <w:t>.</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1275"/>
        <w:gridCol w:w="1275"/>
        <w:gridCol w:w="1275"/>
        <w:gridCol w:w="1616"/>
        <w:gridCol w:w="1559"/>
      </w:tblGrid>
      <w:tr w:rsidR="00E84498" w14:paraId="76AEE91A" w14:textId="77777777" w:rsidTr="00797EDE">
        <w:trPr>
          <w:trHeight w:val="271"/>
        </w:trPr>
        <w:tc>
          <w:tcPr>
            <w:tcW w:w="1080" w:type="dxa"/>
            <w:tcBorders>
              <w:top w:val="nil"/>
              <w:left w:val="nil"/>
              <w:bottom w:val="single" w:sz="4" w:space="0" w:color="auto"/>
              <w:right w:val="nil"/>
            </w:tcBorders>
            <w:hideMark/>
          </w:tcPr>
          <w:p w14:paraId="1996A3EB" w14:textId="77777777" w:rsidR="00E84498" w:rsidRDefault="00E84498" w:rsidP="00583705">
            <w:pPr>
              <w:rPr>
                <w:b/>
                <w:bCs/>
                <w:sz w:val="24"/>
                <w:szCs w:val="24"/>
                <w:lang w:val="en-US"/>
              </w:rPr>
            </w:pPr>
            <w:bookmarkStart w:id="1" w:name="_Hlk80692174"/>
            <w:r>
              <w:rPr>
                <w:b/>
                <w:bCs/>
                <w:sz w:val="24"/>
                <w:szCs w:val="24"/>
                <w:lang w:val="en-US"/>
              </w:rPr>
              <w:t>Marker</w:t>
            </w:r>
          </w:p>
        </w:tc>
        <w:tc>
          <w:tcPr>
            <w:tcW w:w="1275" w:type="dxa"/>
            <w:tcBorders>
              <w:top w:val="nil"/>
              <w:left w:val="nil"/>
              <w:bottom w:val="single" w:sz="4" w:space="0" w:color="auto"/>
              <w:right w:val="nil"/>
            </w:tcBorders>
            <w:vAlign w:val="center"/>
            <w:hideMark/>
          </w:tcPr>
          <w:p w14:paraId="431B35B4" w14:textId="77777777" w:rsidR="00E84498" w:rsidRDefault="00E84498" w:rsidP="00583705">
            <w:pPr>
              <w:jc w:val="center"/>
              <w:rPr>
                <w:b/>
                <w:bCs/>
                <w:sz w:val="24"/>
                <w:szCs w:val="24"/>
                <w:lang w:val="en-US"/>
              </w:rPr>
            </w:pPr>
            <w:r>
              <w:rPr>
                <w:b/>
                <w:bCs/>
                <w:sz w:val="24"/>
                <w:szCs w:val="24"/>
                <w:lang w:val="en-US"/>
              </w:rPr>
              <w:t>T</w:t>
            </w:r>
            <w:r>
              <w:rPr>
                <w:b/>
                <w:bCs/>
                <w:sz w:val="24"/>
                <w:szCs w:val="24"/>
                <w:vertAlign w:val="subscript"/>
                <w:lang w:val="en-US"/>
              </w:rPr>
              <w:t>NA</w:t>
            </w:r>
          </w:p>
        </w:tc>
        <w:tc>
          <w:tcPr>
            <w:tcW w:w="1275" w:type="dxa"/>
            <w:tcBorders>
              <w:top w:val="nil"/>
              <w:left w:val="nil"/>
              <w:bottom w:val="single" w:sz="4" w:space="0" w:color="auto"/>
              <w:right w:val="nil"/>
            </w:tcBorders>
            <w:vAlign w:val="center"/>
            <w:hideMark/>
          </w:tcPr>
          <w:p w14:paraId="05E8113D" w14:textId="77777777" w:rsidR="00E84498" w:rsidRDefault="00E84498" w:rsidP="00583705">
            <w:pPr>
              <w:jc w:val="center"/>
              <w:rPr>
                <w:b/>
                <w:bCs/>
                <w:sz w:val="24"/>
                <w:szCs w:val="24"/>
                <w:lang w:val="en-US"/>
              </w:rPr>
            </w:pPr>
            <w:r>
              <w:rPr>
                <w:b/>
                <w:bCs/>
                <w:sz w:val="24"/>
                <w:szCs w:val="24"/>
                <w:lang w:val="en-US"/>
              </w:rPr>
              <w:t>T</w:t>
            </w:r>
            <w:r>
              <w:rPr>
                <w:b/>
                <w:bCs/>
                <w:sz w:val="24"/>
                <w:szCs w:val="24"/>
                <w:vertAlign w:val="subscript"/>
                <w:lang w:val="en-US"/>
              </w:rPr>
              <w:t>CM</w:t>
            </w:r>
          </w:p>
        </w:tc>
        <w:tc>
          <w:tcPr>
            <w:tcW w:w="1275" w:type="dxa"/>
            <w:tcBorders>
              <w:top w:val="nil"/>
              <w:left w:val="nil"/>
              <w:bottom w:val="single" w:sz="4" w:space="0" w:color="auto"/>
              <w:right w:val="nil"/>
            </w:tcBorders>
            <w:vAlign w:val="center"/>
            <w:hideMark/>
          </w:tcPr>
          <w:p w14:paraId="32E9F248" w14:textId="77777777" w:rsidR="00E84498" w:rsidRDefault="00E84498" w:rsidP="00583705">
            <w:pPr>
              <w:jc w:val="center"/>
              <w:rPr>
                <w:b/>
                <w:bCs/>
                <w:sz w:val="24"/>
                <w:szCs w:val="24"/>
                <w:lang w:val="en-US"/>
              </w:rPr>
            </w:pPr>
            <w:r>
              <w:rPr>
                <w:b/>
                <w:bCs/>
                <w:sz w:val="24"/>
                <w:szCs w:val="24"/>
                <w:lang w:val="en-US"/>
              </w:rPr>
              <w:t>T</w:t>
            </w:r>
            <w:r>
              <w:rPr>
                <w:b/>
                <w:bCs/>
                <w:sz w:val="24"/>
                <w:szCs w:val="24"/>
                <w:vertAlign w:val="subscript"/>
                <w:lang w:val="en-US"/>
              </w:rPr>
              <w:t>EM</w:t>
            </w:r>
          </w:p>
        </w:tc>
        <w:tc>
          <w:tcPr>
            <w:tcW w:w="1616" w:type="dxa"/>
            <w:tcBorders>
              <w:top w:val="nil"/>
              <w:left w:val="nil"/>
              <w:bottom w:val="single" w:sz="4" w:space="0" w:color="auto"/>
              <w:right w:val="nil"/>
            </w:tcBorders>
            <w:vAlign w:val="center"/>
            <w:hideMark/>
          </w:tcPr>
          <w:p w14:paraId="54007292" w14:textId="77777777" w:rsidR="00E84498" w:rsidRDefault="00E84498" w:rsidP="00583705">
            <w:pPr>
              <w:jc w:val="center"/>
              <w:rPr>
                <w:b/>
                <w:bCs/>
                <w:sz w:val="24"/>
                <w:szCs w:val="24"/>
                <w:lang w:val="en-US"/>
              </w:rPr>
            </w:pPr>
            <w:r>
              <w:rPr>
                <w:b/>
                <w:bCs/>
                <w:sz w:val="24"/>
                <w:szCs w:val="24"/>
                <w:lang w:val="en-US"/>
              </w:rPr>
              <w:t>T</w:t>
            </w:r>
            <w:r>
              <w:rPr>
                <w:b/>
                <w:bCs/>
                <w:sz w:val="24"/>
                <w:szCs w:val="24"/>
                <w:vertAlign w:val="subscript"/>
                <w:lang w:val="en-US"/>
              </w:rPr>
              <w:t>EMRA</w:t>
            </w:r>
          </w:p>
        </w:tc>
        <w:tc>
          <w:tcPr>
            <w:tcW w:w="1559" w:type="dxa"/>
            <w:tcBorders>
              <w:top w:val="nil"/>
              <w:left w:val="nil"/>
              <w:bottom w:val="single" w:sz="4" w:space="0" w:color="auto"/>
              <w:right w:val="nil"/>
            </w:tcBorders>
            <w:vAlign w:val="center"/>
            <w:hideMark/>
          </w:tcPr>
          <w:p w14:paraId="303830A5" w14:textId="77777777" w:rsidR="00E84498" w:rsidRDefault="00E84498" w:rsidP="00583705">
            <w:pPr>
              <w:jc w:val="center"/>
              <w:rPr>
                <w:b/>
                <w:bCs/>
                <w:sz w:val="24"/>
                <w:szCs w:val="24"/>
                <w:lang w:val="en-US"/>
              </w:rPr>
            </w:pPr>
            <w:r>
              <w:rPr>
                <w:b/>
                <w:bCs/>
                <w:sz w:val="24"/>
                <w:szCs w:val="24"/>
                <w:lang w:val="en-US"/>
              </w:rPr>
              <w:t>T</w:t>
            </w:r>
            <w:r>
              <w:rPr>
                <w:b/>
                <w:bCs/>
                <w:sz w:val="24"/>
                <w:szCs w:val="24"/>
                <w:vertAlign w:val="subscript"/>
                <w:lang w:val="en-US"/>
              </w:rPr>
              <w:t>RM</w:t>
            </w:r>
          </w:p>
        </w:tc>
        <w:bookmarkEnd w:id="1"/>
      </w:tr>
      <w:tr w:rsidR="00E84498" w14:paraId="33764214" w14:textId="77777777" w:rsidTr="00797EDE">
        <w:trPr>
          <w:trHeight w:val="271"/>
        </w:trPr>
        <w:tc>
          <w:tcPr>
            <w:tcW w:w="1080" w:type="dxa"/>
            <w:tcBorders>
              <w:top w:val="single" w:sz="8" w:space="0" w:color="auto"/>
              <w:left w:val="nil"/>
              <w:bottom w:val="nil"/>
              <w:right w:val="nil"/>
            </w:tcBorders>
            <w:shd w:val="clear" w:color="auto" w:fill="FFFFFF" w:themeFill="background1"/>
            <w:vAlign w:val="center"/>
            <w:hideMark/>
          </w:tcPr>
          <w:p w14:paraId="2F318F5F" w14:textId="77777777" w:rsidR="00E84498" w:rsidRDefault="00E84498" w:rsidP="00583705">
            <w:pPr>
              <w:rPr>
                <w:lang w:val="en-US"/>
              </w:rPr>
            </w:pPr>
            <w:r>
              <w:rPr>
                <w:rFonts w:ascii="Calibri" w:hAnsi="Calibri" w:cs="Calibri"/>
                <w:color w:val="000000"/>
                <w:lang w:val="en-US"/>
              </w:rPr>
              <w:t>CD45RA</w:t>
            </w:r>
          </w:p>
        </w:tc>
        <w:tc>
          <w:tcPr>
            <w:tcW w:w="1275" w:type="dxa"/>
            <w:tcBorders>
              <w:top w:val="single" w:sz="8" w:space="0" w:color="auto"/>
              <w:left w:val="nil"/>
              <w:bottom w:val="nil"/>
              <w:right w:val="nil"/>
            </w:tcBorders>
            <w:shd w:val="clear" w:color="auto" w:fill="FFFFFF" w:themeFill="background1"/>
            <w:vAlign w:val="center"/>
            <w:hideMark/>
          </w:tcPr>
          <w:p w14:paraId="1B55EBFB" w14:textId="77777777" w:rsidR="00E84498" w:rsidRDefault="00E84498" w:rsidP="00583705">
            <w:pPr>
              <w:jc w:val="center"/>
              <w:rPr>
                <w:lang w:val="en-US"/>
              </w:rPr>
            </w:pPr>
            <w:r>
              <w:rPr>
                <w:lang w:val="en-US"/>
              </w:rPr>
              <w:t>+</w:t>
            </w:r>
          </w:p>
        </w:tc>
        <w:tc>
          <w:tcPr>
            <w:tcW w:w="1275" w:type="dxa"/>
            <w:tcBorders>
              <w:top w:val="single" w:sz="8" w:space="0" w:color="auto"/>
              <w:left w:val="nil"/>
              <w:bottom w:val="nil"/>
              <w:right w:val="nil"/>
            </w:tcBorders>
            <w:shd w:val="clear" w:color="auto" w:fill="FFFFFF" w:themeFill="background1"/>
            <w:vAlign w:val="center"/>
            <w:hideMark/>
          </w:tcPr>
          <w:p w14:paraId="4A4AC610" w14:textId="77777777" w:rsidR="00E84498" w:rsidRDefault="00E84498" w:rsidP="00583705">
            <w:pPr>
              <w:jc w:val="center"/>
              <w:rPr>
                <w:lang w:val="en-US"/>
              </w:rPr>
            </w:pPr>
            <w:r>
              <w:rPr>
                <w:lang w:val="en-US"/>
              </w:rPr>
              <w:t>-</w:t>
            </w:r>
          </w:p>
        </w:tc>
        <w:tc>
          <w:tcPr>
            <w:tcW w:w="1275" w:type="dxa"/>
            <w:tcBorders>
              <w:top w:val="single" w:sz="8" w:space="0" w:color="auto"/>
              <w:left w:val="nil"/>
              <w:bottom w:val="nil"/>
              <w:right w:val="nil"/>
            </w:tcBorders>
            <w:shd w:val="clear" w:color="auto" w:fill="FFFFFF" w:themeFill="background1"/>
            <w:vAlign w:val="center"/>
            <w:hideMark/>
          </w:tcPr>
          <w:p w14:paraId="319D3166"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616" w:type="dxa"/>
            <w:tcBorders>
              <w:top w:val="single" w:sz="8" w:space="0" w:color="auto"/>
              <w:left w:val="nil"/>
              <w:bottom w:val="nil"/>
              <w:right w:val="nil"/>
            </w:tcBorders>
            <w:shd w:val="clear" w:color="auto" w:fill="FFFFFF" w:themeFill="background1"/>
            <w:vAlign w:val="center"/>
            <w:hideMark/>
          </w:tcPr>
          <w:p w14:paraId="767CEADF"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559" w:type="dxa"/>
            <w:tcBorders>
              <w:top w:val="single" w:sz="8" w:space="0" w:color="auto"/>
              <w:left w:val="nil"/>
              <w:bottom w:val="nil"/>
              <w:right w:val="nil"/>
            </w:tcBorders>
            <w:shd w:val="clear" w:color="auto" w:fill="FFFFFF" w:themeFill="background1"/>
            <w:vAlign w:val="center"/>
            <w:hideMark/>
          </w:tcPr>
          <w:p w14:paraId="314B5E88"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r w:rsidR="00E84498" w14:paraId="57AF9890" w14:textId="77777777" w:rsidTr="00797EDE">
        <w:trPr>
          <w:trHeight w:val="283"/>
        </w:trPr>
        <w:tc>
          <w:tcPr>
            <w:tcW w:w="1080" w:type="dxa"/>
            <w:shd w:val="clear" w:color="auto" w:fill="FFFFFF" w:themeFill="background1"/>
            <w:vAlign w:val="center"/>
            <w:hideMark/>
          </w:tcPr>
          <w:p w14:paraId="5AD1B55B" w14:textId="77777777" w:rsidR="00E84498" w:rsidRDefault="00E84498" w:rsidP="00583705">
            <w:pPr>
              <w:rPr>
                <w:lang w:val="en-US"/>
              </w:rPr>
            </w:pPr>
            <w:r>
              <w:rPr>
                <w:rFonts w:ascii="Calibri" w:hAnsi="Calibri" w:cs="Calibri"/>
                <w:lang w:val="en-US"/>
              </w:rPr>
              <w:t>CD27</w:t>
            </w:r>
          </w:p>
        </w:tc>
        <w:tc>
          <w:tcPr>
            <w:tcW w:w="1275" w:type="dxa"/>
            <w:shd w:val="clear" w:color="auto" w:fill="FFFFFF" w:themeFill="background1"/>
            <w:vAlign w:val="center"/>
            <w:hideMark/>
          </w:tcPr>
          <w:p w14:paraId="3A2757D3"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1261057C"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2F1C12A1" w14:textId="77777777" w:rsidR="00E84498" w:rsidRDefault="00E84498" w:rsidP="00583705">
            <w:pPr>
              <w:jc w:val="center"/>
              <w:rPr>
                <w:rFonts w:ascii="Calibri" w:hAnsi="Calibri" w:cs="Calibri"/>
                <w:lang w:val="en-US"/>
              </w:rPr>
            </w:pPr>
            <w:r>
              <w:rPr>
                <w:rFonts w:ascii="Calibri" w:hAnsi="Calibri" w:cs="Calibri"/>
                <w:lang w:val="en-US"/>
              </w:rPr>
              <w:t>-/+</w:t>
            </w:r>
          </w:p>
        </w:tc>
        <w:tc>
          <w:tcPr>
            <w:tcW w:w="1616" w:type="dxa"/>
            <w:shd w:val="clear" w:color="auto" w:fill="FFFFFF" w:themeFill="background1"/>
            <w:vAlign w:val="center"/>
            <w:hideMark/>
          </w:tcPr>
          <w:p w14:paraId="6303873F"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559" w:type="dxa"/>
            <w:shd w:val="clear" w:color="auto" w:fill="FFFFFF" w:themeFill="background1"/>
            <w:vAlign w:val="center"/>
            <w:hideMark/>
          </w:tcPr>
          <w:p w14:paraId="19687725"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r w:rsidR="00E84498" w14:paraId="39CC4870" w14:textId="77777777" w:rsidTr="00797EDE">
        <w:trPr>
          <w:trHeight w:val="271"/>
        </w:trPr>
        <w:tc>
          <w:tcPr>
            <w:tcW w:w="1080" w:type="dxa"/>
            <w:shd w:val="clear" w:color="auto" w:fill="FFFFFF" w:themeFill="background1"/>
            <w:vAlign w:val="center"/>
            <w:hideMark/>
          </w:tcPr>
          <w:p w14:paraId="067CA927" w14:textId="77777777" w:rsidR="00E84498" w:rsidRDefault="00E84498" w:rsidP="00583705">
            <w:pPr>
              <w:rPr>
                <w:lang w:val="en-US"/>
              </w:rPr>
            </w:pPr>
            <w:r>
              <w:rPr>
                <w:rFonts w:ascii="Calibri" w:hAnsi="Calibri" w:cs="Calibri"/>
                <w:lang w:val="en-US"/>
              </w:rPr>
              <w:t>CD28</w:t>
            </w:r>
          </w:p>
        </w:tc>
        <w:tc>
          <w:tcPr>
            <w:tcW w:w="1275" w:type="dxa"/>
            <w:shd w:val="clear" w:color="auto" w:fill="FFFFFF" w:themeFill="background1"/>
            <w:vAlign w:val="center"/>
            <w:hideMark/>
          </w:tcPr>
          <w:p w14:paraId="7771F2AA"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6977581F"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227C7A8D" w14:textId="77777777" w:rsidR="00E84498" w:rsidRDefault="00E84498" w:rsidP="00583705">
            <w:pPr>
              <w:jc w:val="center"/>
              <w:rPr>
                <w:rFonts w:ascii="Calibri" w:hAnsi="Calibri" w:cs="Calibri"/>
                <w:lang w:val="en-US"/>
              </w:rPr>
            </w:pPr>
            <w:r>
              <w:rPr>
                <w:rFonts w:ascii="Calibri" w:hAnsi="Calibri" w:cs="Calibri"/>
                <w:lang w:val="en-US"/>
              </w:rPr>
              <w:t>-/+</w:t>
            </w:r>
          </w:p>
        </w:tc>
        <w:tc>
          <w:tcPr>
            <w:tcW w:w="1616" w:type="dxa"/>
            <w:shd w:val="clear" w:color="auto" w:fill="FFFFFF" w:themeFill="background1"/>
            <w:vAlign w:val="center"/>
            <w:hideMark/>
          </w:tcPr>
          <w:p w14:paraId="1C762C2C"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559" w:type="dxa"/>
            <w:shd w:val="clear" w:color="auto" w:fill="FFFFFF" w:themeFill="background1"/>
            <w:vAlign w:val="center"/>
            <w:hideMark/>
          </w:tcPr>
          <w:p w14:paraId="7C894941"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r w:rsidR="00E84498" w14:paraId="02D2FFD6" w14:textId="77777777" w:rsidTr="00797EDE">
        <w:trPr>
          <w:trHeight w:val="271"/>
        </w:trPr>
        <w:tc>
          <w:tcPr>
            <w:tcW w:w="1080" w:type="dxa"/>
            <w:shd w:val="clear" w:color="auto" w:fill="FFFFFF" w:themeFill="background1"/>
            <w:vAlign w:val="center"/>
            <w:hideMark/>
          </w:tcPr>
          <w:p w14:paraId="6D03B40C" w14:textId="77777777" w:rsidR="00E84498" w:rsidRDefault="00E84498" w:rsidP="00583705">
            <w:pPr>
              <w:rPr>
                <w:lang w:val="en-US"/>
              </w:rPr>
            </w:pPr>
            <w:r>
              <w:rPr>
                <w:rFonts w:ascii="Calibri" w:hAnsi="Calibri" w:cs="Calibri"/>
                <w:color w:val="000000"/>
                <w:lang w:val="en-US"/>
              </w:rPr>
              <w:t>CCR7</w:t>
            </w:r>
          </w:p>
        </w:tc>
        <w:tc>
          <w:tcPr>
            <w:tcW w:w="1275" w:type="dxa"/>
            <w:shd w:val="clear" w:color="auto" w:fill="FFFFFF" w:themeFill="background1"/>
            <w:vAlign w:val="center"/>
            <w:hideMark/>
          </w:tcPr>
          <w:p w14:paraId="421F1583"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3D8924D2"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51566B26"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616" w:type="dxa"/>
            <w:shd w:val="clear" w:color="auto" w:fill="FFFFFF" w:themeFill="background1"/>
            <w:vAlign w:val="center"/>
            <w:hideMark/>
          </w:tcPr>
          <w:p w14:paraId="7B5968FE"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559" w:type="dxa"/>
            <w:shd w:val="clear" w:color="auto" w:fill="FFFFFF" w:themeFill="background1"/>
            <w:vAlign w:val="center"/>
            <w:hideMark/>
          </w:tcPr>
          <w:p w14:paraId="301DD076"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r w:rsidR="00E84498" w14:paraId="2BEF1311" w14:textId="77777777" w:rsidTr="00797EDE">
        <w:trPr>
          <w:trHeight w:val="283"/>
        </w:trPr>
        <w:tc>
          <w:tcPr>
            <w:tcW w:w="1080" w:type="dxa"/>
            <w:shd w:val="clear" w:color="auto" w:fill="FFFFFF" w:themeFill="background1"/>
            <w:vAlign w:val="center"/>
            <w:hideMark/>
          </w:tcPr>
          <w:p w14:paraId="73AD545C" w14:textId="77777777" w:rsidR="00E84498" w:rsidRDefault="00E84498" w:rsidP="00583705">
            <w:pPr>
              <w:rPr>
                <w:lang w:val="en-US"/>
              </w:rPr>
            </w:pPr>
            <w:r>
              <w:rPr>
                <w:rFonts w:ascii="Calibri" w:hAnsi="Calibri" w:cs="Calibri"/>
                <w:lang w:val="en-US"/>
              </w:rPr>
              <w:t>CD127</w:t>
            </w:r>
          </w:p>
        </w:tc>
        <w:tc>
          <w:tcPr>
            <w:tcW w:w="1275" w:type="dxa"/>
            <w:shd w:val="clear" w:color="auto" w:fill="FFFFFF" w:themeFill="background1"/>
            <w:vAlign w:val="center"/>
            <w:hideMark/>
          </w:tcPr>
          <w:p w14:paraId="5B8A404A"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61D132D1"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31977742" w14:textId="77777777" w:rsidR="00E84498" w:rsidRDefault="00E84498" w:rsidP="00583705">
            <w:pPr>
              <w:jc w:val="center"/>
              <w:rPr>
                <w:rFonts w:ascii="Calibri" w:hAnsi="Calibri" w:cs="Calibri"/>
                <w:lang w:val="en-US"/>
              </w:rPr>
            </w:pPr>
            <w:r>
              <w:rPr>
                <w:rFonts w:ascii="Calibri" w:hAnsi="Calibri" w:cs="Calibri"/>
                <w:lang w:val="en-US"/>
              </w:rPr>
              <w:t>+</w:t>
            </w:r>
          </w:p>
        </w:tc>
        <w:tc>
          <w:tcPr>
            <w:tcW w:w="1616" w:type="dxa"/>
            <w:shd w:val="clear" w:color="auto" w:fill="FFFFFF" w:themeFill="background1"/>
            <w:vAlign w:val="center"/>
            <w:hideMark/>
          </w:tcPr>
          <w:p w14:paraId="1AC6F812"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559" w:type="dxa"/>
            <w:shd w:val="clear" w:color="auto" w:fill="FFFFFF" w:themeFill="background1"/>
            <w:vAlign w:val="center"/>
            <w:hideMark/>
          </w:tcPr>
          <w:p w14:paraId="5E277CE4"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r w:rsidR="00E84498" w14:paraId="552CADB6" w14:textId="77777777" w:rsidTr="00797EDE">
        <w:trPr>
          <w:trHeight w:val="283"/>
        </w:trPr>
        <w:tc>
          <w:tcPr>
            <w:tcW w:w="1080" w:type="dxa"/>
            <w:shd w:val="clear" w:color="auto" w:fill="FFFFFF" w:themeFill="background1"/>
            <w:hideMark/>
          </w:tcPr>
          <w:p w14:paraId="0DBB3DA8" w14:textId="77777777" w:rsidR="00E84498" w:rsidRDefault="00E84498" w:rsidP="00583705">
            <w:pPr>
              <w:rPr>
                <w:lang w:val="en-US"/>
              </w:rPr>
            </w:pPr>
            <w:r>
              <w:t>KLRG-1</w:t>
            </w:r>
          </w:p>
        </w:tc>
        <w:tc>
          <w:tcPr>
            <w:tcW w:w="1275" w:type="dxa"/>
            <w:shd w:val="clear" w:color="auto" w:fill="FFFFFF" w:themeFill="background1"/>
            <w:hideMark/>
          </w:tcPr>
          <w:p w14:paraId="63391EA3" w14:textId="77777777" w:rsidR="00E84498" w:rsidRDefault="00E84498" w:rsidP="00583705">
            <w:pPr>
              <w:jc w:val="center"/>
              <w:rPr>
                <w:lang w:val="en-US"/>
              </w:rPr>
            </w:pPr>
            <w:r>
              <w:t>-</w:t>
            </w:r>
          </w:p>
        </w:tc>
        <w:tc>
          <w:tcPr>
            <w:tcW w:w="1275" w:type="dxa"/>
            <w:shd w:val="clear" w:color="auto" w:fill="FFFFFF" w:themeFill="background1"/>
            <w:hideMark/>
          </w:tcPr>
          <w:p w14:paraId="21592D6E" w14:textId="77777777" w:rsidR="00E84498" w:rsidRDefault="00E84498" w:rsidP="00583705">
            <w:pPr>
              <w:jc w:val="center"/>
              <w:rPr>
                <w:lang w:val="en-US"/>
              </w:rPr>
            </w:pPr>
            <w:r>
              <w:t>+</w:t>
            </w:r>
          </w:p>
        </w:tc>
        <w:tc>
          <w:tcPr>
            <w:tcW w:w="1275" w:type="dxa"/>
            <w:shd w:val="clear" w:color="auto" w:fill="FFFFFF" w:themeFill="background1"/>
            <w:hideMark/>
          </w:tcPr>
          <w:p w14:paraId="7530A31C" w14:textId="77777777" w:rsidR="00E84498" w:rsidRDefault="00E84498" w:rsidP="00583705">
            <w:pPr>
              <w:jc w:val="center"/>
              <w:rPr>
                <w:rFonts w:ascii="Calibri" w:hAnsi="Calibri" w:cs="Calibri"/>
                <w:color w:val="000000"/>
                <w:lang w:val="en-US"/>
              </w:rPr>
            </w:pPr>
            <w:r>
              <w:t>+</w:t>
            </w:r>
          </w:p>
        </w:tc>
        <w:tc>
          <w:tcPr>
            <w:tcW w:w="1616" w:type="dxa"/>
            <w:shd w:val="clear" w:color="auto" w:fill="FFFFFF" w:themeFill="background1"/>
            <w:hideMark/>
          </w:tcPr>
          <w:p w14:paraId="65EE5451" w14:textId="77777777" w:rsidR="00E84498" w:rsidRDefault="00E84498" w:rsidP="00583705">
            <w:pPr>
              <w:jc w:val="center"/>
              <w:rPr>
                <w:rFonts w:ascii="Calibri" w:hAnsi="Calibri" w:cs="Calibri"/>
                <w:color w:val="000000"/>
                <w:lang w:val="en-US"/>
              </w:rPr>
            </w:pPr>
            <w:r>
              <w:t>+</w:t>
            </w:r>
          </w:p>
        </w:tc>
        <w:tc>
          <w:tcPr>
            <w:tcW w:w="1559" w:type="dxa"/>
            <w:shd w:val="clear" w:color="auto" w:fill="FFFFFF" w:themeFill="background1"/>
            <w:hideMark/>
          </w:tcPr>
          <w:p w14:paraId="03259E0B" w14:textId="77777777" w:rsidR="00E84498" w:rsidRDefault="00E84498" w:rsidP="00583705">
            <w:pPr>
              <w:jc w:val="center"/>
              <w:rPr>
                <w:rFonts w:ascii="Calibri" w:hAnsi="Calibri" w:cs="Calibri"/>
                <w:color w:val="000000"/>
                <w:lang w:val="en-US"/>
              </w:rPr>
            </w:pPr>
            <w:r>
              <w:t>+</w:t>
            </w:r>
          </w:p>
        </w:tc>
      </w:tr>
      <w:tr w:rsidR="00E84498" w14:paraId="18515ED6" w14:textId="77777777" w:rsidTr="00797EDE">
        <w:trPr>
          <w:trHeight w:val="283"/>
        </w:trPr>
        <w:tc>
          <w:tcPr>
            <w:tcW w:w="1080" w:type="dxa"/>
            <w:shd w:val="clear" w:color="auto" w:fill="FFFFFF" w:themeFill="background1"/>
            <w:hideMark/>
          </w:tcPr>
          <w:p w14:paraId="2E111548" w14:textId="77777777" w:rsidR="00E84498" w:rsidRDefault="00E84498" w:rsidP="00583705">
            <w:pPr>
              <w:rPr>
                <w:rFonts w:ascii="Calibri" w:hAnsi="Calibri" w:cs="Calibri"/>
                <w:color w:val="000000"/>
                <w:lang w:val="en-US"/>
              </w:rPr>
            </w:pPr>
            <w:r>
              <w:t>PD1</w:t>
            </w:r>
          </w:p>
        </w:tc>
        <w:tc>
          <w:tcPr>
            <w:tcW w:w="1275" w:type="dxa"/>
            <w:shd w:val="clear" w:color="auto" w:fill="FFFFFF" w:themeFill="background1"/>
            <w:hideMark/>
          </w:tcPr>
          <w:p w14:paraId="606A46CB" w14:textId="77777777" w:rsidR="00E84498" w:rsidRDefault="00E84498" w:rsidP="00583705">
            <w:pPr>
              <w:jc w:val="center"/>
              <w:rPr>
                <w:lang w:val="en-US"/>
              </w:rPr>
            </w:pPr>
            <w:r>
              <w:t>-</w:t>
            </w:r>
          </w:p>
        </w:tc>
        <w:tc>
          <w:tcPr>
            <w:tcW w:w="1275" w:type="dxa"/>
            <w:shd w:val="clear" w:color="auto" w:fill="FFFFFF" w:themeFill="background1"/>
            <w:hideMark/>
          </w:tcPr>
          <w:p w14:paraId="682AB934" w14:textId="77777777" w:rsidR="00E84498" w:rsidRDefault="00E84498" w:rsidP="00583705">
            <w:pPr>
              <w:jc w:val="center"/>
              <w:rPr>
                <w:lang w:val="en-US"/>
              </w:rPr>
            </w:pPr>
            <w:r>
              <w:t>+</w:t>
            </w:r>
          </w:p>
        </w:tc>
        <w:tc>
          <w:tcPr>
            <w:tcW w:w="1275" w:type="dxa"/>
            <w:shd w:val="clear" w:color="auto" w:fill="FFFFFF" w:themeFill="background1"/>
            <w:hideMark/>
          </w:tcPr>
          <w:p w14:paraId="4A0FE977" w14:textId="77777777" w:rsidR="00E84498" w:rsidRDefault="00E84498" w:rsidP="00583705">
            <w:pPr>
              <w:jc w:val="center"/>
              <w:rPr>
                <w:rFonts w:ascii="Calibri" w:hAnsi="Calibri" w:cs="Calibri"/>
                <w:color w:val="000000"/>
                <w:lang w:val="en-US"/>
              </w:rPr>
            </w:pPr>
            <w:r>
              <w:t>+</w:t>
            </w:r>
          </w:p>
        </w:tc>
        <w:tc>
          <w:tcPr>
            <w:tcW w:w="1616" w:type="dxa"/>
            <w:shd w:val="clear" w:color="auto" w:fill="FFFFFF" w:themeFill="background1"/>
            <w:hideMark/>
          </w:tcPr>
          <w:p w14:paraId="5F7C5172" w14:textId="77777777" w:rsidR="00E84498" w:rsidRDefault="00E84498" w:rsidP="00583705">
            <w:pPr>
              <w:jc w:val="center"/>
              <w:rPr>
                <w:rFonts w:ascii="Calibri" w:hAnsi="Calibri" w:cs="Calibri"/>
                <w:color w:val="000000"/>
                <w:lang w:val="en-US"/>
              </w:rPr>
            </w:pPr>
            <w:r>
              <w:t>+</w:t>
            </w:r>
          </w:p>
        </w:tc>
        <w:tc>
          <w:tcPr>
            <w:tcW w:w="1559" w:type="dxa"/>
            <w:shd w:val="clear" w:color="auto" w:fill="FFFFFF" w:themeFill="background1"/>
            <w:hideMark/>
          </w:tcPr>
          <w:p w14:paraId="3F4D6CBD" w14:textId="77777777" w:rsidR="00E84498" w:rsidRDefault="00E84498" w:rsidP="00583705">
            <w:pPr>
              <w:jc w:val="center"/>
              <w:rPr>
                <w:rFonts w:ascii="Calibri" w:hAnsi="Calibri" w:cs="Calibri"/>
                <w:color w:val="000000"/>
                <w:lang w:val="en-US"/>
              </w:rPr>
            </w:pPr>
            <w:r>
              <w:t>+</w:t>
            </w:r>
          </w:p>
        </w:tc>
      </w:tr>
      <w:tr w:rsidR="00E84498" w14:paraId="68436D07" w14:textId="77777777" w:rsidTr="00797EDE">
        <w:trPr>
          <w:trHeight w:val="283"/>
        </w:trPr>
        <w:tc>
          <w:tcPr>
            <w:tcW w:w="1080" w:type="dxa"/>
            <w:shd w:val="clear" w:color="auto" w:fill="FFFFFF" w:themeFill="background1"/>
            <w:hideMark/>
          </w:tcPr>
          <w:p w14:paraId="04AFF8DC" w14:textId="77777777" w:rsidR="00E84498" w:rsidRDefault="00E84498" w:rsidP="00583705">
            <w:pPr>
              <w:rPr>
                <w:lang w:val="en-US"/>
              </w:rPr>
            </w:pPr>
            <w:r>
              <w:t>CXCR3</w:t>
            </w:r>
          </w:p>
        </w:tc>
        <w:tc>
          <w:tcPr>
            <w:tcW w:w="1275" w:type="dxa"/>
            <w:shd w:val="clear" w:color="auto" w:fill="FFFFFF" w:themeFill="background1"/>
            <w:hideMark/>
          </w:tcPr>
          <w:p w14:paraId="6DEABD7A" w14:textId="77777777" w:rsidR="00E84498" w:rsidRDefault="00E84498" w:rsidP="00583705">
            <w:pPr>
              <w:jc w:val="center"/>
              <w:rPr>
                <w:lang w:val="en-US"/>
              </w:rPr>
            </w:pPr>
            <w:r>
              <w:t>-</w:t>
            </w:r>
          </w:p>
        </w:tc>
        <w:tc>
          <w:tcPr>
            <w:tcW w:w="1275" w:type="dxa"/>
            <w:shd w:val="clear" w:color="auto" w:fill="FFFFFF" w:themeFill="background1"/>
            <w:hideMark/>
          </w:tcPr>
          <w:p w14:paraId="6173DBF1" w14:textId="77777777" w:rsidR="00E84498" w:rsidRDefault="00E84498" w:rsidP="00583705">
            <w:pPr>
              <w:jc w:val="center"/>
              <w:rPr>
                <w:lang w:val="en-US"/>
              </w:rPr>
            </w:pPr>
            <w:r>
              <w:t>+</w:t>
            </w:r>
          </w:p>
        </w:tc>
        <w:tc>
          <w:tcPr>
            <w:tcW w:w="1275" w:type="dxa"/>
            <w:shd w:val="clear" w:color="auto" w:fill="FFFFFF" w:themeFill="background1"/>
            <w:hideMark/>
          </w:tcPr>
          <w:p w14:paraId="34C998AC" w14:textId="77777777" w:rsidR="00E84498" w:rsidRDefault="00E84498" w:rsidP="00583705">
            <w:pPr>
              <w:jc w:val="center"/>
              <w:rPr>
                <w:rFonts w:ascii="Calibri" w:hAnsi="Calibri" w:cs="Calibri"/>
                <w:color w:val="000000"/>
                <w:lang w:val="en-US"/>
              </w:rPr>
            </w:pPr>
            <w:r>
              <w:t>+</w:t>
            </w:r>
          </w:p>
        </w:tc>
        <w:tc>
          <w:tcPr>
            <w:tcW w:w="1616" w:type="dxa"/>
            <w:shd w:val="clear" w:color="auto" w:fill="FFFFFF" w:themeFill="background1"/>
            <w:hideMark/>
          </w:tcPr>
          <w:p w14:paraId="34F2DC72" w14:textId="77777777" w:rsidR="00E84498" w:rsidRDefault="00E84498" w:rsidP="00583705">
            <w:pPr>
              <w:jc w:val="center"/>
              <w:rPr>
                <w:rFonts w:ascii="Calibri" w:hAnsi="Calibri" w:cs="Calibri"/>
                <w:color w:val="000000"/>
                <w:lang w:val="en-US"/>
              </w:rPr>
            </w:pPr>
            <w:r>
              <w:t>+</w:t>
            </w:r>
          </w:p>
        </w:tc>
        <w:tc>
          <w:tcPr>
            <w:tcW w:w="1559" w:type="dxa"/>
            <w:shd w:val="clear" w:color="auto" w:fill="FFFFFF" w:themeFill="background1"/>
            <w:hideMark/>
          </w:tcPr>
          <w:p w14:paraId="63FFD2B6" w14:textId="77777777" w:rsidR="00E84498" w:rsidRDefault="00E84498" w:rsidP="00583705">
            <w:pPr>
              <w:jc w:val="center"/>
              <w:rPr>
                <w:rFonts w:ascii="Calibri" w:hAnsi="Calibri" w:cs="Calibri"/>
                <w:color w:val="000000"/>
                <w:lang w:val="en-US"/>
              </w:rPr>
            </w:pPr>
            <w:r>
              <w:t>+</w:t>
            </w:r>
          </w:p>
        </w:tc>
      </w:tr>
      <w:tr w:rsidR="00E84498" w14:paraId="02BB2A4C" w14:textId="77777777" w:rsidTr="00797EDE">
        <w:trPr>
          <w:trHeight w:val="283"/>
        </w:trPr>
        <w:tc>
          <w:tcPr>
            <w:tcW w:w="1080" w:type="dxa"/>
            <w:shd w:val="clear" w:color="auto" w:fill="FFFFFF" w:themeFill="background1"/>
            <w:hideMark/>
          </w:tcPr>
          <w:p w14:paraId="7DBA885F" w14:textId="77777777" w:rsidR="00E84498" w:rsidRDefault="00E84498" w:rsidP="00583705">
            <w:pPr>
              <w:rPr>
                <w:rFonts w:ascii="Calibri" w:hAnsi="Calibri" w:cs="Calibri"/>
                <w:color w:val="000000"/>
                <w:lang w:val="en-US"/>
              </w:rPr>
            </w:pPr>
            <w:r>
              <w:t>CD69</w:t>
            </w:r>
          </w:p>
        </w:tc>
        <w:tc>
          <w:tcPr>
            <w:tcW w:w="1275" w:type="dxa"/>
            <w:shd w:val="clear" w:color="auto" w:fill="FFFFFF" w:themeFill="background1"/>
            <w:hideMark/>
          </w:tcPr>
          <w:p w14:paraId="780E94C0" w14:textId="77777777" w:rsidR="00E84498" w:rsidRDefault="00E84498" w:rsidP="00583705">
            <w:pPr>
              <w:jc w:val="center"/>
              <w:rPr>
                <w:lang w:val="en-US"/>
              </w:rPr>
            </w:pPr>
            <w:r>
              <w:t>-</w:t>
            </w:r>
          </w:p>
        </w:tc>
        <w:tc>
          <w:tcPr>
            <w:tcW w:w="1275" w:type="dxa"/>
            <w:shd w:val="clear" w:color="auto" w:fill="FFFFFF" w:themeFill="background1"/>
            <w:hideMark/>
          </w:tcPr>
          <w:p w14:paraId="626D8DD9" w14:textId="77777777" w:rsidR="00E84498" w:rsidRDefault="00E84498" w:rsidP="00583705">
            <w:pPr>
              <w:jc w:val="center"/>
              <w:rPr>
                <w:lang w:val="en-US"/>
              </w:rPr>
            </w:pPr>
            <w:r>
              <w:t>-</w:t>
            </w:r>
          </w:p>
        </w:tc>
        <w:tc>
          <w:tcPr>
            <w:tcW w:w="1275" w:type="dxa"/>
            <w:shd w:val="clear" w:color="auto" w:fill="FFFFFF" w:themeFill="background1"/>
            <w:hideMark/>
          </w:tcPr>
          <w:p w14:paraId="1FE7A0AA" w14:textId="77777777" w:rsidR="00E84498" w:rsidRDefault="00E84498" w:rsidP="00583705">
            <w:pPr>
              <w:jc w:val="center"/>
              <w:rPr>
                <w:rFonts w:ascii="Calibri" w:hAnsi="Calibri" w:cs="Calibri"/>
                <w:color w:val="000000"/>
                <w:lang w:val="en-US"/>
              </w:rPr>
            </w:pPr>
            <w:r>
              <w:t>-</w:t>
            </w:r>
          </w:p>
        </w:tc>
        <w:tc>
          <w:tcPr>
            <w:tcW w:w="1616" w:type="dxa"/>
            <w:shd w:val="clear" w:color="auto" w:fill="FFFFFF" w:themeFill="background1"/>
            <w:hideMark/>
          </w:tcPr>
          <w:p w14:paraId="140B63A4" w14:textId="77777777" w:rsidR="00E84498" w:rsidRDefault="00E84498" w:rsidP="00583705">
            <w:pPr>
              <w:jc w:val="center"/>
              <w:rPr>
                <w:rFonts w:ascii="Calibri" w:hAnsi="Calibri" w:cs="Calibri"/>
                <w:color w:val="000000"/>
                <w:lang w:val="en-US"/>
              </w:rPr>
            </w:pPr>
            <w:r>
              <w:t>-</w:t>
            </w:r>
          </w:p>
        </w:tc>
        <w:tc>
          <w:tcPr>
            <w:tcW w:w="1559" w:type="dxa"/>
            <w:shd w:val="clear" w:color="auto" w:fill="FFFFFF" w:themeFill="background1"/>
            <w:hideMark/>
          </w:tcPr>
          <w:p w14:paraId="13FA41CE" w14:textId="77777777" w:rsidR="00E84498" w:rsidRDefault="00E84498" w:rsidP="00583705">
            <w:pPr>
              <w:jc w:val="center"/>
              <w:rPr>
                <w:rFonts w:ascii="Calibri" w:hAnsi="Calibri" w:cs="Calibri"/>
                <w:color w:val="000000"/>
                <w:lang w:val="en-US"/>
              </w:rPr>
            </w:pPr>
            <w:r>
              <w:t>+</w:t>
            </w:r>
          </w:p>
        </w:tc>
      </w:tr>
      <w:tr w:rsidR="00E84498" w14:paraId="201EDFBA" w14:textId="77777777" w:rsidTr="00797EDE">
        <w:trPr>
          <w:trHeight w:val="271"/>
        </w:trPr>
        <w:tc>
          <w:tcPr>
            <w:tcW w:w="1080" w:type="dxa"/>
            <w:shd w:val="clear" w:color="auto" w:fill="FFFFFF" w:themeFill="background1"/>
            <w:vAlign w:val="center"/>
            <w:hideMark/>
          </w:tcPr>
          <w:p w14:paraId="61524A66" w14:textId="77777777" w:rsidR="00E84498" w:rsidRDefault="00E84498" w:rsidP="00583705">
            <w:pPr>
              <w:rPr>
                <w:lang w:val="en-US"/>
              </w:rPr>
            </w:pPr>
            <w:r>
              <w:rPr>
                <w:rFonts w:ascii="Calibri" w:hAnsi="Calibri" w:cs="Calibri"/>
                <w:color w:val="000000"/>
                <w:lang w:val="en-US"/>
              </w:rPr>
              <w:t>CD103</w:t>
            </w:r>
          </w:p>
        </w:tc>
        <w:tc>
          <w:tcPr>
            <w:tcW w:w="1275" w:type="dxa"/>
            <w:shd w:val="clear" w:color="auto" w:fill="FFFFFF" w:themeFill="background1"/>
            <w:vAlign w:val="center"/>
            <w:hideMark/>
          </w:tcPr>
          <w:p w14:paraId="2CFD0C04"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02C2C196" w14:textId="77777777" w:rsidR="00E84498" w:rsidRDefault="00E84498" w:rsidP="00583705">
            <w:pPr>
              <w:jc w:val="center"/>
              <w:rPr>
                <w:lang w:val="en-US"/>
              </w:rPr>
            </w:pPr>
            <w:r>
              <w:rPr>
                <w:lang w:val="en-US"/>
              </w:rPr>
              <w:t>-</w:t>
            </w:r>
          </w:p>
        </w:tc>
        <w:tc>
          <w:tcPr>
            <w:tcW w:w="1275" w:type="dxa"/>
            <w:shd w:val="clear" w:color="auto" w:fill="FFFFFF" w:themeFill="background1"/>
            <w:vAlign w:val="center"/>
            <w:hideMark/>
          </w:tcPr>
          <w:p w14:paraId="04893997"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616" w:type="dxa"/>
            <w:shd w:val="clear" w:color="auto" w:fill="FFFFFF" w:themeFill="background1"/>
            <w:vAlign w:val="center"/>
            <w:hideMark/>
          </w:tcPr>
          <w:p w14:paraId="1F72FBC6"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c>
          <w:tcPr>
            <w:tcW w:w="1559" w:type="dxa"/>
            <w:shd w:val="clear" w:color="auto" w:fill="FFFFFF" w:themeFill="background1"/>
            <w:vAlign w:val="center"/>
            <w:hideMark/>
          </w:tcPr>
          <w:p w14:paraId="1931A1F4"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r w:rsidR="00E84498" w14:paraId="5A414A45" w14:textId="77777777" w:rsidTr="00797EDE">
        <w:trPr>
          <w:trHeight w:val="271"/>
        </w:trPr>
        <w:tc>
          <w:tcPr>
            <w:tcW w:w="1080" w:type="dxa"/>
            <w:tcBorders>
              <w:top w:val="nil"/>
              <w:left w:val="nil"/>
              <w:bottom w:val="single" w:sz="4" w:space="0" w:color="auto"/>
              <w:right w:val="nil"/>
            </w:tcBorders>
            <w:shd w:val="clear" w:color="auto" w:fill="FFFFFF" w:themeFill="background1"/>
            <w:vAlign w:val="center"/>
            <w:hideMark/>
          </w:tcPr>
          <w:p w14:paraId="5B79A8BD" w14:textId="77777777" w:rsidR="00E84498" w:rsidRDefault="00E84498" w:rsidP="00583705">
            <w:pPr>
              <w:rPr>
                <w:lang w:val="en-US"/>
              </w:rPr>
            </w:pPr>
            <w:r>
              <w:rPr>
                <w:rFonts w:ascii="Calibri" w:hAnsi="Calibri" w:cs="Calibri"/>
                <w:lang w:val="en-US"/>
              </w:rPr>
              <w:t>CXCR6</w:t>
            </w:r>
          </w:p>
        </w:tc>
        <w:tc>
          <w:tcPr>
            <w:tcW w:w="1275" w:type="dxa"/>
            <w:tcBorders>
              <w:top w:val="nil"/>
              <w:left w:val="nil"/>
              <w:bottom w:val="single" w:sz="4" w:space="0" w:color="auto"/>
              <w:right w:val="nil"/>
            </w:tcBorders>
            <w:shd w:val="clear" w:color="auto" w:fill="FFFFFF" w:themeFill="background1"/>
            <w:vAlign w:val="center"/>
          </w:tcPr>
          <w:p w14:paraId="654B4BC3" w14:textId="77777777" w:rsidR="00E84498" w:rsidRDefault="00E84498" w:rsidP="00583705">
            <w:pPr>
              <w:jc w:val="center"/>
              <w:rPr>
                <w:lang w:val="en-US"/>
              </w:rPr>
            </w:pPr>
          </w:p>
        </w:tc>
        <w:tc>
          <w:tcPr>
            <w:tcW w:w="1275" w:type="dxa"/>
            <w:tcBorders>
              <w:top w:val="nil"/>
              <w:left w:val="nil"/>
              <w:bottom w:val="single" w:sz="4" w:space="0" w:color="auto"/>
              <w:right w:val="nil"/>
            </w:tcBorders>
            <w:shd w:val="clear" w:color="auto" w:fill="FFFFFF" w:themeFill="background1"/>
            <w:vAlign w:val="center"/>
          </w:tcPr>
          <w:p w14:paraId="14A66BFB" w14:textId="77777777" w:rsidR="00E84498" w:rsidRDefault="00E84498" w:rsidP="00583705">
            <w:pPr>
              <w:jc w:val="center"/>
              <w:rPr>
                <w:lang w:val="en-US"/>
              </w:rPr>
            </w:pPr>
          </w:p>
        </w:tc>
        <w:tc>
          <w:tcPr>
            <w:tcW w:w="1275" w:type="dxa"/>
            <w:tcBorders>
              <w:top w:val="nil"/>
              <w:left w:val="nil"/>
              <w:bottom w:val="single" w:sz="4" w:space="0" w:color="auto"/>
              <w:right w:val="nil"/>
            </w:tcBorders>
            <w:shd w:val="clear" w:color="auto" w:fill="FFFFFF" w:themeFill="background1"/>
            <w:vAlign w:val="center"/>
          </w:tcPr>
          <w:p w14:paraId="4F89447D" w14:textId="77777777" w:rsidR="00E84498" w:rsidRDefault="00E84498" w:rsidP="00583705">
            <w:pPr>
              <w:jc w:val="center"/>
              <w:rPr>
                <w:rFonts w:ascii="Calibri" w:hAnsi="Calibri" w:cs="Calibri"/>
                <w:lang w:val="en-US"/>
              </w:rPr>
            </w:pPr>
          </w:p>
        </w:tc>
        <w:tc>
          <w:tcPr>
            <w:tcW w:w="1616" w:type="dxa"/>
            <w:tcBorders>
              <w:top w:val="nil"/>
              <w:left w:val="nil"/>
              <w:bottom w:val="single" w:sz="4" w:space="0" w:color="auto"/>
              <w:right w:val="nil"/>
            </w:tcBorders>
            <w:shd w:val="clear" w:color="auto" w:fill="FFFFFF" w:themeFill="background1"/>
            <w:vAlign w:val="center"/>
          </w:tcPr>
          <w:p w14:paraId="6015541D" w14:textId="77777777" w:rsidR="00E84498" w:rsidRDefault="00E84498" w:rsidP="00583705">
            <w:pPr>
              <w:jc w:val="center"/>
              <w:rPr>
                <w:rFonts w:ascii="Calibri" w:hAnsi="Calibri" w:cs="Calibri"/>
                <w:color w:val="000000"/>
                <w:lang w:val="en-US"/>
              </w:rPr>
            </w:pPr>
          </w:p>
        </w:tc>
        <w:tc>
          <w:tcPr>
            <w:tcW w:w="1559" w:type="dxa"/>
            <w:tcBorders>
              <w:top w:val="nil"/>
              <w:left w:val="nil"/>
              <w:bottom w:val="single" w:sz="4" w:space="0" w:color="auto"/>
              <w:right w:val="nil"/>
            </w:tcBorders>
            <w:shd w:val="clear" w:color="auto" w:fill="FFFFFF" w:themeFill="background1"/>
            <w:vAlign w:val="center"/>
            <w:hideMark/>
          </w:tcPr>
          <w:p w14:paraId="2D48BB2C" w14:textId="77777777" w:rsidR="00E84498" w:rsidRDefault="00E84498" w:rsidP="00583705">
            <w:pPr>
              <w:jc w:val="center"/>
              <w:rPr>
                <w:rFonts w:ascii="Calibri" w:hAnsi="Calibri" w:cs="Calibri"/>
                <w:color w:val="000000"/>
                <w:lang w:val="en-US"/>
              </w:rPr>
            </w:pPr>
            <w:r>
              <w:rPr>
                <w:rFonts w:ascii="Calibri" w:hAnsi="Calibri" w:cs="Calibri"/>
                <w:color w:val="000000"/>
                <w:lang w:val="en-US"/>
              </w:rPr>
              <w:t>+</w:t>
            </w:r>
          </w:p>
        </w:tc>
      </w:tr>
    </w:tbl>
    <w:p w14:paraId="15CB1741" w14:textId="77777777" w:rsidR="00E84498" w:rsidRDefault="00E84498" w:rsidP="00E84498">
      <w:pPr>
        <w:rPr>
          <w:rFonts w:ascii="Arial" w:hAnsi="Arial" w:cs="Arial"/>
          <w:sz w:val="20"/>
          <w:szCs w:val="20"/>
          <w:lang w:val="en-US"/>
        </w:rPr>
      </w:pPr>
      <w:r>
        <w:rPr>
          <w:rFonts w:ascii="Arial" w:hAnsi="Arial" w:cs="Arial"/>
          <w:sz w:val="20"/>
          <w:szCs w:val="20"/>
          <w:lang w:val="en-US"/>
        </w:rPr>
        <w:t>T</w:t>
      </w:r>
      <w:r>
        <w:rPr>
          <w:rFonts w:ascii="Arial" w:hAnsi="Arial" w:cs="Arial"/>
          <w:sz w:val="20"/>
          <w:szCs w:val="20"/>
          <w:vertAlign w:val="subscript"/>
          <w:lang w:val="en-US"/>
        </w:rPr>
        <w:t>NA</w:t>
      </w:r>
      <w:r>
        <w:rPr>
          <w:rFonts w:ascii="Arial" w:hAnsi="Arial" w:cs="Arial"/>
          <w:sz w:val="20"/>
          <w:szCs w:val="20"/>
          <w:lang w:val="en-US"/>
        </w:rPr>
        <w:t>, naïve T-cell; T</w:t>
      </w:r>
      <w:r>
        <w:rPr>
          <w:rFonts w:ascii="Arial" w:hAnsi="Arial" w:cs="Arial"/>
          <w:sz w:val="20"/>
          <w:szCs w:val="20"/>
          <w:vertAlign w:val="subscript"/>
          <w:lang w:val="en-US"/>
        </w:rPr>
        <w:t>CM</w:t>
      </w:r>
      <w:r>
        <w:rPr>
          <w:rFonts w:ascii="Arial" w:hAnsi="Arial" w:cs="Arial"/>
          <w:sz w:val="20"/>
          <w:szCs w:val="20"/>
          <w:lang w:val="en-US"/>
        </w:rPr>
        <w:t>, central memory T-cell; T</w:t>
      </w:r>
      <w:r>
        <w:rPr>
          <w:rFonts w:ascii="Arial" w:hAnsi="Arial" w:cs="Arial"/>
          <w:sz w:val="20"/>
          <w:szCs w:val="20"/>
          <w:vertAlign w:val="subscript"/>
          <w:lang w:val="en-US"/>
        </w:rPr>
        <w:t>EM</w:t>
      </w:r>
      <w:r>
        <w:rPr>
          <w:rFonts w:ascii="Arial" w:hAnsi="Arial" w:cs="Arial"/>
          <w:sz w:val="20"/>
          <w:szCs w:val="20"/>
          <w:lang w:val="en-US"/>
        </w:rPr>
        <w:t>, effector memory T-cell, T</w:t>
      </w:r>
      <w:r>
        <w:rPr>
          <w:rFonts w:ascii="Arial" w:hAnsi="Arial" w:cs="Arial"/>
          <w:sz w:val="20"/>
          <w:szCs w:val="20"/>
          <w:vertAlign w:val="subscript"/>
          <w:lang w:val="en-US"/>
        </w:rPr>
        <w:t>EMRA</w:t>
      </w:r>
      <w:r>
        <w:rPr>
          <w:rFonts w:ascii="Arial" w:hAnsi="Arial" w:cs="Arial"/>
          <w:sz w:val="20"/>
          <w:szCs w:val="20"/>
          <w:lang w:val="en-US"/>
        </w:rPr>
        <w:t>, terminally</w:t>
      </w:r>
    </w:p>
    <w:p w14:paraId="2B47D874" w14:textId="77777777" w:rsidR="00E84498" w:rsidRDefault="00E84498" w:rsidP="00E84498">
      <w:pPr>
        <w:rPr>
          <w:rFonts w:ascii="Arial" w:hAnsi="Arial" w:cs="Arial"/>
          <w:sz w:val="20"/>
          <w:szCs w:val="20"/>
          <w:lang w:val="en-US"/>
        </w:rPr>
      </w:pPr>
      <w:proofErr w:type="gramStart"/>
      <w:r>
        <w:rPr>
          <w:rFonts w:ascii="Arial" w:hAnsi="Arial" w:cs="Arial"/>
          <w:sz w:val="20"/>
          <w:szCs w:val="20"/>
          <w:lang w:val="en-US"/>
        </w:rPr>
        <w:t>differentiated</w:t>
      </w:r>
      <w:proofErr w:type="gramEnd"/>
      <w:r>
        <w:rPr>
          <w:rFonts w:ascii="Arial" w:hAnsi="Arial" w:cs="Arial"/>
          <w:sz w:val="20"/>
          <w:szCs w:val="20"/>
          <w:lang w:val="en-US"/>
        </w:rPr>
        <w:t xml:space="preserve"> effector memory T-cells and T</w:t>
      </w:r>
      <w:r>
        <w:rPr>
          <w:rFonts w:ascii="Arial" w:hAnsi="Arial" w:cs="Arial"/>
          <w:sz w:val="20"/>
          <w:szCs w:val="20"/>
          <w:vertAlign w:val="subscript"/>
          <w:lang w:val="en-US"/>
        </w:rPr>
        <w:t>RM</w:t>
      </w:r>
      <w:r>
        <w:rPr>
          <w:rFonts w:ascii="Arial" w:hAnsi="Arial" w:cs="Arial"/>
          <w:sz w:val="20"/>
          <w:szCs w:val="20"/>
          <w:lang w:val="en-US"/>
        </w:rPr>
        <w:t>, tissue-resident T-cell. ND, not determined.</w:t>
      </w:r>
    </w:p>
    <w:p w14:paraId="7E47AAAF" w14:textId="77777777" w:rsidR="00E84498" w:rsidRPr="00163521" w:rsidRDefault="00E84498" w:rsidP="00E84498">
      <w:pPr>
        <w:rPr>
          <w:lang w:val="en-US"/>
        </w:rPr>
      </w:pPr>
      <w:r>
        <w:rPr>
          <w:rFonts w:ascii="Arial" w:hAnsi="Arial" w:cs="Arial"/>
          <w:sz w:val="20"/>
          <w:szCs w:val="20"/>
          <w:lang w:val="en-US"/>
        </w:rPr>
        <w:t xml:space="preserve">Marker expression adapted from following references: </w:t>
      </w:r>
      <w:r>
        <w:rPr>
          <w:rFonts w:ascii="Arial" w:hAnsi="Arial" w:cs="Arial"/>
          <w:sz w:val="20"/>
          <w:szCs w:val="20"/>
          <w:lang w:val="en-US"/>
        </w:rPr>
        <w:fldChar w:fldCharType="begin" w:fldLock="1"/>
      </w:r>
      <w:r>
        <w:rPr>
          <w:rFonts w:ascii="Arial" w:hAnsi="Arial" w:cs="Arial"/>
          <w:sz w:val="20"/>
          <w:szCs w:val="20"/>
          <w:lang w:val="en-US"/>
        </w:rPr>
        <w:instrText>ADDIN CSL_CITATION {"citationItems":[{"id":"ITEM-1","itemData":{"DOI":"10.1016/j.xcrm.2020.100081","ISSN":"26663791","PMID":"32839763","abstract":"Convalescing coronavirus disease 2019 (COVID-19) patients mount robust T cell responses against SARS-CoV-2, suggesting an important role of T cells in viral clearance. To date, the phenotypes of SARS-CoV-2-specific T cells remain poorly defined. Using 38-parameter CyTOF, we phenotyped longitudinal specimens of SARS-CoV-2-specific CD4+ and CD8+ T cells from nine individuals who recovered from mild COVID-19. SARS-CoV-2-specific CD4+ T cells were exclusively Th1 cells and predominantly Tcm cells with phenotypic features of robust helper function. SARS-CoV-2-specific CD8+ T cells were predominantly Temra cells in a state of less terminal differentiation than most Temra cells. Subsets of SARS-CoV-2-specific T cells express CD127, can proliferate homeostatically, and can persist for over 2 months. Our results suggest that long-lived and robust T cell immunity is generated following natural SARS-CoV-2 infection and support an important role of SARS-CoV-2-specific T cells in host control of COVID-19. Combining CyTOF with single-cell detection of antigen-specific cells, Neidleman et al. provide an in-depth view of the phenotypic features of CD4+ and CD8+ T cells recognizing SARS-CoV-2 epitopes. These cells are different from T cells recognizing CMV, harbor diverse homing properties and effector functions, and include CD127-expressing cells.","author":[{"dropping-particle":"","family":"Neidleman","given":"Jason","non-dropping-particle":"","parse-names":false,"suffix":""},{"dropping-particle":"","family":"Luo","given":"Xiaoyu","non-dropping-particle":"","parse-names":false,"suffix":""},{"dropping-particle":"","family":"Frouard","given":"Julie","non-dropping-particle":"","parse-names":false,"suffix":""},{"dropping-particle":"","family":"Xie","given":"Guorui","non-dropping-particle":"","parse-names":false,"suffix":""},{"dropping-particle":"","family":"Gill","given":"Gurjot","non-dropping-particle":"","parse-names":false,"suffix":""},{"dropping-particle":"","family":"Stein","given":"Ellen S.","non-dropping-particle":"","parse-names":false,"suffix":""},{"dropping-particle":"","family":"McGregor","given":"Matthew","non-dropping-particle":"","parse-names":false,"suffix":""},{"dropping-particle":"","family":"Ma","given":"Tongcui","non-dropping-particle":"","parse-names":false,"suffix":""},{"dropping-particle":"","family":"George","given":"Ashley F.","non-dropping-particle":"","parse-names":false,"suffix":""},{"dropping-particle":"","family":"Kosters","given":"Astrid","non-dropping-particle":"","parse-names":false,"suffix":""},{"dropping-particle":"","family":"Greene","given":"Warner C.","non-dropping-particle":"","parse-names":false,"suffix":""},{"dropping-particle":"","family":"Vasquez","given":"Joshua","non-dropping-particle":"","parse-names":false,"suffix":""},{"dropping-particle":"","family":"Ghosn","given":"Eliver","non-dropping-particle":"","parse-names":false,"suffix":""},{"dropping-particle":"","family":"Lee","given":"Sulggi","non-dropping-particle":"","parse-names":false,"suffix":""},{"dropping-particle":"","family":"Roan","given":"Nadia R.","non-dropping-particle":"","parse-names":false,"suffix":""}],"container-title":"Cell Reports Medicine","id":"ITEM-1","issue":"6","issued":{"date-parts":[["2020"]]},"page":"100081","publisher":"ElsevierCompany.","title":"SARS-CoV-2-Specific T Cells Exhibit Phenotypic Features of Helper Function, Lack of Terminal Differentiation, and High Proliferation Potential","type":"article-journal","volume":"1"},"uris":["http://www.mendeley.com/documents/?uuid=efb646f6-c68b-41c9-ae57-7d5ea7257c7d"]},{"id":"ITEM-2","itemData":{"DOI":"10.1016/j.cell.2014.10.026","ISSN":"10974172","PMID":"25417158","abstract":"Mechanisms for human memory T cell differentiation and maintenance have largely been inferred from studies of peripheral blood, though the majority of T cells are found in lymphoid and mucosal sites. We present here a multidimensional, quantitative analysis of human T cell compartmentalization and maintenance over six decades of life in blood, lymphoid, and mucosal tissues obtained from 56 individual organ donors. Our results reveal that the distribution and tissue residence of naive, central, and effector memory, and terminal effector subsets is contingent on both their differentiation state and tissue localization. Moreover, T cell homeostasis driven by cytokine or TCR-mediated signals is different in CD4+ or CD8+ T cell lineages, varies with their differentiation stage and tissue localization, and cannot be inferred from blood. Our data provide an unprecedented spatial and temporal map of human T cell compartmentalization and maintenance, supporting distinct pathways for human T cell fate determination and homeostasis.","author":[{"dropping-particle":"","family":"Thome","given":"Joseph J.C.","non-dropping-particle":"","parse-names":false,"suffix":""},{"dropping-particle":"","family":"Yudanin","given":"Naomi","non-dropping-particle":"","parse-names":false,"suffix":""},{"dropping-particle":"","family":"Ohmura","given":"Yoshiaki","non-dropping-particle":"","parse-names":false,"suffix":""},{"dropping-particle":"","family":"Kubota","given":"Masaru","non-dropping-particle":"","parse-names":false,"suffix":""},{"dropping-particle":"","family":"Grinshpun","given":"Boris","non-dropping-particle":"","parse-names":false,"suffix":""},{"dropping-particle":"","family":"Sathaliyawala","given":"Taheri","non-dropping-particle":"","parse-names":false,"suffix":""},{"dropping-particle":"","family":"Kato","given":"Tomoaki","non-dropping-particle":"","parse-names":false,"suffix":""},{"dropping-particle":"","family":"Lerner","given":"Harvey","non-dropping-particle":"","parse-names":false,"suffix":""},{"dropping-particle":"","family":"Shen","given":"Yufeng","non-dropping-particle":"","parse-names":false,"suffix":""},{"dropping-particle":"","family":"Farber","given":"Donna L.","non-dropping-particle":"","parse-names":false,"suffix":""}],"container-title":"Cell","id":"ITEM-2","issue":"4","issued":{"date-parts":[["2014"]]},"page":"814-828","publisher":"Elsevier Inc.","title":"Spatial map of human t cell compartmentalization and maintenance over decades of life","type":"article-journal","volume":"159"},"uris":["http://www.mendeley.com/documents/?uuid=bb87cdd7-5f23-48b3-937a-438911e78fe8"]},{"id":"ITEM-3","itemData":{"DOI":"10.1016/j.celrep.2017.08.078","ISSN":"22111247","PMID":"28930685","abstract":"Tissue-resident memory T cells (TRMs) in mice mediate optimal protective immunity to infection and vaccination, while in humans, the existence and properties of TRMs remain unclear. Here, we use a unique human tissue resource to determine whether human tissue memory T cells constitute a distinct subset in diverse mucosal and lymphoid tissues. We identify a core transcriptional profile within the CD69+ subset of memory CD4+ and CD8+ T cells in lung and spleen that is distinct from that of CD69− TEM cells in tissues and circulation and defines human TRMs based on homology to the transcriptional profile of mouse CD8+ TRMs. Human TRMs in diverse sites exhibit increased expression of adhesion and inhibitory molecules, produce both pro-inflammatory and regulatory cytokines, and have reduced turnover compared with circulating TEM, suggesting unique adaptations for in situ immunity. Together, our results provide a unifying signature for human TRM and a blueprint for designing tissue-targeted immunotherapies.","author":[{"dropping-particle":"V.","family":"Kumar","given":"Brahma","non-dropping-particle":"","parse-names":false,"suffix":""},{"dropping-particle":"","family":"Ma","given":"Wenji","non-dropping-particle":"","parse-names":false,"suffix":""},{"dropping-particle":"","family":"Miron","given":"Michelle","non-dropping-particle":"","parse-names":false,"suffix":""},{"dropping-particle":"","family":"Granot","given":"Tomer","non-dropping-particle":"","parse-names":false,"suffix":""},{"dropping-particle":"","family":"Guyer","given":"Rebecca S.","non-dropping-particle":"","parse-names":false,"suffix":""},{"dropping-particle":"","family":"Carpenter","given":"Dustin J.","non-dropping-particle":"","parse-names":false,"suffix":""},{"dropping-particle":"","family":"Senda","given":"Takashi","non-dropping-particle":"","parse-names":false,"suffix":""},{"dropping-particle":"","family":"Sun","given":"Xiaoyun","non-dropping-particle":"","parse-names":false,"suffix":""},{"dropping-particle":"","family":"Ho","given":"Siu Hong","non-dropping-particle":"","parse-names":false,"suffix":""},{"dropping-particle":"","family":"Lerner","given":"Harvey","non-dropping-particle":"","parse-names":false,"suffix":""},{"dropping-particle":"","family":"Friedman","given":"Amy L.","non-dropping-particle":"","parse-names":false,"suffix":""},{"dropping-particle":"","family":"Shen","given":"Yufeng","non-dropping-particle":"","parse-names":false,"suffix":""},{"dropping-particle":"","family":"Farber","given":"Donna L.","non-dropping-particle":"","parse-names":false,"suffix":""}],"container-title":"Cell Reports","id":"ITEM-3","issue":"12","issued":{"date-parts":[["2017"]]},"page":"2921-2934","publisher":"ElsevierCompany.","title":"Human Tissue-Resident Memory T Cells Are Defined by Core Transcriptional and Functional Signatures in Lymphoid and Mucosal Sites","type":"article-journal","volume":"20"},"uris":["http://www.mendeley.com/documents/?uuid=87149807-847e-4065-b5a7-8ec87d726c7d"]}],"mendeley":{"formattedCitation":"[1,30,31]","plainTextFormattedCitation":"[1,30,31]","previouslyFormattedCitation":"[1,30,31]"},"properties":{"noteIndex":0},"schema":"https://github.com/citation-style-language/schema/raw/master/csl-citation.json"}</w:instrText>
      </w:r>
      <w:r>
        <w:rPr>
          <w:rFonts w:ascii="Arial" w:hAnsi="Arial" w:cs="Arial"/>
          <w:sz w:val="20"/>
          <w:szCs w:val="20"/>
          <w:lang w:val="en-US"/>
        </w:rPr>
        <w:fldChar w:fldCharType="separate"/>
      </w:r>
      <w:r w:rsidRPr="00B40FF0">
        <w:rPr>
          <w:rFonts w:ascii="Arial" w:hAnsi="Arial" w:cs="Arial"/>
          <w:noProof/>
          <w:sz w:val="20"/>
          <w:szCs w:val="20"/>
          <w:lang w:val="en-US"/>
        </w:rPr>
        <w:t>1,</w:t>
      </w:r>
      <w:r>
        <w:rPr>
          <w:rFonts w:ascii="Arial" w:hAnsi="Arial" w:cs="Arial"/>
          <w:noProof/>
          <w:sz w:val="20"/>
          <w:szCs w:val="20"/>
          <w:lang w:val="en-US"/>
        </w:rPr>
        <w:t xml:space="preserve"> </w:t>
      </w:r>
      <w:r w:rsidRPr="00B40FF0">
        <w:rPr>
          <w:rFonts w:ascii="Arial" w:hAnsi="Arial" w:cs="Arial"/>
          <w:noProof/>
          <w:sz w:val="20"/>
          <w:szCs w:val="20"/>
          <w:lang w:val="en-US"/>
        </w:rPr>
        <w:t>30</w:t>
      </w:r>
      <w:r>
        <w:rPr>
          <w:rFonts w:ascii="Arial" w:hAnsi="Arial" w:cs="Arial"/>
          <w:noProof/>
          <w:sz w:val="20"/>
          <w:szCs w:val="20"/>
          <w:lang w:val="en-US"/>
        </w:rPr>
        <w:t xml:space="preserve"> and </w:t>
      </w:r>
      <w:r w:rsidRPr="00B40FF0">
        <w:rPr>
          <w:rFonts w:ascii="Arial" w:hAnsi="Arial" w:cs="Arial"/>
          <w:noProof/>
          <w:sz w:val="20"/>
          <w:szCs w:val="20"/>
          <w:lang w:val="en-US"/>
        </w:rPr>
        <w:t>31</w:t>
      </w:r>
      <w:r>
        <w:rPr>
          <w:rFonts w:ascii="Arial" w:hAnsi="Arial" w:cs="Arial"/>
          <w:sz w:val="20"/>
          <w:szCs w:val="20"/>
          <w:lang w:val="en-US"/>
        </w:rPr>
        <w:fldChar w:fldCharType="end"/>
      </w:r>
      <w:r>
        <w:rPr>
          <w:rFonts w:ascii="Arial" w:hAnsi="Arial" w:cs="Arial"/>
          <w:sz w:val="20"/>
          <w:szCs w:val="20"/>
          <w:lang w:val="en-US"/>
        </w:rPr>
        <w:t>.</w:t>
      </w:r>
    </w:p>
    <w:p w14:paraId="1E6C05E5" w14:textId="77777777" w:rsidR="00D23E38" w:rsidRDefault="00D23E38"/>
    <w:sectPr w:rsidR="00D23E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98"/>
    <w:rsid w:val="00096F79"/>
    <w:rsid w:val="00480B59"/>
    <w:rsid w:val="00797EDE"/>
    <w:rsid w:val="009C1479"/>
    <w:rsid w:val="00D23E38"/>
    <w:rsid w:val="00DB75B9"/>
    <w:rsid w:val="00E266B4"/>
    <w:rsid w:val="00E84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FBE1A"/>
  <w15:chartTrackingRefBased/>
  <w15:docId w15:val="{89B703BF-A29D-44BC-B00B-02B4A235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498"/>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4498"/>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10316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Verjans</dc:creator>
  <cp:keywords/>
  <dc:description/>
  <cp:lastModifiedBy>Priya V.</cp:lastModifiedBy>
  <cp:revision>3</cp:revision>
  <dcterms:created xsi:type="dcterms:W3CDTF">2022-08-31T11:21:00Z</dcterms:created>
  <dcterms:modified xsi:type="dcterms:W3CDTF">2022-10-01T15:13:00Z</dcterms:modified>
</cp:coreProperties>
</file>