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74079" w14:textId="42A268A6" w:rsidR="00D93022" w:rsidRPr="00D93022" w:rsidRDefault="00D93022" w:rsidP="00D93022">
      <w:pPr>
        <w:widowControl/>
        <w:spacing w:line="480" w:lineRule="auto"/>
        <w:jc w:val="left"/>
        <w:outlineLvl w:val="1"/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</w:pPr>
      <w:r w:rsidRPr="00D93022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Figures</w:t>
      </w:r>
    </w:p>
    <w:p w14:paraId="67214CCD" w14:textId="50E66A32" w:rsidR="00D93022" w:rsidRPr="00D93022" w:rsidRDefault="00D93022" w:rsidP="00D93022">
      <w:pPr>
        <w:widowControl/>
        <w:spacing w:line="480" w:lineRule="auto"/>
        <w:jc w:val="left"/>
        <w:outlineLvl w:val="1"/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</w:pPr>
      <w:r w:rsidRPr="00D93022">
        <w:rPr>
          <w:rFonts w:ascii="Times New Roman" w:eastAsia="MS Mincho" w:hAnsi="Times New Roman" w:cs="Times New Roman"/>
          <w:b/>
          <w:bCs/>
          <w:noProof/>
          <w:kern w:val="0"/>
          <w:sz w:val="24"/>
          <w:szCs w:val="24"/>
          <w:lang w:val="en-IN" w:eastAsia="en-IN"/>
        </w:rPr>
        <w:drawing>
          <wp:inline distT="0" distB="0" distL="0" distR="0" wp14:anchorId="2282741F" wp14:editId="01AD7F84">
            <wp:extent cx="5759450" cy="2813050"/>
            <wp:effectExtent l="0" t="0" r="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C5594" w14:textId="77777777" w:rsidR="00D93022" w:rsidRPr="00F10623" w:rsidRDefault="00D93022" w:rsidP="00D93022">
      <w:pPr>
        <w:widowControl/>
        <w:spacing w:line="480" w:lineRule="auto"/>
        <w:jc w:val="left"/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  <w:r w:rsidRPr="00F10623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Figure S1.</w:t>
      </w:r>
      <w:r w:rsidRPr="00F10623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HIF-1α (hypoxia-inducible factor 1-alpha) protein levels are not affected by lactate treatment.</w:t>
      </w:r>
    </w:p>
    <w:p w14:paraId="39BBC0F8" w14:textId="48AC82AF" w:rsidR="00D93022" w:rsidRPr="00F10623" w:rsidRDefault="00D93022" w:rsidP="00D9302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D9302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Western blot analysis for relative protein expression. GAPDH (glyceraldehyde-3-phosphate dehydrogenase) was used as a loading control</w:t>
      </w:r>
      <w:r w:rsidR="00900649" w:rsidRPr="00900649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, with semi-quantification of western blot findings </w:t>
      </w:r>
      <w:bookmarkStart w:id="0" w:name="_GoBack"/>
      <w:r w:rsidR="00900649" w:rsidRPr="00F10623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representing NDRG2 expression levels. </w:t>
      </w:r>
      <w:bookmarkStart w:id="1" w:name="_Hlk115034188"/>
      <w:r w:rsidR="00900649" w:rsidRPr="00F10623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One‐way ANOVA was used for statistical comparisons</w:t>
      </w:r>
      <w:bookmarkStart w:id="2" w:name="_Hlk115031950"/>
      <w:r w:rsidR="00900649" w:rsidRPr="00F10623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. Data are expressed as means ± SD</w:t>
      </w:r>
      <w:bookmarkEnd w:id="1"/>
      <w:bookmarkEnd w:id="2"/>
      <w:r w:rsidR="00900649" w:rsidRPr="00F10623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. n = 3, ns = no significance, *</w:t>
      </w:r>
      <w:r w:rsidR="00900649" w:rsidRPr="00F10623"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eastAsia="ja-JP"/>
        </w:rPr>
        <w:t>P</w:t>
      </w:r>
      <w:r w:rsidR="00900649" w:rsidRPr="00F10623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&lt; 0.05 and **</w:t>
      </w:r>
      <w:r w:rsidR="00900649" w:rsidRPr="00F10623"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eastAsia="ja-JP"/>
        </w:rPr>
        <w:t>P</w:t>
      </w:r>
      <w:r w:rsidR="00900649" w:rsidRPr="00F10623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&lt; 0.05.</w:t>
      </w:r>
    </w:p>
    <w:bookmarkEnd w:id="0"/>
    <w:p w14:paraId="72E6B864" w14:textId="77777777" w:rsidR="00D93022" w:rsidRPr="00D93022" w:rsidRDefault="00D93022" w:rsidP="00D9302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183CCD6A" w14:textId="711EDDDF" w:rsidR="00D93022" w:rsidRPr="00D93022" w:rsidRDefault="00500AE7" w:rsidP="00D9302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noProof/>
          <w:kern w:val="0"/>
          <w:sz w:val="24"/>
          <w:szCs w:val="24"/>
          <w:lang w:val="en-IN" w:eastAsia="en-IN"/>
        </w:rPr>
        <w:lastRenderedPageBreak/>
        <w:drawing>
          <wp:inline distT="0" distB="0" distL="0" distR="0" wp14:anchorId="7AB83BC9" wp14:editId="71C06CC2">
            <wp:extent cx="2879595" cy="36957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701" cy="370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1235D" w14:textId="77777777" w:rsidR="00D93022" w:rsidRPr="00F10623" w:rsidRDefault="00D93022" w:rsidP="00D93022">
      <w:pPr>
        <w:widowControl/>
        <w:spacing w:line="480" w:lineRule="auto"/>
        <w:jc w:val="left"/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  <w:r w:rsidRPr="00F10623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Figure S2.</w:t>
      </w:r>
      <w:r w:rsidRPr="00F10623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</w:t>
      </w:r>
      <w:r w:rsidRPr="00F10623"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eastAsia="ja-JP"/>
        </w:rPr>
        <w:t>NDRG2</w:t>
      </w:r>
      <w:r w:rsidRPr="00F10623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-silenced astrocytes were susceptible to apoptosis during oxygen–glucose deprivation (OGD) with lactate treatment.</w:t>
      </w:r>
    </w:p>
    <w:p w14:paraId="13D6880C" w14:textId="72F87F74" w:rsidR="00D93022" w:rsidRPr="00D93022" w:rsidRDefault="00D93022" w:rsidP="00D9302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D9302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(A) Gene set enrichment analysis (GSEA) profiles for GSEA and signature sets. (B) Results of annexin-V-FITC/PI assay (fluorescein isothiocyanate-annexin V/propidium iodide) followed by flow cytometric quantification. Cells stained with annexin-V-FITC+/PI- are considered early apoptotic cells; cells stained with annexin-V-FITC+/PI+ are considered late apoptotic cells.</w:t>
      </w:r>
    </w:p>
    <w:p w14:paraId="282DDF25" w14:textId="77777777" w:rsidR="00D93022" w:rsidRPr="00D93022" w:rsidRDefault="00D93022" w:rsidP="00D9302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02D65D6B" w14:textId="19FE497C" w:rsidR="00D93022" w:rsidRPr="00D93022" w:rsidRDefault="00D93022" w:rsidP="00D9302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D93022">
        <w:rPr>
          <w:rFonts w:ascii="Times New Roman" w:eastAsia="MS Mincho" w:hAnsi="Times New Roman" w:cs="Times New Roman"/>
          <w:noProof/>
          <w:kern w:val="0"/>
          <w:sz w:val="24"/>
          <w:szCs w:val="24"/>
          <w:lang w:val="en-IN" w:eastAsia="en-IN"/>
        </w:rPr>
        <w:lastRenderedPageBreak/>
        <w:drawing>
          <wp:inline distT="0" distB="0" distL="0" distR="0" wp14:anchorId="0DD301E0" wp14:editId="72FBA8E4">
            <wp:extent cx="5759450" cy="575945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A9694" w14:textId="77777777" w:rsidR="00D93022" w:rsidRPr="00F10623" w:rsidRDefault="00D93022" w:rsidP="00D93022">
      <w:pPr>
        <w:widowControl/>
        <w:spacing w:line="480" w:lineRule="auto"/>
        <w:jc w:val="left"/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  <w:r w:rsidRPr="00F10623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Figure S3.</w:t>
      </w:r>
      <w:r w:rsidRPr="00F10623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Schematic of the </w:t>
      </w:r>
      <w:r w:rsidRPr="00F10623"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eastAsia="ja-JP"/>
        </w:rPr>
        <w:t>NDRG2</w:t>
      </w:r>
      <w:r w:rsidRPr="00F10623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locus, wild-type (WT), the targeting vector, the targeted allele, and the deleted allele</w:t>
      </w:r>
    </w:p>
    <w:p w14:paraId="1AFF9B44" w14:textId="77777777" w:rsidR="00D93022" w:rsidRPr="00D93022" w:rsidRDefault="00D93022" w:rsidP="00D9302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D9302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The targeting vector replaces exons 2 and 6 with loxP-flanked exons 2 and 6, respectively.</w:t>
      </w:r>
    </w:p>
    <w:p w14:paraId="5AF42EAF" w14:textId="77777777" w:rsidR="00D93022" w:rsidRPr="00D93022" w:rsidRDefault="00D93022" w:rsidP="00D9302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64AFC524" w14:textId="774DCD0F" w:rsidR="00D93022" w:rsidRPr="00D93022" w:rsidRDefault="00D93022" w:rsidP="00D9302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61571F1C" w14:textId="77777777" w:rsidR="00D93022" w:rsidRPr="00D93022" w:rsidRDefault="00D93022" w:rsidP="00D9302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66517047" w14:textId="3A422A5F" w:rsidR="00D93022" w:rsidRPr="00D93022" w:rsidRDefault="00D93022" w:rsidP="00D9302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D93022">
        <w:rPr>
          <w:rFonts w:ascii="Times New Roman" w:eastAsia="MS Mincho" w:hAnsi="Times New Roman" w:cs="Times New Roman"/>
          <w:noProof/>
          <w:kern w:val="0"/>
          <w:sz w:val="24"/>
          <w:szCs w:val="24"/>
          <w:lang w:val="en-IN" w:eastAsia="en-IN"/>
        </w:rPr>
        <w:lastRenderedPageBreak/>
        <w:drawing>
          <wp:inline distT="0" distB="0" distL="0" distR="0" wp14:anchorId="003D27EC" wp14:editId="45313C5C">
            <wp:extent cx="5759450" cy="2813050"/>
            <wp:effectExtent l="0" t="0" r="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D3E57" w14:textId="4389C434" w:rsidR="00D93022" w:rsidRPr="00F10623" w:rsidRDefault="00D93022" w:rsidP="00D93022">
      <w:pPr>
        <w:widowControl/>
        <w:spacing w:line="480" w:lineRule="auto"/>
        <w:jc w:val="left"/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  <w:r w:rsidRPr="00F10623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Figure S</w:t>
      </w:r>
      <w:r w:rsidR="00A96C0A" w:rsidRPr="00F10623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4</w:t>
      </w:r>
      <w:r w:rsidRPr="00F10623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.</w:t>
      </w:r>
      <w:r w:rsidRPr="00F10623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Comparison of siNDRG2 induced genes with human “MCAO (middle cerebral artery occlusion) induced” and “LPS (lipopolysaccharide) induced” specific genes identified by a previous study</w:t>
      </w:r>
    </w:p>
    <w:p w14:paraId="775D74AE" w14:textId="77777777" w:rsidR="00D93022" w:rsidRPr="00D93022" w:rsidRDefault="00D93022" w:rsidP="00D9302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D9302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The Venn diagram was generated using the “Draw Venn Diagram” website at </w:t>
      </w:r>
      <w:hyperlink r:id="rId10" w:history="1">
        <w:r w:rsidRPr="00D93022">
          <w:rPr>
            <w:rFonts w:ascii="Times New Roman" w:eastAsia="MS Mincho" w:hAnsi="Times New Roman" w:cs="Times New Roman"/>
            <w:color w:val="0563C1"/>
            <w:kern w:val="0"/>
            <w:sz w:val="24"/>
            <w:szCs w:val="24"/>
            <w:u w:val="single"/>
            <w:lang w:eastAsia="ja-JP"/>
          </w:rPr>
          <w:t>http://bioinformatics.psb.ugent.be/webtools/Venn/</w:t>
        </w:r>
      </w:hyperlink>
      <w:r w:rsidRPr="00D9302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.</w:t>
      </w:r>
    </w:p>
    <w:p w14:paraId="575238B0" w14:textId="77777777" w:rsidR="00D93022" w:rsidRPr="00D93022" w:rsidRDefault="00D93022" w:rsidP="00D93022">
      <w:pPr>
        <w:widowControl/>
        <w:spacing w:line="480" w:lineRule="auto"/>
        <w:jc w:val="left"/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</w:pPr>
    </w:p>
    <w:p w14:paraId="08558CFC" w14:textId="5F10DA5F" w:rsidR="00D93022" w:rsidRPr="00D93022" w:rsidRDefault="00D93022" w:rsidP="00D9302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D93022">
        <w:rPr>
          <w:rFonts w:ascii="Times New Roman" w:eastAsia="MS Mincho" w:hAnsi="Times New Roman" w:cs="Times New Roman"/>
          <w:noProof/>
          <w:kern w:val="0"/>
          <w:sz w:val="24"/>
          <w:szCs w:val="24"/>
          <w:lang w:val="en-IN" w:eastAsia="en-IN"/>
        </w:rPr>
        <w:drawing>
          <wp:inline distT="0" distB="0" distL="0" distR="0" wp14:anchorId="0CE57509" wp14:editId="59C79370">
            <wp:extent cx="5759450" cy="2813050"/>
            <wp:effectExtent l="0" t="0" r="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11DFC" w14:textId="7BB9C5C6" w:rsidR="00F91CAD" w:rsidRDefault="00D93022" w:rsidP="00D93022">
      <w:pPr>
        <w:widowControl/>
        <w:spacing w:line="480" w:lineRule="auto"/>
        <w:jc w:val="left"/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</w:pPr>
      <w:r w:rsidRPr="00D93022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Figure S</w:t>
      </w:r>
      <w:r w:rsidR="00A96C0A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>5</w:t>
      </w:r>
      <w:r w:rsidRPr="00D93022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eastAsia="ja-JP"/>
        </w:rPr>
        <w:t xml:space="preserve">. </w:t>
      </w:r>
      <w:r w:rsidRPr="00D93022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Molecular docking pocket</w:t>
      </w:r>
    </w:p>
    <w:sectPr w:rsidR="00F91C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EC6E57" w14:textId="77777777" w:rsidR="002F5C03" w:rsidRDefault="002F5C03" w:rsidP="00D93022">
      <w:r>
        <w:separator/>
      </w:r>
    </w:p>
  </w:endnote>
  <w:endnote w:type="continuationSeparator" w:id="0">
    <w:p w14:paraId="73E61CE6" w14:textId="77777777" w:rsidR="002F5C03" w:rsidRDefault="002F5C03" w:rsidP="00D93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D68681" w14:textId="77777777" w:rsidR="002F5C03" w:rsidRDefault="002F5C03" w:rsidP="00D93022">
      <w:r>
        <w:separator/>
      </w:r>
    </w:p>
  </w:footnote>
  <w:footnote w:type="continuationSeparator" w:id="0">
    <w:p w14:paraId="02549F37" w14:textId="77777777" w:rsidR="002F5C03" w:rsidRDefault="002F5C03" w:rsidP="00D93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7A"/>
    <w:rsid w:val="00006B50"/>
    <w:rsid w:val="00054C40"/>
    <w:rsid w:val="00074F41"/>
    <w:rsid w:val="0008344E"/>
    <w:rsid w:val="000A148A"/>
    <w:rsid w:val="00147969"/>
    <w:rsid w:val="00193A45"/>
    <w:rsid w:val="001E7CBA"/>
    <w:rsid w:val="002145B0"/>
    <w:rsid w:val="00225861"/>
    <w:rsid w:val="002A3DAC"/>
    <w:rsid w:val="002F5C03"/>
    <w:rsid w:val="00315155"/>
    <w:rsid w:val="00332EDB"/>
    <w:rsid w:val="00347FF3"/>
    <w:rsid w:val="00380D8B"/>
    <w:rsid w:val="004055D4"/>
    <w:rsid w:val="00415121"/>
    <w:rsid w:val="00423F5A"/>
    <w:rsid w:val="00455D28"/>
    <w:rsid w:val="004B2DFC"/>
    <w:rsid w:val="004D1C22"/>
    <w:rsid w:val="004D74C4"/>
    <w:rsid w:val="00500AE7"/>
    <w:rsid w:val="00575D3D"/>
    <w:rsid w:val="00592525"/>
    <w:rsid w:val="005C52F3"/>
    <w:rsid w:val="00605EC2"/>
    <w:rsid w:val="00623C7A"/>
    <w:rsid w:val="00646021"/>
    <w:rsid w:val="006535E0"/>
    <w:rsid w:val="006D70AE"/>
    <w:rsid w:val="007034D3"/>
    <w:rsid w:val="00757B66"/>
    <w:rsid w:val="008E745C"/>
    <w:rsid w:val="00900649"/>
    <w:rsid w:val="00901DE8"/>
    <w:rsid w:val="00930EA7"/>
    <w:rsid w:val="00934410"/>
    <w:rsid w:val="00965C20"/>
    <w:rsid w:val="009B5ABF"/>
    <w:rsid w:val="009E7958"/>
    <w:rsid w:val="009F4DD8"/>
    <w:rsid w:val="00A96C0A"/>
    <w:rsid w:val="00B306D9"/>
    <w:rsid w:val="00B808DB"/>
    <w:rsid w:val="00B83EB3"/>
    <w:rsid w:val="00BC4C41"/>
    <w:rsid w:val="00BD2BF5"/>
    <w:rsid w:val="00BD2D2C"/>
    <w:rsid w:val="00C009B0"/>
    <w:rsid w:val="00D30C85"/>
    <w:rsid w:val="00D32E43"/>
    <w:rsid w:val="00D93022"/>
    <w:rsid w:val="00D97BBE"/>
    <w:rsid w:val="00DC7AFF"/>
    <w:rsid w:val="00E97AAF"/>
    <w:rsid w:val="00EA0C55"/>
    <w:rsid w:val="00EC5672"/>
    <w:rsid w:val="00F10623"/>
    <w:rsid w:val="00F21E2C"/>
    <w:rsid w:val="00F25E4C"/>
    <w:rsid w:val="00F5667F"/>
    <w:rsid w:val="00F6777D"/>
    <w:rsid w:val="00F9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E507BE"/>
  <w15:chartTrackingRefBased/>
  <w15:docId w15:val="{C9980911-B5FE-4C3C-BF47-E4BAAC4F2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30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9302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930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93022"/>
    <w:rPr>
      <w:sz w:val="18"/>
      <w:szCs w:val="18"/>
    </w:rPr>
  </w:style>
  <w:style w:type="paragraph" w:customStyle="1" w:styleId="TableHead">
    <w:name w:val="TableHead"/>
    <w:basedOn w:val="Normal"/>
    <w:rsid w:val="00F91CAD"/>
    <w:pPr>
      <w:widowControl/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line="190" w:lineRule="exact"/>
    </w:pPr>
    <w:rPr>
      <w:rFonts w:ascii="Arial" w:eastAsia="MS Mincho" w:hAnsi="Arial" w:cs="Times New Roman"/>
      <w:kern w:val="0"/>
      <w:sz w:val="16"/>
      <w:szCs w:val="14"/>
      <w:lang w:val="en-GB" w:eastAsia="ja-JP"/>
    </w:rPr>
  </w:style>
  <w:style w:type="paragraph" w:customStyle="1" w:styleId="TableBody">
    <w:name w:val="TableBody"/>
    <w:basedOn w:val="TableHead"/>
    <w:rsid w:val="00F91CAD"/>
  </w:style>
  <w:style w:type="paragraph" w:customStyle="1" w:styleId="Legend">
    <w:name w:val="Legend"/>
    <w:basedOn w:val="Normal"/>
    <w:rsid w:val="00F91CAD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MainText">
    <w:name w:val="Main Text"/>
    <w:basedOn w:val="Normal"/>
    <w:link w:val="MainTextChar"/>
    <w:rsid w:val="00F91CAD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F91CAD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table" w:customStyle="1" w:styleId="21">
    <w:name w:val="清单表 21"/>
    <w:basedOn w:val="TableNormal"/>
    <w:uiPriority w:val="47"/>
    <w:rsid w:val="00F91CAD"/>
    <w:rPr>
      <w:rFonts w:ascii="Times New Roman" w:eastAsia="MS Mincho" w:hAnsi="Times New Roman" w:cs="Times New Roman"/>
      <w:kern w:val="0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">
    <w:name w:val="网格型1"/>
    <w:basedOn w:val="TableNormal"/>
    <w:next w:val="TableGrid"/>
    <w:uiPriority w:val="39"/>
    <w:rsid w:val="00F91CAD"/>
    <w:rPr>
      <w:rFonts w:ascii="DengXian" w:eastAsia="DengXian" w:hAnsi="DengXi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91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0" Type="http://schemas.openxmlformats.org/officeDocument/2006/relationships/hyperlink" Target="http://bioinformatics.psb.ugent.be/webtools/Venn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jinying</dc:creator>
  <cp:keywords/>
  <dc:description/>
  <cp:lastModifiedBy>Aarthi K.</cp:lastModifiedBy>
  <cp:revision>6</cp:revision>
  <dcterms:created xsi:type="dcterms:W3CDTF">2022-10-02T14:38:00Z</dcterms:created>
  <dcterms:modified xsi:type="dcterms:W3CDTF">2022-12-22T17:10:00Z</dcterms:modified>
</cp:coreProperties>
</file>