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EB895" w14:textId="7790D7B4" w:rsidR="00904FB8" w:rsidRDefault="009827D3" w:rsidP="00904FB8">
      <w:pPr>
        <w:pStyle w:val="Legend"/>
        <w:spacing w:line="480" w:lineRule="auto"/>
      </w:pPr>
      <w:r w:rsidRPr="009827D3">
        <w:rPr>
          <w:b/>
          <w:bCs/>
        </w:rPr>
        <w:t xml:space="preserve">Table </w:t>
      </w:r>
      <w:r w:rsidR="003E02D7">
        <w:rPr>
          <w:b/>
          <w:bCs/>
        </w:rPr>
        <w:t>S</w:t>
      </w:r>
      <w:bookmarkStart w:id="0" w:name="_GoBack"/>
      <w:bookmarkEnd w:id="0"/>
      <w:r>
        <w:rPr>
          <w:b/>
          <w:bCs/>
        </w:rPr>
        <w:t>2</w:t>
      </w:r>
      <w:r w:rsidR="00904FB8">
        <w:rPr>
          <w:b/>
          <w:bCs/>
        </w:rPr>
        <w:t>.</w:t>
      </w:r>
      <w:r w:rsidR="00904FB8">
        <w:t xml:space="preserve"> Hub genes identified by Cytoscape and their corresponding functions</w:t>
      </w:r>
    </w:p>
    <w:tbl>
      <w:tblPr>
        <w:tblStyle w:val="21"/>
        <w:tblW w:w="8222" w:type="dxa"/>
        <w:tblInd w:w="0" w:type="dxa"/>
        <w:tblLook w:val="0600" w:firstRow="0" w:lastRow="0" w:firstColumn="0" w:lastColumn="0" w:noHBand="1" w:noVBand="1"/>
      </w:tblPr>
      <w:tblGrid>
        <w:gridCol w:w="821"/>
        <w:gridCol w:w="1973"/>
        <w:gridCol w:w="5428"/>
      </w:tblGrid>
      <w:tr w:rsidR="00904FB8" w14:paraId="6BC63778" w14:textId="77777777" w:rsidTr="00FA5D13">
        <w:trPr>
          <w:trHeight w:val="405"/>
        </w:trPr>
        <w:tc>
          <w:tcPr>
            <w:tcW w:w="82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582C16FA" w14:textId="77777777" w:rsidR="00904FB8" w:rsidRDefault="00904FB8" w:rsidP="00FA5D13">
            <w:pPr>
              <w:pStyle w:val="TableHead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Gene</w:t>
            </w:r>
          </w:p>
        </w:tc>
        <w:tc>
          <w:tcPr>
            <w:tcW w:w="1973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2E7A4F69" w14:textId="77777777" w:rsidR="00904FB8" w:rsidRDefault="00904FB8" w:rsidP="00FA5D13">
            <w:pPr>
              <w:pStyle w:val="TableHead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Aliases</w:t>
            </w:r>
          </w:p>
        </w:tc>
        <w:tc>
          <w:tcPr>
            <w:tcW w:w="5428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254539C6" w14:textId="77777777" w:rsidR="00904FB8" w:rsidRDefault="00904FB8" w:rsidP="00FA5D13">
            <w:pPr>
              <w:pStyle w:val="TableHead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Function</w:t>
            </w:r>
          </w:p>
        </w:tc>
      </w:tr>
      <w:tr w:rsidR="00904FB8" w14:paraId="4AD75C13" w14:textId="77777777" w:rsidTr="00FA5D13">
        <w:trPr>
          <w:trHeight w:val="704"/>
        </w:trPr>
        <w:tc>
          <w:tcPr>
            <w:tcW w:w="82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2E4AEEEE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STAT1</w:t>
            </w:r>
          </w:p>
        </w:tc>
        <w:tc>
          <w:tcPr>
            <w:tcW w:w="1973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0BBCEF84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Signal Transducer and Activator of Transcription 1</w:t>
            </w:r>
          </w:p>
        </w:tc>
        <w:tc>
          <w:tcPr>
            <w:tcW w:w="5428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6A3D4044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DNA-binding transcription factor activity; protein homodimerization activity; signal transducer and transcription activator mediating cellular responses to interferons (IFNs); cytokine KITLG/SCF, other cytokines; other growth factors</w:t>
            </w:r>
          </w:p>
        </w:tc>
      </w:tr>
      <w:tr w:rsidR="00904FB8" w14:paraId="06FAF387" w14:textId="77777777" w:rsidTr="00FA5D13">
        <w:trPr>
          <w:trHeight w:val="704"/>
        </w:trPr>
        <w:tc>
          <w:tcPr>
            <w:tcW w:w="82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42F429E8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CXCL10</w:t>
            </w:r>
          </w:p>
        </w:tc>
        <w:tc>
          <w:tcPr>
            <w:tcW w:w="1973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2BF87D6D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C-X-C Motif Chemokine Ligand 10</w:t>
            </w:r>
          </w:p>
        </w:tc>
        <w:tc>
          <w:tcPr>
            <w:tcW w:w="5428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76F097C2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 Signaling receptor binding and chemokine activity; pro-inflammatory cytokines involved in a wide variety of processes, such as chemotaxis, differentiation, and activation of peripheral immune cells; regulation of cell growth; apoptosis; modulation of angiostatic effects</w:t>
            </w:r>
          </w:p>
        </w:tc>
      </w:tr>
      <w:tr w:rsidR="00904FB8" w14:paraId="2DDF4ABD" w14:textId="77777777" w:rsidTr="00FA5D13">
        <w:trPr>
          <w:trHeight w:val="530"/>
        </w:trPr>
        <w:tc>
          <w:tcPr>
            <w:tcW w:w="82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645D33DE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IRF7</w:t>
            </w:r>
          </w:p>
        </w:tc>
        <w:tc>
          <w:tcPr>
            <w:tcW w:w="1973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669BC3D5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Interferon Regulatory Factor 7</w:t>
            </w:r>
          </w:p>
        </w:tc>
        <w:tc>
          <w:tcPr>
            <w:tcW w:w="5428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00B4A9B6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DNA-binding transcription factor activity; key transcriptional regulator of type I interferon (IFN)-dependent immune responses; innate immune response against DNA and RNA viruses</w:t>
            </w:r>
          </w:p>
        </w:tc>
      </w:tr>
      <w:tr w:rsidR="00904FB8" w14:paraId="1477CE4B" w14:textId="77777777" w:rsidTr="00FA5D13">
        <w:trPr>
          <w:trHeight w:val="355"/>
        </w:trPr>
        <w:tc>
          <w:tcPr>
            <w:tcW w:w="82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6A430129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TNFα</w:t>
            </w:r>
          </w:p>
        </w:tc>
        <w:tc>
          <w:tcPr>
            <w:tcW w:w="1973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279078B2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Tumor Necrosis Factor α (belongs to the TNF superfamily)</w:t>
            </w:r>
          </w:p>
        </w:tc>
        <w:tc>
          <w:tcPr>
            <w:tcW w:w="5428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6C730AF2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Identical protein binding; cytokine activity; pro-inflammatory cytokine </w:t>
            </w:r>
          </w:p>
        </w:tc>
      </w:tr>
      <w:tr w:rsidR="00904FB8" w14:paraId="7E0E080C" w14:textId="77777777" w:rsidTr="00FA5D13">
        <w:trPr>
          <w:trHeight w:val="704"/>
        </w:trPr>
        <w:tc>
          <w:tcPr>
            <w:tcW w:w="82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5331C7C5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SPP1</w:t>
            </w:r>
          </w:p>
        </w:tc>
        <w:tc>
          <w:tcPr>
            <w:tcW w:w="1973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37C9B712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Secreted Phosphoprotein 1</w:t>
            </w:r>
          </w:p>
        </w:tc>
        <w:tc>
          <w:tcPr>
            <w:tcW w:w="5428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5080F399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Cytokine activity; extracellular matrix binding; cytokine involved in enhancing the production of interferon-gamma and interleukin-12 and reducing the production of interleukin-10; type I immunity pathway</w:t>
            </w:r>
          </w:p>
        </w:tc>
      </w:tr>
      <w:tr w:rsidR="00904FB8" w14:paraId="0FFD5058" w14:textId="77777777" w:rsidTr="00FA5D13">
        <w:trPr>
          <w:trHeight w:val="203"/>
        </w:trPr>
        <w:tc>
          <w:tcPr>
            <w:tcW w:w="82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7B57C1E5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CD44</w:t>
            </w:r>
          </w:p>
        </w:tc>
        <w:tc>
          <w:tcPr>
            <w:tcW w:w="1973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70B67309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CD44 Molecule</w:t>
            </w:r>
          </w:p>
        </w:tc>
        <w:tc>
          <w:tcPr>
            <w:tcW w:w="5428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2268226C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Transmembrane signaling receptor activity; cytokine receptor activity</w:t>
            </w:r>
          </w:p>
        </w:tc>
      </w:tr>
      <w:tr w:rsidR="00904FB8" w14:paraId="5BDC83F6" w14:textId="77777777" w:rsidTr="00FA5D13">
        <w:trPr>
          <w:trHeight w:val="530"/>
        </w:trPr>
        <w:tc>
          <w:tcPr>
            <w:tcW w:w="82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040001E9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C3</w:t>
            </w:r>
          </w:p>
        </w:tc>
        <w:tc>
          <w:tcPr>
            <w:tcW w:w="1973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0F55F521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Complement C3</w:t>
            </w:r>
          </w:p>
        </w:tc>
        <w:tc>
          <w:tcPr>
            <w:tcW w:w="5428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6FA9B047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Activation of the complement system; signaling receptor binding; C5L2 anaphylatoxin chemotactic receptor binding; A1-like astrocyte marker genes</w:t>
            </w:r>
          </w:p>
        </w:tc>
      </w:tr>
      <w:tr w:rsidR="00904FB8" w14:paraId="3F2D021F" w14:textId="77777777" w:rsidTr="00FA5D13">
        <w:trPr>
          <w:trHeight w:val="355"/>
        </w:trPr>
        <w:tc>
          <w:tcPr>
            <w:tcW w:w="82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35BF4B0F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RT1-S3</w:t>
            </w:r>
          </w:p>
        </w:tc>
        <w:tc>
          <w:tcPr>
            <w:tcW w:w="1973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06AF5E5C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RT1 class 1b, locus S3</w:t>
            </w:r>
          </w:p>
        </w:tc>
        <w:tc>
          <w:tcPr>
            <w:tcW w:w="5428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10C3B615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Signaling receptor binding; MHC class I protein binding; A1-like astrocyte marker gene; identical protein binding</w:t>
            </w:r>
          </w:p>
        </w:tc>
      </w:tr>
      <w:tr w:rsidR="00904FB8" w14:paraId="12B193FC" w14:textId="77777777" w:rsidTr="00FA5D13">
        <w:trPr>
          <w:trHeight w:val="355"/>
        </w:trPr>
        <w:tc>
          <w:tcPr>
            <w:tcW w:w="82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3CB72578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B2M</w:t>
            </w:r>
          </w:p>
        </w:tc>
        <w:tc>
          <w:tcPr>
            <w:tcW w:w="1973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59254E00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Beta-2-Microglobulin</w:t>
            </w:r>
          </w:p>
        </w:tc>
        <w:tc>
          <w:tcPr>
            <w:tcW w:w="5428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072E34F0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Identical protein binding; diseases associated with B2M; immunodeficiency 43; amyloidosis, familial visceral</w:t>
            </w:r>
          </w:p>
        </w:tc>
      </w:tr>
      <w:tr w:rsidR="00904FB8" w14:paraId="448BE8C3" w14:textId="77777777" w:rsidTr="00FA5D13">
        <w:trPr>
          <w:trHeight w:val="530"/>
        </w:trPr>
        <w:tc>
          <w:tcPr>
            <w:tcW w:w="82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4186F83F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PSMB8</w:t>
            </w:r>
          </w:p>
        </w:tc>
        <w:tc>
          <w:tcPr>
            <w:tcW w:w="1973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71EE7096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Proteasome 20S Subunit Beta 8</w:t>
            </w:r>
          </w:p>
        </w:tc>
        <w:tc>
          <w:tcPr>
            <w:tcW w:w="5428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63621351" w14:textId="77777777" w:rsidR="00904FB8" w:rsidRDefault="00904FB8" w:rsidP="00FA5D13">
            <w:pPr>
              <w:pStyle w:val="TableBody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proteasome-associated autoinflammatory syndrome 1; proteasome-associated autoinflammatory syndrome</w:t>
            </w:r>
          </w:p>
        </w:tc>
      </w:tr>
    </w:tbl>
    <w:p w14:paraId="466D4E9E" w14:textId="77777777" w:rsidR="00904FB8" w:rsidRDefault="00904FB8" w:rsidP="00904FB8">
      <w:pPr>
        <w:spacing w:line="480" w:lineRule="auto"/>
      </w:pPr>
    </w:p>
    <w:p w14:paraId="672D7732" w14:textId="77777777" w:rsidR="00117202" w:rsidRPr="00904FB8" w:rsidRDefault="00117202"/>
    <w:sectPr w:rsidR="00117202" w:rsidRPr="00904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E213C" w14:textId="77777777" w:rsidR="00523C6E" w:rsidRDefault="00523C6E" w:rsidP="00904FB8">
      <w:r>
        <w:separator/>
      </w:r>
    </w:p>
  </w:endnote>
  <w:endnote w:type="continuationSeparator" w:id="0">
    <w:p w14:paraId="26EBA683" w14:textId="77777777" w:rsidR="00523C6E" w:rsidRDefault="00523C6E" w:rsidP="0090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6434A" w14:textId="77777777" w:rsidR="00523C6E" w:rsidRDefault="00523C6E" w:rsidP="00904FB8">
      <w:r>
        <w:separator/>
      </w:r>
    </w:p>
  </w:footnote>
  <w:footnote w:type="continuationSeparator" w:id="0">
    <w:p w14:paraId="5CC49A38" w14:textId="77777777" w:rsidR="00523C6E" w:rsidRDefault="00523C6E" w:rsidP="00904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629"/>
    <w:rsid w:val="00090592"/>
    <w:rsid w:val="00117202"/>
    <w:rsid w:val="00180EC9"/>
    <w:rsid w:val="003E02D7"/>
    <w:rsid w:val="00415629"/>
    <w:rsid w:val="00523C6E"/>
    <w:rsid w:val="006A1E2F"/>
    <w:rsid w:val="006F61D6"/>
    <w:rsid w:val="008C13D7"/>
    <w:rsid w:val="00904FB8"/>
    <w:rsid w:val="009827D3"/>
    <w:rsid w:val="00F0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23D39"/>
  <w15:chartTrackingRefBased/>
  <w15:docId w15:val="{16DFD134-7044-467E-AF99-09D4D512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FB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F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04FB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04F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04FB8"/>
    <w:rPr>
      <w:sz w:val="18"/>
      <w:szCs w:val="18"/>
    </w:rPr>
  </w:style>
  <w:style w:type="paragraph" w:customStyle="1" w:styleId="TableHead">
    <w:name w:val="TableHead"/>
    <w:basedOn w:val="Normal"/>
    <w:rsid w:val="00904FB8"/>
    <w:pPr>
      <w:widowControl/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line="190" w:lineRule="exact"/>
    </w:pPr>
    <w:rPr>
      <w:rFonts w:ascii="Arial" w:eastAsia="MS Mincho" w:hAnsi="Arial" w:cs="Times New Roman"/>
      <w:kern w:val="0"/>
      <w:sz w:val="16"/>
      <w:szCs w:val="14"/>
      <w:lang w:val="en-GB" w:eastAsia="ja-JP"/>
    </w:rPr>
  </w:style>
  <w:style w:type="paragraph" w:customStyle="1" w:styleId="TableBody">
    <w:name w:val="TableBody"/>
    <w:basedOn w:val="TableHead"/>
    <w:rsid w:val="00904FB8"/>
  </w:style>
  <w:style w:type="paragraph" w:customStyle="1" w:styleId="Legend">
    <w:name w:val="Legend"/>
    <w:basedOn w:val="Normal"/>
    <w:rsid w:val="00904FB8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table" w:customStyle="1" w:styleId="21">
    <w:name w:val="清单表 21"/>
    <w:basedOn w:val="TableNormal"/>
    <w:uiPriority w:val="47"/>
    <w:rsid w:val="00904FB8"/>
    <w:rPr>
      <w:rFonts w:ascii="Times New Roman" w:eastAsia="MS Mincho" w:hAnsi="Times New Roman" w:cs="Times New Roman"/>
      <w:kern w:val="0"/>
      <w:sz w:val="20"/>
      <w:szCs w:val="20"/>
      <w:lang w:val="en-GB" w:eastAsia="en-GB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jinying</dc:creator>
  <cp:keywords/>
  <dc:description/>
  <cp:lastModifiedBy>Aarthi K.</cp:lastModifiedBy>
  <cp:revision>6</cp:revision>
  <dcterms:created xsi:type="dcterms:W3CDTF">2022-10-03T00:50:00Z</dcterms:created>
  <dcterms:modified xsi:type="dcterms:W3CDTF">2022-12-22T17:07:00Z</dcterms:modified>
</cp:coreProperties>
</file>