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ED84" w14:textId="77777777" w:rsidR="00714AEA" w:rsidRPr="000C3700" w:rsidRDefault="00714AEA" w:rsidP="00714A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0" w:name="_Hlk90565709"/>
      <w:r w:rsidRPr="000C3700">
        <w:rPr>
          <w:rFonts w:ascii="Arial" w:hAnsi="Arial" w:cs="Arial"/>
          <w:b/>
          <w:bCs/>
          <w:color w:val="000000" w:themeColor="text1"/>
          <w:sz w:val="24"/>
          <w:szCs w:val="24"/>
        </w:rPr>
        <w:t>Supplementary Information</w:t>
      </w:r>
    </w:p>
    <w:p w14:paraId="57CCB467" w14:textId="77777777" w:rsidR="00714AEA" w:rsidRPr="000C3700" w:rsidRDefault="00714AEA" w:rsidP="00E1478E">
      <w:pPr>
        <w:jc w:val="both"/>
        <w:rPr>
          <w:rFonts w:ascii="Arial" w:hAnsi="Arial" w:cs="Arial"/>
          <w:b/>
          <w:bCs/>
          <w:i/>
          <w:iCs/>
          <w:sz w:val="24"/>
          <w:szCs w:val="24"/>
          <w:lang w:val="en-US"/>
        </w:rPr>
      </w:pPr>
    </w:p>
    <w:p w14:paraId="44D4A23B" w14:textId="0458A55E" w:rsidR="00E1478E" w:rsidRPr="000C3700" w:rsidRDefault="00E1478E" w:rsidP="00E1478E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0C370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Helicobacter pylori </w:t>
      </w:r>
      <w:r w:rsidRPr="000C3700">
        <w:rPr>
          <w:rFonts w:ascii="Arial" w:hAnsi="Arial" w:cs="Arial"/>
          <w:b/>
          <w:bCs/>
          <w:sz w:val="24"/>
          <w:szCs w:val="24"/>
          <w:lang w:val="en-US"/>
        </w:rPr>
        <w:t>outer membrane vesicles induce astrocyte reactivity through Nuclear Factor-</w:t>
      </w:r>
      <w:proofErr w:type="spellStart"/>
      <w:r w:rsidRPr="000C3700">
        <w:rPr>
          <w:rFonts w:ascii="Arial" w:hAnsi="Arial" w:cs="Arial"/>
          <w:b/>
          <w:bCs/>
          <w:sz w:val="24"/>
          <w:szCs w:val="24"/>
          <w:lang w:val="en-US"/>
        </w:rPr>
        <w:t>κappa</w:t>
      </w:r>
      <w:proofErr w:type="spellEnd"/>
      <w:r w:rsidRPr="000C3700">
        <w:rPr>
          <w:rFonts w:ascii="Arial" w:hAnsi="Arial" w:cs="Arial"/>
          <w:b/>
          <w:bCs/>
          <w:sz w:val="24"/>
          <w:szCs w:val="24"/>
          <w:lang w:val="en-US"/>
        </w:rPr>
        <w:t xml:space="preserve"> B activation and cause neuronal damage </w:t>
      </w:r>
      <w:r w:rsidRPr="000C3700"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in vivo</w:t>
      </w:r>
      <w:r w:rsidRPr="000C3700">
        <w:rPr>
          <w:rFonts w:ascii="Arial" w:hAnsi="Arial" w:cs="Arial"/>
          <w:b/>
          <w:bCs/>
          <w:sz w:val="24"/>
          <w:szCs w:val="24"/>
          <w:lang w:val="en-US"/>
        </w:rPr>
        <w:t xml:space="preserve"> in a murine model</w:t>
      </w:r>
    </w:p>
    <w:bookmarkEnd w:id="0"/>
    <w:p w14:paraId="2C608C8C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0EFCABE8" w14:textId="77777777" w:rsidR="00E1478E" w:rsidRPr="000C3700" w:rsidRDefault="00E1478E" w:rsidP="00E1478E">
      <w:pPr>
        <w:jc w:val="both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0C3700">
        <w:rPr>
          <w:rFonts w:ascii="Arial" w:eastAsia="Times New Roman" w:hAnsi="Arial" w:cs="Arial"/>
          <w:sz w:val="24"/>
          <w:szCs w:val="24"/>
          <w:lang w:val="en-US" w:eastAsia="en-GB"/>
        </w:rPr>
        <w:t xml:space="preserve">Running title: </w:t>
      </w:r>
      <w:r w:rsidRPr="000C3700">
        <w:rPr>
          <w:rFonts w:ascii="Arial" w:eastAsia="Times New Roman" w:hAnsi="Arial" w:cs="Arial"/>
          <w:i/>
          <w:iCs/>
          <w:sz w:val="24"/>
          <w:szCs w:val="24"/>
          <w:lang w:val="en-US" w:eastAsia="en-GB"/>
        </w:rPr>
        <w:t>H. pylori</w:t>
      </w:r>
      <w:r w:rsidRPr="000C3700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vesicles and astrocyte reactivity</w:t>
      </w:r>
    </w:p>
    <w:p w14:paraId="0E5B9CFB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n-US"/>
        </w:rPr>
      </w:pPr>
    </w:p>
    <w:p w14:paraId="6BA1F769" w14:textId="1ED029EA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s-ES"/>
        </w:rPr>
      </w:pPr>
      <w:r w:rsidRPr="000C3700">
        <w:rPr>
          <w:rFonts w:ascii="Arial" w:hAnsi="Arial" w:cs="Arial"/>
          <w:sz w:val="24"/>
          <w:szCs w:val="24"/>
          <w:lang w:val="es-ES"/>
        </w:rPr>
        <w:t>Esteban Palacios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1,2,3</w:t>
      </w:r>
      <w:r w:rsidRPr="000C3700">
        <w:rPr>
          <w:rFonts w:ascii="Arial" w:hAnsi="Arial" w:cs="Arial"/>
          <w:sz w:val="24"/>
          <w:szCs w:val="24"/>
          <w:lang w:val="es-ES"/>
        </w:rPr>
        <w:t>, Lorena Lobos-González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3,6</w:t>
      </w:r>
      <w:r w:rsidRPr="000C3700">
        <w:rPr>
          <w:rFonts w:ascii="Arial" w:hAnsi="Arial" w:cs="Arial"/>
          <w:sz w:val="24"/>
          <w:szCs w:val="24"/>
          <w:lang w:val="es-ES"/>
        </w:rPr>
        <w:t>, Simón Guerrero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3,4,7</w:t>
      </w:r>
      <w:r w:rsidRPr="000C3700">
        <w:rPr>
          <w:rFonts w:ascii="Arial" w:hAnsi="Arial" w:cs="Arial"/>
          <w:sz w:val="24"/>
          <w:szCs w:val="24"/>
          <w:lang w:val="es-ES"/>
        </w:rPr>
        <w:t>,</w:t>
      </w:r>
      <w:r w:rsidRPr="000C3700">
        <w:rPr>
          <w:rFonts w:ascii="Arial" w:hAnsi="Arial" w:cs="Arial"/>
          <w:bCs/>
          <w:sz w:val="24"/>
          <w:szCs w:val="24"/>
          <w:vertAlign w:val="superscript"/>
          <w:lang w:val="es-ES"/>
        </w:rPr>
        <w:t xml:space="preserve"> </w:t>
      </w:r>
      <w:r w:rsidRPr="000C3700">
        <w:rPr>
          <w:rFonts w:ascii="Arial" w:hAnsi="Arial" w:cs="Arial"/>
          <w:sz w:val="24"/>
          <w:szCs w:val="24"/>
          <w:lang w:val="es-ES"/>
        </w:rPr>
        <w:t>Marcelo J. Kogan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3,4</w:t>
      </w:r>
      <w:r w:rsidRPr="000C3700">
        <w:rPr>
          <w:rFonts w:ascii="Arial" w:hAnsi="Arial" w:cs="Arial"/>
          <w:sz w:val="24"/>
          <w:szCs w:val="24"/>
          <w:lang w:val="es-ES"/>
        </w:rPr>
        <w:t xml:space="preserve">, </w:t>
      </w:r>
      <w:proofErr w:type="spellStart"/>
      <w:r w:rsidRPr="000C3700">
        <w:rPr>
          <w:rFonts w:ascii="Arial" w:hAnsi="Arial" w:cs="Arial"/>
          <w:sz w:val="24"/>
          <w:szCs w:val="24"/>
          <w:lang w:val="es-ES"/>
        </w:rPr>
        <w:t>Baohai</w:t>
      </w:r>
      <w:proofErr w:type="spellEnd"/>
      <w:r w:rsidRPr="000C3700">
        <w:rPr>
          <w:rFonts w:ascii="Arial" w:hAnsi="Arial" w:cs="Arial"/>
          <w:sz w:val="24"/>
          <w:szCs w:val="24"/>
          <w:lang w:val="es-ES"/>
        </w:rPr>
        <w:t xml:space="preserve"> Shao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5</w:t>
      </w:r>
      <w:r w:rsidRPr="000C3700">
        <w:rPr>
          <w:rFonts w:ascii="Arial" w:hAnsi="Arial" w:cs="Arial"/>
          <w:sz w:val="24"/>
          <w:szCs w:val="24"/>
          <w:lang w:val="es-ES"/>
        </w:rPr>
        <w:t xml:space="preserve">, Jay </w:t>
      </w:r>
      <w:r w:rsidR="00D546C4">
        <w:rPr>
          <w:rFonts w:ascii="Arial" w:hAnsi="Arial" w:cs="Arial"/>
          <w:sz w:val="24"/>
          <w:szCs w:val="24"/>
          <w:lang w:val="es-ES"/>
        </w:rPr>
        <w:t xml:space="preserve">W. </w:t>
      </w:r>
      <w:r w:rsidRPr="000C3700">
        <w:rPr>
          <w:rFonts w:ascii="Arial" w:hAnsi="Arial" w:cs="Arial"/>
          <w:sz w:val="24"/>
          <w:szCs w:val="24"/>
          <w:lang w:val="es-ES"/>
        </w:rPr>
        <w:t>Heinecke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5</w:t>
      </w:r>
      <w:r w:rsidRPr="000C3700">
        <w:rPr>
          <w:rFonts w:ascii="Arial" w:hAnsi="Arial" w:cs="Arial"/>
          <w:sz w:val="24"/>
          <w:szCs w:val="24"/>
          <w:lang w:val="es-ES"/>
        </w:rPr>
        <w:t>, Andrew F.G. Quest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2,3</w:t>
      </w:r>
      <w:r w:rsidRPr="000C3700">
        <w:rPr>
          <w:rFonts w:ascii="Arial" w:hAnsi="Arial" w:cs="Arial"/>
          <w:sz w:val="24"/>
          <w:szCs w:val="24"/>
          <w:lang w:val="es-ES"/>
        </w:rPr>
        <w:t>, Lisette Leyton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2,</w:t>
      </w:r>
      <w:proofErr w:type="gramStart"/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3,</w:t>
      </w:r>
      <w:r w:rsidRPr="000C3700">
        <w:rPr>
          <w:rFonts w:ascii="Arial" w:hAnsi="Arial" w:cs="Arial"/>
          <w:sz w:val="24"/>
          <w:szCs w:val="24"/>
          <w:lang w:val="es-ES"/>
        </w:rPr>
        <w:t>*</w:t>
      </w:r>
      <w:proofErr w:type="gramEnd"/>
      <w:r w:rsidRPr="000C3700">
        <w:rPr>
          <w:rFonts w:ascii="Arial" w:hAnsi="Arial" w:cs="Arial"/>
          <w:sz w:val="24"/>
          <w:szCs w:val="24"/>
          <w:lang w:val="es-ES"/>
        </w:rPr>
        <w:t xml:space="preserve"> and Manuel Valenzuela-Valderrama</w:t>
      </w: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1,3,</w:t>
      </w:r>
      <w:r w:rsidRPr="000C3700">
        <w:rPr>
          <w:rFonts w:ascii="Arial" w:hAnsi="Arial" w:cs="Arial"/>
          <w:sz w:val="24"/>
          <w:szCs w:val="24"/>
          <w:lang w:val="es-ES"/>
        </w:rPr>
        <w:t>*</w:t>
      </w:r>
    </w:p>
    <w:p w14:paraId="3F9D7A1F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s-ES"/>
        </w:rPr>
      </w:pPr>
    </w:p>
    <w:p w14:paraId="1762BE39" w14:textId="77777777" w:rsidR="00E1478E" w:rsidRPr="000C3700" w:rsidRDefault="00E1478E" w:rsidP="00E1478E">
      <w:pPr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  <w:proofErr w:type="spellStart"/>
      <w:r w:rsidRPr="000C3700">
        <w:rPr>
          <w:rFonts w:ascii="Arial" w:hAnsi="Arial" w:cs="Arial"/>
          <w:b/>
          <w:bCs/>
          <w:sz w:val="24"/>
          <w:szCs w:val="24"/>
          <w:lang w:val="es-ES"/>
        </w:rPr>
        <w:t>Affiliations</w:t>
      </w:r>
      <w:proofErr w:type="spellEnd"/>
      <w:r w:rsidRPr="000C3700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</w:p>
    <w:p w14:paraId="422844B5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s-ES"/>
        </w:rPr>
      </w:pP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1</w:t>
      </w:r>
      <w:r w:rsidRPr="000C3700">
        <w:rPr>
          <w:rFonts w:ascii="Arial" w:hAnsi="Arial" w:cs="Arial"/>
          <w:sz w:val="24"/>
          <w:szCs w:val="24"/>
          <w:lang w:val="es-ES"/>
        </w:rPr>
        <w:t>Laboratorio de Microbiología Celular, Instituto de Investigación y Postgrado, Facultad de Ciencias de la Salud, Universidad Central de Chile, Santiago 8330546, Chile.</w:t>
      </w:r>
    </w:p>
    <w:p w14:paraId="1DE0AFD8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s-ES"/>
        </w:rPr>
      </w:pPr>
      <w:r w:rsidRPr="000C3700">
        <w:rPr>
          <w:rFonts w:ascii="Arial" w:hAnsi="Arial" w:cs="Arial"/>
          <w:sz w:val="24"/>
          <w:szCs w:val="24"/>
          <w:vertAlign w:val="superscript"/>
          <w:lang w:val="en-US"/>
        </w:rPr>
        <w:t xml:space="preserve">2 </w:t>
      </w:r>
      <w:r w:rsidRPr="000C3700">
        <w:rPr>
          <w:rFonts w:ascii="Arial" w:hAnsi="Arial" w:cs="Arial"/>
          <w:sz w:val="24"/>
          <w:szCs w:val="24"/>
          <w:lang w:val="en-US"/>
        </w:rPr>
        <w:t xml:space="preserve">Laboratory of Cellular Communication, Center for Studies on Exercise Metabolism and Cancer (CEMC), Institute of Biomedical Sciences (ICBM). </w:t>
      </w:r>
      <w:r w:rsidRPr="000C3700">
        <w:rPr>
          <w:rFonts w:ascii="Arial" w:hAnsi="Arial" w:cs="Arial"/>
          <w:sz w:val="24"/>
          <w:szCs w:val="24"/>
          <w:lang w:val="es-ES"/>
        </w:rPr>
        <w:t xml:space="preserve">Facultad de Medicina, Universidad de Chile, Santiago 8380453, Chile. </w:t>
      </w:r>
    </w:p>
    <w:p w14:paraId="4FC6AE03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s-ES"/>
        </w:rPr>
      </w:pP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3</w:t>
      </w:r>
      <w:r w:rsidRPr="000C370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0C3700">
        <w:rPr>
          <w:rFonts w:ascii="Arial" w:hAnsi="Arial" w:cs="Arial"/>
          <w:sz w:val="24"/>
          <w:szCs w:val="24"/>
          <w:lang w:val="es-ES"/>
        </w:rPr>
        <w:t>Advanced</w:t>
      </w:r>
      <w:proofErr w:type="spellEnd"/>
      <w:r w:rsidRPr="000C3700">
        <w:rPr>
          <w:rFonts w:ascii="Arial" w:hAnsi="Arial" w:cs="Arial"/>
          <w:sz w:val="24"/>
          <w:szCs w:val="24"/>
          <w:lang w:val="es-ES"/>
        </w:rPr>
        <w:t xml:space="preserve"> Center </w:t>
      </w:r>
      <w:proofErr w:type="spellStart"/>
      <w:r w:rsidRPr="000C3700">
        <w:rPr>
          <w:rFonts w:ascii="Arial" w:hAnsi="Arial" w:cs="Arial"/>
          <w:sz w:val="24"/>
          <w:szCs w:val="24"/>
          <w:lang w:val="es-ES"/>
        </w:rPr>
        <w:t>for</w:t>
      </w:r>
      <w:proofErr w:type="spellEnd"/>
      <w:r w:rsidRPr="000C370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0C3700">
        <w:rPr>
          <w:rFonts w:ascii="Arial" w:hAnsi="Arial" w:cs="Arial"/>
          <w:sz w:val="24"/>
          <w:szCs w:val="24"/>
          <w:lang w:val="es-ES"/>
        </w:rPr>
        <w:t>Chronic</w:t>
      </w:r>
      <w:proofErr w:type="spellEnd"/>
      <w:r w:rsidRPr="000C3700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0C3700">
        <w:rPr>
          <w:rFonts w:ascii="Arial" w:hAnsi="Arial" w:cs="Arial"/>
          <w:sz w:val="24"/>
          <w:szCs w:val="24"/>
          <w:lang w:val="es-ES"/>
        </w:rPr>
        <w:t>Diseases</w:t>
      </w:r>
      <w:proofErr w:type="spellEnd"/>
      <w:r w:rsidRPr="000C3700">
        <w:rPr>
          <w:rFonts w:ascii="Arial" w:hAnsi="Arial" w:cs="Arial"/>
          <w:sz w:val="24"/>
          <w:szCs w:val="24"/>
          <w:lang w:val="es-ES"/>
        </w:rPr>
        <w:t xml:space="preserve"> (</w:t>
      </w:r>
      <w:proofErr w:type="spellStart"/>
      <w:r w:rsidRPr="000C3700">
        <w:rPr>
          <w:rFonts w:ascii="Arial" w:hAnsi="Arial" w:cs="Arial"/>
          <w:sz w:val="24"/>
          <w:szCs w:val="24"/>
          <w:lang w:val="es-ES"/>
        </w:rPr>
        <w:t>ACCDiS</w:t>
      </w:r>
      <w:proofErr w:type="spellEnd"/>
      <w:r w:rsidRPr="000C3700">
        <w:rPr>
          <w:rFonts w:ascii="Arial" w:hAnsi="Arial" w:cs="Arial"/>
          <w:sz w:val="24"/>
          <w:szCs w:val="24"/>
          <w:lang w:val="es-ES"/>
        </w:rPr>
        <w:t>), Facultad de Ciencias Químicas y Farmacéuticas, Universidad de Chile, Santiago 8380494, Chile.</w:t>
      </w:r>
    </w:p>
    <w:p w14:paraId="140E79F1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s-ES"/>
        </w:rPr>
      </w:pP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 xml:space="preserve">4 </w:t>
      </w:r>
      <w:proofErr w:type="gramStart"/>
      <w:r w:rsidRPr="000C3700">
        <w:rPr>
          <w:rFonts w:ascii="Arial" w:hAnsi="Arial" w:cs="Arial"/>
          <w:sz w:val="24"/>
          <w:szCs w:val="24"/>
          <w:lang w:val="es-ES"/>
        </w:rPr>
        <w:t>Departamento</w:t>
      </w:r>
      <w:proofErr w:type="gramEnd"/>
      <w:r w:rsidRPr="000C3700">
        <w:rPr>
          <w:rFonts w:ascii="Arial" w:hAnsi="Arial" w:cs="Arial"/>
          <w:sz w:val="24"/>
          <w:szCs w:val="24"/>
          <w:lang w:val="es-ES"/>
        </w:rPr>
        <w:t xml:space="preserve"> de Química Farmacológica y Toxicológica, Facultad de Ciencias Químicas y Farmacéuticas, Universidad de Chile, Santiago 8380494, Chile.</w:t>
      </w:r>
    </w:p>
    <w:p w14:paraId="0A68C5A8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n-US"/>
        </w:rPr>
      </w:pPr>
      <w:r w:rsidRPr="000C3700">
        <w:rPr>
          <w:rFonts w:ascii="Arial" w:hAnsi="Arial" w:cs="Arial"/>
          <w:sz w:val="24"/>
          <w:szCs w:val="24"/>
          <w:vertAlign w:val="superscript"/>
          <w:lang w:val="en-US"/>
        </w:rPr>
        <w:t>5</w:t>
      </w:r>
      <w:r w:rsidRPr="000C3700">
        <w:rPr>
          <w:rFonts w:ascii="Arial" w:hAnsi="Arial" w:cs="Arial"/>
          <w:sz w:val="24"/>
          <w:szCs w:val="24"/>
          <w:lang w:val="en-US"/>
        </w:rPr>
        <w:t xml:space="preserve"> Division of Metabolism, Endocrinology and Nutrition, University of Washington, Seattle, WA 98195-8055, USA.</w:t>
      </w:r>
    </w:p>
    <w:p w14:paraId="70736CDC" w14:textId="77777777" w:rsidR="00E1478E" w:rsidRPr="000C3700" w:rsidRDefault="00E1478E" w:rsidP="00E1478E">
      <w:pPr>
        <w:jc w:val="both"/>
        <w:rPr>
          <w:rFonts w:ascii="Arial" w:hAnsi="Arial" w:cs="Arial"/>
          <w:sz w:val="24"/>
          <w:szCs w:val="24"/>
          <w:lang w:val="es-ES"/>
        </w:rPr>
      </w:pPr>
      <w:r w:rsidRPr="000C3700">
        <w:rPr>
          <w:rFonts w:ascii="Arial" w:hAnsi="Arial" w:cs="Arial"/>
          <w:sz w:val="24"/>
          <w:szCs w:val="24"/>
          <w:vertAlign w:val="superscript"/>
          <w:lang w:val="es-ES"/>
        </w:rPr>
        <w:t>6</w:t>
      </w:r>
      <w:r w:rsidRPr="000C3700">
        <w:rPr>
          <w:rFonts w:ascii="Arial" w:hAnsi="Arial" w:cs="Arial"/>
          <w:sz w:val="24"/>
          <w:szCs w:val="24"/>
          <w:lang w:val="es-ES"/>
        </w:rPr>
        <w:t xml:space="preserve"> Centro de Medicina Regenerativa, Facultad de Medicina, Universidad del Desarrollo-Clínica Alemana, Santiago 7590943, Chile.</w:t>
      </w:r>
    </w:p>
    <w:p w14:paraId="172421EB" w14:textId="51EAF7EB" w:rsidR="00E1478E" w:rsidRPr="00D546C4" w:rsidRDefault="00E1478E" w:rsidP="00D546C4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es-ES" w:eastAsia="en-GB"/>
        </w:rPr>
      </w:pPr>
      <w:r w:rsidRPr="000C3700">
        <w:rPr>
          <w:rFonts w:ascii="Arial" w:eastAsia="Times New Roman" w:hAnsi="Arial" w:cs="Arial"/>
          <w:sz w:val="24"/>
          <w:szCs w:val="24"/>
          <w:vertAlign w:val="superscript"/>
          <w:lang w:val="es-ES" w:eastAsia="en-GB"/>
        </w:rPr>
        <w:t>7</w:t>
      </w:r>
      <w:r w:rsidRPr="000C3700">
        <w:rPr>
          <w:rFonts w:ascii="Arial" w:eastAsia="Times New Roman" w:hAnsi="Arial" w:cs="Arial"/>
          <w:sz w:val="24"/>
          <w:szCs w:val="24"/>
          <w:lang w:val="es-ES" w:eastAsia="en-GB"/>
        </w:rPr>
        <w:t xml:space="preserve"> </w:t>
      </w:r>
      <w:proofErr w:type="gramStart"/>
      <w:r w:rsidR="00D546C4" w:rsidRPr="00D546C4">
        <w:rPr>
          <w:rFonts w:ascii="Arial" w:eastAsia="Times New Roman" w:hAnsi="Arial" w:cs="Arial"/>
          <w:sz w:val="24"/>
          <w:szCs w:val="24"/>
          <w:lang w:val="es-ES" w:eastAsia="en-GB"/>
        </w:rPr>
        <w:t>Facultad</w:t>
      </w:r>
      <w:proofErr w:type="gramEnd"/>
      <w:r w:rsidR="00D546C4" w:rsidRPr="00D546C4">
        <w:rPr>
          <w:rFonts w:ascii="Arial" w:eastAsia="Times New Roman" w:hAnsi="Arial" w:cs="Arial"/>
          <w:sz w:val="24"/>
          <w:szCs w:val="24"/>
          <w:lang w:val="es-ES" w:eastAsia="en-GB"/>
        </w:rPr>
        <w:t xml:space="preserve"> de Medicina</w:t>
      </w:r>
      <w:r w:rsidR="00D546C4" w:rsidRPr="00D546C4">
        <w:rPr>
          <w:rFonts w:ascii="Arial" w:eastAsia="Times New Roman" w:hAnsi="Arial" w:cs="Arial"/>
          <w:sz w:val="24"/>
          <w:szCs w:val="24"/>
          <w:lang w:val="es-ES" w:eastAsia="en-GB"/>
        </w:rPr>
        <w:t xml:space="preserve">, </w:t>
      </w:r>
      <w:r w:rsidR="00D546C4" w:rsidRPr="00D546C4">
        <w:rPr>
          <w:rFonts w:ascii="Arial" w:eastAsia="Times New Roman" w:hAnsi="Arial" w:cs="Arial"/>
          <w:sz w:val="24"/>
          <w:szCs w:val="24"/>
          <w:lang w:val="es-ES" w:eastAsia="en-GB"/>
        </w:rPr>
        <w:t>Universidad de Atacama</w:t>
      </w:r>
      <w:r w:rsidR="00D546C4">
        <w:rPr>
          <w:rFonts w:ascii="Arial" w:eastAsia="Times New Roman" w:hAnsi="Arial" w:cs="Arial"/>
          <w:sz w:val="24"/>
          <w:szCs w:val="24"/>
          <w:lang w:val="es-ES" w:eastAsia="en-GB"/>
        </w:rPr>
        <w:t>,</w:t>
      </w:r>
      <w:r w:rsidR="00D546C4" w:rsidRPr="00D546C4">
        <w:rPr>
          <w:rFonts w:ascii="Arial" w:eastAsia="Times New Roman" w:hAnsi="Arial" w:cs="Arial"/>
          <w:sz w:val="24"/>
          <w:szCs w:val="24"/>
          <w:lang w:val="es-ES" w:eastAsia="en-GB"/>
        </w:rPr>
        <w:t>1533601 Copiapó, Chile.</w:t>
      </w:r>
    </w:p>
    <w:p w14:paraId="603600B9" w14:textId="77777777" w:rsidR="00E1478E" w:rsidRPr="000C3700" w:rsidRDefault="00E1478E" w:rsidP="00E1478E">
      <w:pPr>
        <w:spacing w:line="240" w:lineRule="auto"/>
        <w:jc w:val="both"/>
        <w:rPr>
          <w:rFonts w:ascii="Arial" w:eastAsia="Times New Roman" w:hAnsi="Arial" w:cs="Arial"/>
          <w:sz w:val="24"/>
          <w:szCs w:val="24"/>
          <w:lang w:val="es-ES" w:eastAsia="en-GB"/>
        </w:rPr>
      </w:pPr>
    </w:p>
    <w:p w14:paraId="12C69692" w14:textId="754B2E9C" w:rsidR="00E1478E" w:rsidRPr="000C3700" w:rsidRDefault="00E1478E" w:rsidP="00E1478E">
      <w:pPr>
        <w:jc w:val="both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0C3700">
        <w:rPr>
          <w:rFonts w:ascii="Arial" w:hAnsi="Arial" w:cs="Arial"/>
          <w:sz w:val="24"/>
          <w:szCs w:val="24"/>
          <w:lang w:val="en-US"/>
        </w:rPr>
        <w:t>*Corresponding Authors: lleyton@uchile.cl</w:t>
      </w:r>
      <w:r w:rsidRPr="000C3700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(LL) and manuel.valenzuela@ucentral.cl (MV</w:t>
      </w:r>
      <w:r w:rsidR="00B91180" w:rsidRPr="000C3700">
        <w:rPr>
          <w:rFonts w:ascii="Arial" w:eastAsia="Times New Roman" w:hAnsi="Arial" w:cs="Arial"/>
          <w:sz w:val="24"/>
          <w:szCs w:val="24"/>
          <w:lang w:val="en-US" w:eastAsia="en-GB"/>
        </w:rPr>
        <w:t>V</w:t>
      </w:r>
      <w:r w:rsidRPr="000C3700">
        <w:rPr>
          <w:rFonts w:ascii="Arial" w:eastAsia="Times New Roman" w:hAnsi="Arial" w:cs="Arial"/>
          <w:sz w:val="24"/>
          <w:szCs w:val="24"/>
          <w:lang w:val="en-US" w:eastAsia="en-GB"/>
        </w:rPr>
        <w:t>)</w:t>
      </w:r>
    </w:p>
    <w:p w14:paraId="18A3B9D7" w14:textId="77777777" w:rsidR="00E1478E" w:rsidRPr="000C3700" w:rsidRDefault="00E1478E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  <w:r w:rsidRPr="000C3700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br w:type="page"/>
      </w:r>
    </w:p>
    <w:p w14:paraId="296C8EE4" w14:textId="77777777" w:rsidR="00E1478E" w:rsidRPr="000C3700" w:rsidRDefault="00E1478E" w:rsidP="00E1478E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C3700">
        <w:rPr>
          <w:rFonts w:ascii="Arial" w:hAnsi="Arial" w:cs="Arial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99E5393" wp14:editId="4A0E9042">
            <wp:extent cx="5095631" cy="6893842"/>
            <wp:effectExtent l="0" t="0" r="0" b="2540"/>
            <wp:docPr id="8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abl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1640" cy="6929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A5663" w14:textId="16BB096F" w:rsidR="00E1478E" w:rsidRPr="004741A2" w:rsidRDefault="00E1478E" w:rsidP="00E1478E">
      <w:pPr>
        <w:jc w:val="both"/>
        <w:rPr>
          <w:rFonts w:ascii="Arial" w:hAnsi="Arial" w:cs="Arial"/>
          <w:bCs/>
          <w:color w:val="000000" w:themeColor="text1"/>
          <w:sz w:val="24"/>
          <w:szCs w:val="24"/>
          <w:lang w:val="en-US"/>
        </w:rPr>
      </w:pPr>
      <w:r w:rsidRPr="000C3700">
        <w:rPr>
          <w:rFonts w:ascii="Arial" w:hAnsi="Arial" w:cs="Arial"/>
          <w:b/>
          <w:bCs/>
          <w:color w:val="000000" w:themeColor="text1"/>
          <w:sz w:val="24"/>
          <w:szCs w:val="24"/>
        </w:rPr>
        <w:t>Table S1:</w:t>
      </w:r>
      <w:r w:rsidRPr="000C3700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Identification of proteins with unique peptides in </w:t>
      </w:r>
      <w:bookmarkStart w:id="1" w:name="_Hlk91100029"/>
      <w:r w:rsidRPr="000C3700">
        <w:rPr>
          <w:rFonts w:ascii="Arial" w:hAnsi="Arial" w:cs="Arial"/>
          <w:b/>
          <w:i/>
          <w:iCs/>
          <w:color w:val="000000" w:themeColor="text1"/>
          <w:sz w:val="24"/>
          <w:szCs w:val="24"/>
          <w:lang w:val="en-US"/>
        </w:rPr>
        <w:t>Helicobacter pylori</w:t>
      </w:r>
      <w:r w:rsidRPr="000C3700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r w:rsidRPr="000C3700">
        <w:rPr>
          <w:rFonts w:ascii="Arial" w:hAnsi="Arial" w:cs="Arial"/>
          <w:b/>
          <w:i/>
          <w:iCs/>
          <w:color w:val="000000" w:themeColor="text1"/>
          <w:sz w:val="24"/>
          <w:szCs w:val="24"/>
          <w:lang w:val="en-US"/>
        </w:rPr>
        <w:t>(Hp)</w:t>
      </w:r>
      <w:r w:rsidRPr="000C3700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60190 OMVs</w:t>
      </w:r>
      <w:bookmarkEnd w:id="1"/>
      <w:r w:rsidRPr="000C3700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.</w:t>
      </w:r>
      <w:r w:rsidRPr="000C370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The results of the LC</w:t>
      </w:r>
      <w:r w:rsidR="004741A2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–</w:t>
      </w:r>
      <w:r w:rsidRPr="000C370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MS/MS analysis and the search using the </w:t>
      </w:r>
      <w:r w:rsidRPr="000C3700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en-US"/>
        </w:rPr>
        <w:t>Hp</w:t>
      </w:r>
      <w:r w:rsidRPr="000C370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C370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>UniProtKB</w:t>
      </w:r>
      <w:proofErr w:type="spellEnd"/>
      <w:r w:rsidRPr="000C370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database (UP000000429.fasta) allowed to identify the total protein content of OMVs and the parental bacteria </w:t>
      </w:r>
      <w:r w:rsidRPr="000C3700">
        <w:rPr>
          <w:rFonts w:ascii="Arial" w:hAnsi="Arial" w:cs="Arial"/>
          <w:bCs/>
          <w:i/>
          <w:iCs/>
          <w:color w:val="000000" w:themeColor="text1"/>
          <w:sz w:val="24"/>
          <w:szCs w:val="24"/>
          <w:lang w:val="en-US"/>
        </w:rPr>
        <w:t>Hp</w:t>
      </w:r>
      <w:r w:rsidRPr="000C3700">
        <w:rPr>
          <w:rFonts w:ascii="Arial" w:hAnsi="Arial" w:cs="Arial"/>
          <w:bCs/>
          <w:color w:val="000000" w:themeColor="text1"/>
          <w:sz w:val="24"/>
          <w:szCs w:val="24"/>
          <w:lang w:val="en-US"/>
        </w:rPr>
        <w:t xml:space="preserve"> 60190. The table shows the protein ID and the average number of unique peptides of proteins found in OMVs.</w:t>
      </w:r>
    </w:p>
    <w:p w14:paraId="2D40CB7D" w14:textId="77777777" w:rsidR="00E1478E" w:rsidRPr="000C3700" w:rsidRDefault="00E1478E" w:rsidP="00E1478E">
      <w:pPr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14:paraId="29CB44BE" w14:textId="77777777" w:rsidR="00E1478E" w:rsidRPr="000C3700" w:rsidRDefault="00E1478E" w:rsidP="00E1478E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  <w:r w:rsidRPr="000C3700">
        <w:rPr>
          <w:rFonts w:ascii="Arial" w:hAnsi="Arial" w:cs="Arial"/>
          <w:b/>
          <w:bCs/>
          <w:noProof/>
          <w:color w:val="000000" w:themeColor="text1"/>
          <w:sz w:val="24"/>
          <w:szCs w:val="24"/>
          <w:lang w:val="en-US"/>
        </w:rPr>
        <w:drawing>
          <wp:inline distT="0" distB="0" distL="0" distR="0" wp14:anchorId="5669CE65" wp14:editId="4D22E007">
            <wp:extent cx="5218228" cy="6228862"/>
            <wp:effectExtent l="0" t="0" r="1905" b="0"/>
            <wp:docPr id="34" name="Picture 3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8831" cy="6241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8EEEF" w14:textId="77777777" w:rsidR="000C3700" w:rsidRDefault="000C3700" w:rsidP="00E1478E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</w:pPr>
    </w:p>
    <w:p w14:paraId="05740364" w14:textId="283905EA" w:rsidR="00E1478E" w:rsidRPr="000C3700" w:rsidRDefault="00E1478E" w:rsidP="00E1478E">
      <w:pPr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0C3700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 xml:space="preserve">Figure S1. Evaluation of the dose-response of the reactivity markers in DITNC1 ATCC astrocytes treated with different concentrations of OMVs from </w:t>
      </w:r>
      <w:r w:rsidRPr="000C3700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val="en-US"/>
        </w:rPr>
        <w:t xml:space="preserve">Helicobacter pylori (Hp) </w:t>
      </w:r>
      <w:r w:rsidRPr="000C3700">
        <w:rPr>
          <w:rFonts w:ascii="Arial" w:hAnsi="Arial" w:cs="Arial"/>
          <w:b/>
          <w:bCs/>
          <w:color w:val="000000" w:themeColor="text1"/>
          <w:sz w:val="24"/>
          <w:szCs w:val="24"/>
          <w:lang w:val="en-US"/>
        </w:rPr>
        <w:t>60190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. DITNC1 ATCC cells were incubated in the absence or presence of OMVs (1.25 to 20 µg/ml) from </w:t>
      </w:r>
      <w:r w:rsidRPr="000C3700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 xml:space="preserve">Hp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60190, at 37 °C for 24 h. As a positive reactivity control, the astrocytes were incubated with TNF (10 ng/ml, 48 h). After treatment, whole cell lysates were evaluated by immunoblot analysis of total 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>c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onnexin 43 (A), β</w:t>
      </w:r>
      <w:r w:rsidRPr="000C3700">
        <w:rPr>
          <w:rFonts w:ascii="Arial" w:hAnsi="Arial" w:cs="Arial"/>
          <w:color w:val="000000" w:themeColor="text1"/>
          <w:sz w:val="24"/>
          <w:szCs w:val="24"/>
          <w:vertAlign w:val="subscript"/>
          <w:lang w:val="en-US"/>
        </w:rPr>
        <w:t>3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>i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ntegrin (B),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lastRenderedPageBreak/>
        <w:t xml:space="preserve">GFAP (C), and 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>v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imentin (D), normalized to β-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>a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ctin. Values in the graphs were obtained by averaging the immune-specific band intensity normalized to β-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>a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ctin from 3 independent experiments (mean ± S.E.M). *</w:t>
      </w:r>
      <w:r w:rsidRPr="004741A2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p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&lt;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0.05 and **</w:t>
      </w:r>
      <w:r w:rsidRPr="004741A2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p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&lt;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0.01, compared to controls (Ctrl).</w:t>
      </w:r>
    </w:p>
    <w:p w14:paraId="4EB2BFAF" w14:textId="77777777" w:rsidR="00E1478E" w:rsidRPr="000C3700" w:rsidRDefault="00E1478E" w:rsidP="00E1478E">
      <w:pPr>
        <w:jc w:val="both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  <w:r w:rsidRPr="000C3700">
        <w:rPr>
          <w:rFonts w:ascii="Arial" w:eastAsia="Calibri" w:hAnsi="Arial" w:cs="Arial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5972929" wp14:editId="5312F4D1">
            <wp:extent cx="5400040" cy="6128385"/>
            <wp:effectExtent l="0" t="0" r="0" b="5715"/>
            <wp:docPr id="35" name="Picture 35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12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08ACB" w14:textId="0659C98C" w:rsidR="00E1478E" w:rsidRPr="000C3700" w:rsidRDefault="00E1478E" w:rsidP="00E1478E">
      <w:pPr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Figure S2. Dose-response of the reactivity markers in DITNC1 ATCC astrocytes treated with 2.5 µg/ml of </w:t>
      </w:r>
      <w:r w:rsidRPr="000C3700">
        <w:rPr>
          <w:rFonts w:ascii="Arial" w:eastAsia="Calibri" w:hAnsi="Arial" w:cs="Arial"/>
          <w:b/>
          <w:bCs/>
          <w:i/>
          <w:iCs/>
          <w:color w:val="000000" w:themeColor="text1"/>
          <w:sz w:val="24"/>
          <w:szCs w:val="24"/>
        </w:rPr>
        <w:t>Helicobacter pylori (Hp)</w:t>
      </w:r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OMVs at different times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. DITNC1 ATCC cells were incubated in the absence or presence of 2.5 µg/ml of </w:t>
      </w:r>
      <w:r w:rsidRPr="000C3700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Hp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 60190 OMVs at 37 °C, from 3 to 72 h. As a positive reactivity control, the astrocytes were incubated with TNF (10 ng/ml, 48 h). After treatment, whole cell lysates were evaluated by immunoblot analysis of total 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>c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onnexin 43 (A), β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  <w:vertAlign w:val="subscript"/>
        </w:rPr>
        <w:t>3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>i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ntegrin (B), GFAP (C), and 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>v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imentin (D),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normalized to β-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>a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ctin. Values in the graphs were obtained by averaging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the immune-specific band intensity, normalized to β-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>a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ctin,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from 3 independent experiments (mean ± S.E.M). *</w:t>
      </w:r>
      <w:r w:rsidRP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p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&lt;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0,05, **</w:t>
      </w:r>
      <w:r w:rsidRP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p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&lt;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0.01, and ***</w:t>
      </w:r>
      <w:r w:rsidRP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p</w:t>
      </w:r>
      <w:r w:rsid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&lt;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0.001, compared to controls (Ctrl).</w:t>
      </w:r>
    </w:p>
    <w:p w14:paraId="0A896F02" w14:textId="77777777" w:rsidR="00E1478E" w:rsidRPr="000C3700" w:rsidRDefault="00E1478E" w:rsidP="00E1478E">
      <w:p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C3700">
        <w:rPr>
          <w:rFonts w:ascii="Arial" w:eastAsia="Calibri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1946D77C" wp14:editId="4DC5768E">
            <wp:extent cx="2387600" cy="2184400"/>
            <wp:effectExtent l="0" t="0" r="0" b="0"/>
            <wp:docPr id="36" name="Picture 36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, ba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44A5C" w14:textId="77777777" w:rsidR="00E1478E" w:rsidRPr="000C3700" w:rsidRDefault="00E1478E" w:rsidP="00E1478E">
      <w:p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Figure S3. Effect of </w:t>
      </w:r>
      <w:r w:rsidRPr="000C3700">
        <w:rPr>
          <w:rFonts w:ascii="Arial" w:eastAsia="Calibri" w:hAnsi="Arial" w:cs="Arial"/>
          <w:b/>
          <w:bCs/>
          <w:i/>
          <w:iCs/>
          <w:color w:val="000000" w:themeColor="text1"/>
          <w:sz w:val="24"/>
          <w:szCs w:val="24"/>
        </w:rPr>
        <w:t>Helicobacter pylori (Hp)</w:t>
      </w:r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OMVs on astrocyte cell viability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. Primary astrocytes (post 17 days </w:t>
      </w:r>
      <w:r w:rsidRPr="000C3700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in vitro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) were incubated in the absence or presence of 2.5 µg/ml of OMVs for 12 h. Cell viability was evaluated with the Trypan blue assay in a Neubauer chamber. Values in the graph represent the average of the percentage of negative trypan blue cells from 3 independent experiments (mean ± S.E.M.).</w:t>
      </w:r>
    </w:p>
    <w:p w14:paraId="695592D2" w14:textId="77777777" w:rsidR="00E1478E" w:rsidRPr="000C3700" w:rsidRDefault="00E1478E" w:rsidP="00E1478E">
      <w:p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C3700">
        <w:rPr>
          <w:rFonts w:ascii="Arial" w:eastAsia="Calibri" w:hAnsi="Arial" w:cs="Arial"/>
          <w:noProof/>
          <w:color w:val="000000" w:themeColor="text1"/>
          <w:sz w:val="24"/>
          <w:szCs w:val="24"/>
        </w:rPr>
        <w:drawing>
          <wp:inline distT="0" distB="0" distL="0" distR="0" wp14:anchorId="2B61FC81" wp14:editId="03F89544">
            <wp:extent cx="3381588" cy="3430954"/>
            <wp:effectExtent l="0" t="0" r="0" b="0"/>
            <wp:docPr id="37" name="Picture 37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Chart, bar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7673" cy="3437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292E5" w14:textId="1FFCC2FF" w:rsidR="00E1478E" w:rsidRPr="000C3700" w:rsidRDefault="00E1478E" w:rsidP="00E1478E">
      <w:pPr>
        <w:rPr>
          <w:rFonts w:ascii="Arial" w:hAnsi="Arial" w:cs="Arial"/>
          <w:color w:val="000000" w:themeColor="text1"/>
          <w:sz w:val="24"/>
          <w:szCs w:val="24"/>
        </w:rPr>
      </w:pPr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Figure S4. Effect of </w:t>
      </w:r>
      <w:r w:rsidRPr="000C3700">
        <w:rPr>
          <w:rFonts w:ascii="Arial" w:eastAsia="Calibri" w:hAnsi="Arial" w:cs="Arial"/>
          <w:b/>
          <w:bCs/>
          <w:i/>
          <w:iCs/>
          <w:color w:val="000000" w:themeColor="text1"/>
          <w:sz w:val="24"/>
          <w:szCs w:val="24"/>
        </w:rPr>
        <w:t>Helicobacter pylori (Hp)</w:t>
      </w:r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OMVs on p65 NF-</w:t>
      </w:r>
      <w:proofErr w:type="spellStart"/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ĸB</w:t>
      </w:r>
      <w:proofErr w:type="spellEnd"/>
      <w:r w:rsidRPr="000C3700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subunit protein levels in DITNC1 ATCC astrocytes, following different times of exposure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. DITNC1 ATCC cells were incubated in the absence or presence of 2.5 µg/ml of OMVs from 3 to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72 h, at 37 °C. As a positive reactivity control, the astrocytes were incubated with TNF (10 ng/ml, 48 h). After treatment, whole cell lysates were evaluated by immunoblot analysis of p65 NF-</w:t>
      </w:r>
      <w:proofErr w:type="spellStart"/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ĸB</w:t>
      </w:r>
      <w:proofErr w:type="spellEnd"/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 total levels. Values in the graph were obtained 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by averaging the immune-specific band intensity, normalized to β-</w:t>
      </w:r>
      <w:r w:rsidR="004741A2">
        <w:rPr>
          <w:rFonts w:ascii="Arial" w:hAnsi="Arial" w:cs="Arial"/>
          <w:color w:val="000000" w:themeColor="text1"/>
          <w:sz w:val="24"/>
          <w:szCs w:val="24"/>
          <w:lang w:val="en-US"/>
        </w:rPr>
        <w:t>a</w:t>
      </w:r>
      <w:r w:rsidRPr="000C3700">
        <w:rPr>
          <w:rFonts w:ascii="Arial" w:hAnsi="Arial" w:cs="Arial"/>
          <w:color w:val="000000" w:themeColor="text1"/>
          <w:sz w:val="24"/>
          <w:szCs w:val="24"/>
          <w:lang w:val="en-US"/>
        </w:rPr>
        <w:t>ctin,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 xml:space="preserve"> from 3 independent experiments (mean ± S.E.M). *</w:t>
      </w:r>
      <w:r w:rsidRP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p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&lt;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0.05, **</w:t>
      </w:r>
      <w:r w:rsidRP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p</w:t>
      </w:r>
      <w:r w:rsidR="004741A2" w:rsidRP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&lt;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0.01, and ***</w:t>
      </w:r>
      <w:r w:rsidRPr="004741A2">
        <w:rPr>
          <w:rFonts w:ascii="Arial" w:eastAsia="Calibri" w:hAnsi="Arial" w:cs="Arial"/>
          <w:i/>
          <w:iCs/>
          <w:color w:val="000000" w:themeColor="text1"/>
          <w:sz w:val="24"/>
          <w:szCs w:val="24"/>
        </w:rPr>
        <w:t>p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&lt;</w:t>
      </w:r>
      <w:r w:rsidR="004741A2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0C3700">
        <w:rPr>
          <w:rFonts w:ascii="Arial" w:eastAsia="Calibri" w:hAnsi="Arial" w:cs="Arial"/>
          <w:color w:val="000000" w:themeColor="text1"/>
          <w:sz w:val="24"/>
          <w:szCs w:val="24"/>
        </w:rPr>
        <w:t>0.001, compared to controls (Ctrl).</w:t>
      </w:r>
    </w:p>
    <w:p w14:paraId="763CD618" w14:textId="330052B7" w:rsidR="00E1478E" w:rsidRPr="00D546C4" w:rsidRDefault="00E1478E" w:rsidP="00D546C4">
      <w:pPr>
        <w:rPr>
          <w:rFonts w:ascii="Arial" w:hAnsi="Arial" w:cs="Arial"/>
          <w:color w:val="000000" w:themeColor="text1"/>
          <w:sz w:val="24"/>
          <w:szCs w:val="24"/>
        </w:rPr>
      </w:pPr>
      <w:r w:rsidRPr="000C3700">
        <w:rPr>
          <w:rFonts w:ascii="Arial" w:hAnsi="Arial" w:cs="Arial"/>
          <w:b/>
          <w:i/>
          <w:sz w:val="24"/>
          <w:szCs w:val="24"/>
        </w:rPr>
        <w:t>Table 2. Research Resource Identifiers</w:t>
      </w:r>
      <w:r w:rsidR="00D546C4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546C4" w:rsidRPr="00D546C4">
        <w:rPr>
          <w:rFonts w:ascii="Arial" w:eastAsia="Arial" w:hAnsi="Arial" w:cs="Arial"/>
          <w:color w:val="000000"/>
          <w:sz w:val="24"/>
          <w:szCs w:val="24"/>
          <w:lang w:val="en-US"/>
        </w:rPr>
        <w:t>List of reagents, antibodies, inhibitors, kits, experimental models used in this study. Tee catalog number is included when available.</w:t>
      </w:r>
    </w:p>
    <w:tbl>
      <w:tblPr>
        <w:tblStyle w:val="TableGrid"/>
        <w:tblW w:w="95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5"/>
        <w:gridCol w:w="1985"/>
        <w:gridCol w:w="2916"/>
      </w:tblGrid>
      <w:tr w:rsidR="00E1478E" w:rsidRPr="000C3700" w14:paraId="32159439" w14:textId="77777777" w:rsidTr="009C2B79">
        <w:trPr>
          <w:cantSplit/>
          <w:trHeight w:hRule="exact" w:val="288"/>
        </w:trPr>
        <w:tc>
          <w:tcPr>
            <w:tcW w:w="467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16EE57C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REAGENT or RESOURCE</w:t>
            </w:r>
          </w:p>
        </w:tc>
        <w:tc>
          <w:tcPr>
            <w:tcW w:w="198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50A90C2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SOURCE</w:t>
            </w:r>
          </w:p>
        </w:tc>
        <w:tc>
          <w:tcPr>
            <w:tcW w:w="291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14:paraId="004354B7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IDENTIFIER</w:t>
            </w:r>
          </w:p>
        </w:tc>
      </w:tr>
      <w:tr w:rsidR="00E1478E" w:rsidRPr="000C3700" w14:paraId="49E65A95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0E41AD7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Antibodies</w:t>
            </w:r>
          </w:p>
        </w:tc>
      </w:tr>
      <w:tr w:rsidR="00E1478E" w:rsidRPr="000C3700" w14:paraId="79214AED" w14:textId="77777777" w:rsidTr="009C2B79">
        <w:trPr>
          <w:cantSplit/>
          <w:trHeight w:val="259"/>
        </w:trPr>
        <w:tc>
          <w:tcPr>
            <w:tcW w:w="4675" w:type="dxa"/>
            <w:tcBorders>
              <w:top w:val="single" w:sz="12" w:space="0" w:color="000000"/>
            </w:tcBorders>
            <w:shd w:val="clear" w:color="auto" w:fill="auto"/>
          </w:tcPr>
          <w:p w14:paraId="252DF3F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Mouse monoclonal anti-GFAP</w:t>
            </w: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auto"/>
          </w:tcPr>
          <w:p w14:paraId="6EF587B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top w:val="single" w:sz="12" w:space="0" w:color="000000"/>
            </w:tcBorders>
            <w:shd w:val="clear" w:color="auto" w:fill="auto"/>
          </w:tcPr>
          <w:p w14:paraId="5C63BB9D" w14:textId="77777777" w:rsidR="00E1478E" w:rsidRPr="000C3700" w:rsidRDefault="00E1478E" w:rsidP="000B78BC">
            <w:pPr>
              <w:shd w:val="clear" w:color="auto" w:fill="FFFFFF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G3893; </w:t>
            </w:r>
            <w:hyperlink r:id="rId11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AB_477010</w:t>
              </w:r>
            </w:hyperlink>
          </w:p>
        </w:tc>
      </w:tr>
      <w:tr w:rsidR="00E1478E" w:rsidRPr="000C3700" w14:paraId="22321E39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0D445E96" w14:textId="39E613B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Mouse monoclonal anti-β-</w:t>
            </w:r>
            <w:r w:rsidR="004741A2">
              <w:rPr>
                <w:rFonts w:ascii="Arial" w:hAnsi="Arial" w:cs="Arial"/>
                <w:sz w:val="24"/>
                <w:szCs w:val="24"/>
              </w:rPr>
              <w:t>a</w:t>
            </w:r>
            <w:r w:rsidRPr="000C3700">
              <w:rPr>
                <w:rFonts w:ascii="Arial" w:hAnsi="Arial" w:cs="Arial"/>
                <w:sz w:val="24"/>
                <w:szCs w:val="24"/>
              </w:rPr>
              <w:t>ctin</w:t>
            </w:r>
          </w:p>
        </w:tc>
        <w:tc>
          <w:tcPr>
            <w:tcW w:w="1985" w:type="dxa"/>
            <w:shd w:val="clear" w:color="auto" w:fill="auto"/>
          </w:tcPr>
          <w:p w14:paraId="12ED56F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shd w:val="clear" w:color="auto" w:fill="auto"/>
          </w:tcPr>
          <w:p w14:paraId="362E1D9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A5316; </w:t>
            </w:r>
            <w:hyperlink r:id="rId12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AB_476743</w:t>
              </w:r>
            </w:hyperlink>
          </w:p>
        </w:tc>
      </w:tr>
      <w:tr w:rsidR="00E1478E" w:rsidRPr="000C3700" w14:paraId="5452A183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77BE278D" w14:textId="0D6F77D2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Mouse monoclonal anti-</w:t>
            </w:r>
            <w:r w:rsidR="004741A2">
              <w:rPr>
                <w:rFonts w:ascii="Arial" w:hAnsi="Arial" w:cs="Arial"/>
                <w:sz w:val="24"/>
                <w:szCs w:val="24"/>
              </w:rPr>
              <w:t>v</w:t>
            </w:r>
            <w:r w:rsidRPr="000C3700">
              <w:rPr>
                <w:rFonts w:ascii="Arial" w:hAnsi="Arial" w:cs="Arial"/>
                <w:sz w:val="24"/>
                <w:szCs w:val="24"/>
              </w:rPr>
              <w:t>imentin</w:t>
            </w:r>
          </w:p>
        </w:tc>
        <w:tc>
          <w:tcPr>
            <w:tcW w:w="1985" w:type="dxa"/>
            <w:shd w:val="clear" w:color="auto" w:fill="auto"/>
          </w:tcPr>
          <w:p w14:paraId="55004AE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916" w:type="dxa"/>
            <w:shd w:val="clear" w:color="auto" w:fill="auto"/>
          </w:tcPr>
          <w:p w14:paraId="074745E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SC-66002; </w:t>
            </w:r>
            <w:hyperlink r:id="rId13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AB_1131285</w:t>
              </w:r>
            </w:hyperlink>
          </w:p>
        </w:tc>
      </w:tr>
      <w:tr w:rsidR="00E1478E" w:rsidRPr="000C3700" w14:paraId="725B5A35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010B0792" w14:textId="049DFFD2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Rabbit polyclonal anti-</w:t>
            </w:r>
            <w:r w:rsidR="004741A2">
              <w:rPr>
                <w:rFonts w:ascii="Arial" w:hAnsi="Arial" w:cs="Arial"/>
                <w:sz w:val="24"/>
                <w:szCs w:val="24"/>
              </w:rPr>
              <w:t>c</w:t>
            </w:r>
            <w:r w:rsidRPr="000C3700">
              <w:rPr>
                <w:rFonts w:ascii="Arial" w:hAnsi="Arial" w:cs="Arial"/>
                <w:sz w:val="24"/>
                <w:szCs w:val="24"/>
              </w:rPr>
              <w:t>onnexin 43</w:t>
            </w:r>
          </w:p>
        </w:tc>
        <w:tc>
          <w:tcPr>
            <w:tcW w:w="1985" w:type="dxa"/>
            <w:shd w:val="clear" w:color="auto" w:fill="auto"/>
          </w:tcPr>
          <w:p w14:paraId="1F2E0B83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Santa Cruz</w:t>
            </w:r>
          </w:p>
        </w:tc>
        <w:tc>
          <w:tcPr>
            <w:tcW w:w="2916" w:type="dxa"/>
            <w:shd w:val="clear" w:color="auto" w:fill="auto"/>
          </w:tcPr>
          <w:p w14:paraId="447C5F2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SC-9059; </w:t>
            </w:r>
            <w:hyperlink r:id="rId14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AB_638640</w:t>
              </w:r>
            </w:hyperlink>
          </w:p>
        </w:tc>
      </w:tr>
      <w:tr w:rsidR="00E1478E" w:rsidRPr="000C3700" w14:paraId="19A9EE17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35A08F27" w14:textId="29505ADE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Rabbit polyclonal anti-β</w:t>
            </w:r>
            <w:r w:rsidRPr="000C3700">
              <w:rPr>
                <w:rFonts w:ascii="Arial" w:hAnsi="Arial" w:cs="Arial"/>
                <w:sz w:val="24"/>
                <w:szCs w:val="24"/>
                <w:vertAlign w:val="subscript"/>
              </w:rPr>
              <w:t xml:space="preserve">3 </w:t>
            </w:r>
            <w:r w:rsidR="004741A2">
              <w:rPr>
                <w:rFonts w:ascii="Arial" w:hAnsi="Arial" w:cs="Arial"/>
                <w:sz w:val="24"/>
                <w:szCs w:val="24"/>
              </w:rPr>
              <w:t>i</w:t>
            </w:r>
            <w:r w:rsidRPr="000C3700">
              <w:rPr>
                <w:rFonts w:ascii="Arial" w:hAnsi="Arial" w:cs="Arial"/>
                <w:sz w:val="24"/>
                <w:szCs w:val="24"/>
              </w:rPr>
              <w:t>ntegrin</w:t>
            </w:r>
          </w:p>
        </w:tc>
        <w:tc>
          <w:tcPr>
            <w:tcW w:w="1985" w:type="dxa"/>
            <w:shd w:val="clear" w:color="auto" w:fill="auto"/>
          </w:tcPr>
          <w:p w14:paraId="6BA0943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Millipore</w:t>
            </w:r>
          </w:p>
        </w:tc>
        <w:tc>
          <w:tcPr>
            <w:tcW w:w="2916" w:type="dxa"/>
            <w:shd w:val="clear" w:color="auto" w:fill="auto"/>
          </w:tcPr>
          <w:p w14:paraId="0A632C5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AB2984; </w:t>
            </w:r>
            <w:hyperlink r:id="rId15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AB_10806204</w:t>
              </w:r>
            </w:hyperlink>
          </w:p>
        </w:tc>
      </w:tr>
      <w:tr w:rsidR="00E1478E" w:rsidRPr="000C3700" w14:paraId="61B85195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271F96F6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Rabbit monoclonal anti-NF-</w:t>
            </w:r>
            <w:r w:rsidRPr="000C3700">
              <w:rPr>
                <w:rFonts w:ascii="Arial" w:hAnsi="Arial" w:cs="Arial"/>
                <w:sz w:val="24"/>
                <w:szCs w:val="24"/>
              </w:rPr>
              <w:sym w:font="Symbol" w:char="F06B"/>
            </w:r>
            <w:r w:rsidRPr="000C3700">
              <w:rPr>
                <w:rFonts w:ascii="Arial" w:hAnsi="Arial" w:cs="Arial"/>
                <w:sz w:val="24"/>
                <w:szCs w:val="24"/>
              </w:rPr>
              <w:t>B (p65)</w:t>
            </w:r>
          </w:p>
        </w:tc>
        <w:tc>
          <w:tcPr>
            <w:tcW w:w="1985" w:type="dxa"/>
            <w:shd w:val="clear" w:color="auto" w:fill="auto"/>
          </w:tcPr>
          <w:p w14:paraId="01EF347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Cell </w:t>
            </w: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Signaling</w:t>
            </w:r>
            <w:proofErr w:type="spellEnd"/>
          </w:p>
        </w:tc>
        <w:tc>
          <w:tcPr>
            <w:tcW w:w="2916" w:type="dxa"/>
            <w:shd w:val="clear" w:color="auto" w:fill="auto"/>
          </w:tcPr>
          <w:p w14:paraId="50BC453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8242; </w:t>
            </w:r>
            <w:hyperlink r:id="rId16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AB_10859369</w:t>
              </w:r>
            </w:hyperlink>
          </w:p>
        </w:tc>
      </w:tr>
      <w:tr w:rsidR="00E1478E" w:rsidRPr="000C3700" w14:paraId="3DA7F734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771EA29C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Rabbit monoclonal anti-pS536p65</w:t>
            </w:r>
          </w:p>
        </w:tc>
        <w:tc>
          <w:tcPr>
            <w:tcW w:w="1985" w:type="dxa"/>
            <w:shd w:val="clear" w:color="auto" w:fill="auto"/>
          </w:tcPr>
          <w:p w14:paraId="6D51209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Cell </w:t>
            </w: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Signaling</w:t>
            </w:r>
            <w:proofErr w:type="spellEnd"/>
          </w:p>
        </w:tc>
        <w:tc>
          <w:tcPr>
            <w:tcW w:w="2916" w:type="dxa"/>
            <w:shd w:val="clear" w:color="auto" w:fill="auto"/>
          </w:tcPr>
          <w:p w14:paraId="5C5B827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3033; </w:t>
            </w:r>
            <w:hyperlink r:id="rId17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AB_331284</w:t>
              </w:r>
            </w:hyperlink>
          </w:p>
        </w:tc>
      </w:tr>
      <w:tr w:rsidR="00E1478E" w:rsidRPr="000C3700" w14:paraId="34280926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6FC34AAC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Mouse monoclonal anti-Thy-1/CD90</w:t>
            </w:r>
          </w:p>
        </w:tc>
        <w:tc>
          <w:tcPr>
            <w:tcW w:w="1985" w:type="dxa"/>
            <w:shd w:val="clear" w:color="auto" w:fill="auto"/>
          </w:tcPr>
          <w:p w14:paraId="32149EF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2916" w:type="dxa"/>
            <w:shd w:val="clear" w:color="auto" w:fill="auto"/>
          </w:tcPr>
          <w:p w14:paraId="5C228A7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554894; </w:t>
            </w:r>
            <w:hyperlink r:id="rId18" w:tgtFrame="_blank" w:history="1">
              <w:r w:rsidRPr="000C3700">
                <w:rPr>
                  <w:rFonts w:ascii="Arial" w:hAnsi="Arial" w:cs="Arial"/>
                  <w:sz w:val="24"/>
                  <w:szCs w:val="24"/>
                </w:rPr>
                <w:t>AB_395585</w:t>
              </w:r>
            </w:hyperlink>
          </w:p>
        </w:tc>
      </w:tr>
      <w:tr w:rsidR="00E1478E" w:rsidRPr="000C3700" w14:paraId="0438F001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7EF3B691" w14:textId="7091228E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Mouse monoclonal anti-βIII </w:t>
            </w:r>
            <w:r w:rsidR="004741A2">
              <w:rPr>
                <w:rFonts w:ascii="Arial" w:hAnsi="Arial" w:cs="Arial"/>
                <w:sz w:val="24"/>
                <w:szCs w:val="24"/>
              </w:rPr>
              <w:t>t</w:t>
            </w:r>
            <w:r w:rsidRPr="000C3700">
              <w:rPr>
                <w:rFonts w:ascii="Arial" w:hAnsi="Arial" w:cs="Arial"/>
                <w:sz w:val="24"/>
                <w:szCs w:val="24"/>
              </w:rPr>
              <w:t>ubulin</w:t>
            </w:r>
          </w:p>
        </w:tc>
        <w:tc>
          <w:tcPr>
            <w:tcW w:w="1985" w:type="dxa"/>
            <w:shd w:val="clear" w:color="auto" w:fill="auto"/>
          </w:tcPr>
          <w:p w14:paraId="66AFC89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Promega</w:t>
            </w:r>
          </w:p>
        </w:tc>
        <w:tc>
          <w:tcPr>
            <w:tcW w:w="2916" w:type="dxa"/>
            <w:shd w:val="clear" w:color="auto" w:fill="auto"/>
          </w:tcPr>
          <w:p w14:paraId="00B03DA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G7121; </w:t>
            </w:r>
            <w:hyperlink r:id="rId19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AB_430874</w:t>
              </w:r>
            </w:hyperlink>
          </w:p>
        </w:tc>
      </w:tr>
      <w:tr w:rsidR="00E1478E" w:rsidRPr="000C3700" w14:paraId="60A4F01F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175C17C8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Mouse monoclonal anti-LAP2</w:t>
            </w:r>
          </w:p>
        </w:tc>
        <w:tc>
          <w:tcPr>
            <w:tcW w:w="1985" w:type="dxa"/>
            <w:shd w:val="clear" w:color="auto" w:fill="auto"/>
          </w:tcPr>
          <w:p w14:paraId="4309023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BD Biosciences</w:t>
            </w:r>
          </w:p>
        </w:tc>
        <w:tc>
          <w:tcPr>
            <w:tcW w:w="2916" w:type="dxa"/>
            <w:shd w:val="clear" w:color="auto" w:fill="auto"/>
          </w:tcPr>
          <w:p w14:paraId="4BA6FF8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611000; </w:t>
            </w:r>
            <w:hyperlink r:id="rId20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AB_398313</w:t>
              </w:r>
            </w:hyperlink>
          </w:p>
        </w:tc>
      </w:tr>
      <w:tr w:rsidR="00E1478E" w:rsidRPr="000C3700" w14:paraId="4AD87E76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329CC38F" w14:textId="5562A544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Goat- anti-</w:t>
            </w:r>
            <w:r w:rsidR="004741A2">
              <w:rPr>
                <w:rFonts w:ascii="Arial" w:hAnsi="Arial" w:cs="Arial"/>
                <w:sz w:val="24"/>
                <w:szCs w:val="24"/>
              </w:rPr>
              <w:t>m</w:t>
            </w:r>
            <w:r w:rsidRPr="000C3700">
              <w:rPr>
                <w:rFonts w:ascii="Arial" w:hAnsi="Arial" w:cs="Arial"/>
                <w:sz w:val="24"/>
                <w:szCs w:val="24"/>
              </w:rPr>
              <w:t>ouse IgG (H+L) polyclonal antibody (HRP)</w:t>
            </w:r>
          </w:p>
        </w:tc>
        <w:tc>
          <w:tcPr>
            <w:tcW w:w="1985" w:type="dxa"/>
            <w:shd w:val="clear" w:color="auto" w:fill="auto"/>
          </w:tcPr>
          <w:p w14:paraId="430706D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SeraCare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 xml:space="preserve"> KPL</w:t>
            </w:r>
          </w:p>
        </w:tc>
        <w:tc>
          <w:tcPr>
            <w:tcW w:w="2916" w:type="dxa"/>
            <w:shd w:val="clear" w:color="auto" w:fill="auto"/>
          </w:tcPr>
          <w:p w14:paraId="7F9D266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Cat# 074-1806; </w:t>
            </w:r>
            <w:hyperlink r:id="rId21" w:tgtFrame="_blank" w:history="1">
              <w:r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AB_2891080</w:t>
              </w:r>
            </w:hyperlink>
          </w:p>
        </w:tc>
      </w:tr>
      <w:tr w:rsidR="00E1478E" w:rsidRPr="000C3700" w14:paraId="20D748C0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6E7864BC" w14:textId="71790819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Goat anti-</w:t>
            </w:r>
            <w:r w:rsidR="004741A2">
              <w:rPr>
                <w:rFonts w:ascii="Arial" w:hAnsi="Arial" w:cs="Arial"/>
                <w:sz w:val="24"/>
                <w:szCs w:val="24"/>
              </w:rPr>
              <w:t>r</w:t>
            </w:r>
            <w:r w:rsidRPr="000C3700">
              <w:rPr>
                <w:rFonts w:ascii="Arial" w:hAnsi="Arial" w:cs="Arial"/>
                <w:sz w:val="24"/>
                <w:szCs w:val="24"/>
              </w:rPr>
              <w:t>abbit IgG (H+L) polyclonal antibody (HRP)</w:t>
            </w:r>
          </w:p>
        </w:tc>
        <w:tc>
          <w:tcPr>
            <w:tcW w:w="1985" w:type="dxa"/>
            <w:shd w:val="clear" w:color="auto" w:fill="auto"/>
          </w:tcPr>
          <w:p w14:paraId="1BBD6168" w14:textId="3490A71D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SeraCare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 xml:space="preserve"> KPL</w:t>
            </w:r>
          </w:p>
        </w:tc>
        <w:tc>
          <w:tcPr>
            <w:tcW w:w="2916" w:type="dxa"/>
            <w:shd w:val="clear" w:color="auto" w:fill="auto"/>
          </w:tcPr>
          <w:p w14:paraId="4B4E95D7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Cat# 074-1506; AB_2721169</w:t>
            </w:r>
          </w:p>
        </w:tc>
      </w:tr>
      <w:tr w:rsidR="00E1478E" w:rsidRPr="000C3700" w14:paraId="159914A6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7E0EB9F3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Goat anti-mouse IgG, Alexa 488</w:t>
            </w:r>
          </w:p>
        </w:tc>
        <w:tc>
          <w:tcPr>
            <w:tcW w:w="1985" w:type="dxa"/>
            <w:shd w:val="clear" w:color="auto" w:fill="auto"/>
          </w:tcPr>
          <w:p w14:paraId="16009511" w14:textId="2C67E3E5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Molecular Probes</w:t>
            </w:r>
          </w:p>
        </w:tc>
        <w:tc>
          <w:tcPr>
            <w:tcW w:w="2916" w:type="dxa"/>
            <w:shd w:val="clear" w:color="auto" w:fill="auto"/>
          </w:tcPr>
          <w:p w14:paraId="2F63755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Cat# A-11029; AB_138404</w:t>
            </w:r>
          </w:p>
        </w:tc>
      </w:tr>
      <w:tr w:rsidR="00E1478E" w:rsidRPr="000C3700" w14:paraId="5E1935DC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2CB9E4D2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Goat anti-rabbit IgG; Alexa 546</w:t>
            </w:r>
          </w:p>
        </w:tc>
        <w:tc>
          <w:tcPr>
            <w:tcW w:w="1985" w:type="dxa"/>
            <w:shd w:val="clear" w:color="auto" w:fill="auto"/>
          </w:tcPr>
          <w:p w14:paraId="728C0ED3" w14:textId="289E924C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Molecular Probes</w:t>
            </w:r>
          </w:p>
        </w:tc>
        <w:tc>
          <w:tcPr>
            <w:tcW w:w="2916" w:type="dxa"/>
            <w:shd w:val="clear" w:color="auto" w:fill="auto"/>
          </w:tcPr>
          <w:p w14:paraId="022199E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shd w:val="clear" w:color="auto" w:fill="FFFFFF"/>
                <w:lang w:val="es-CL"/>
              </w:rPr>
              <w:t>Cat# A-11010; AB_2534077</w:t>
            </w:r>
          </w:p>
        </w:tc>
      </w:tr>
      <w:tr w:rsidR="00E1478E" w:rsidRPr="000C3700" w14:paraId="559793C6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08343310" w14:textId="665F39BC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lastRenderedPageBreak/>
              <w:t>Bacterial and virus strains</w:t>
            </w:r>
          </w:p>
        </w:tc>
      </w:tr>
      <w:tr w:rsidR="00E1478E" w:rsidRPr="000C3700" w14:paraId="4DEF727D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330CFE27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i/>
                <w:iCs/>
                <w:sz w:val="24"/>
                <w:szCs w:val="24"/>
              </w:rPr>
              <w:t>Helicobacter pylori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 60190 (cag PAI+, </w:t>
            </w: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VacA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s1m1)</w:t>
            </w:r>
          </w:p>
        </w:tc>
        <w:tc>
          <w:tcPr>
            <w:tcW w:w="1985" w:type="dxa"/>
            <w:shd w:val="clear" w:color="auto" w:fill="auto"/>
          </w:tcPr>
          <w:p w14:paraId="147EF53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ATCC</w:t>
            </w:r>
          </w:p>
        </w:tc>
        <w:tc>
          <w:tcPr>
            <w:tcW w:w="2916" w:type="dxa"/>
            <w:shd w:val="clear" w:color="auto" w:fill="auto"/>
          </w:tcPr>
          <w:p w14:paraId="6592DB2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ATCC 49503</w:t>
            </w:r>
          </w:p>
        </w:tc>
      </w:tr>
      <w:tr w:rsidR="00E1478E" w:rsidRPr="000C3700" w14:paraId="7CCADA77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76080C22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2DC675A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319D5B7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78E" w:rsidRPr="000C3700" w14:paraId="4DF7FC22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0D2BF933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Biological samples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6B03D7A4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0D749EAD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78E" w:rsidRPr="000C3700" w14:paraId="48CA7347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3D90816A" w14:textId="77777777" w:rsidR="00E1478E" w:rsidRPr="000C3700" w:rsidRDefault="00E1478E" w:rsidP="000B78BC">
            <w:pPr>
              <w:tabs>
                <w:tab w:val="left" w:pos="152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6BC189E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7AD497A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78E" w:rsidRPr="000C3700" w14:paraId="584AE137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9B538A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Chemicals, peptides, and recombinant proteins</w:t>
            </w:r>
          </w:p>
        </w:tc>
      </w:tr>
      <w:tr w:rsidR="00E1478E" w:rsidRPr="000C3700" w14:paraId="50C5A5F3" w14:textId="77777777" w:rsidTr="009C2B79">
        <w:trPr>
          <w:cantSplit/>
          <w:trHeight w:val="259"/>
        </w:trPr>
        <w:tc>
          <w:tcPr>
            <w:tcW w:w="4675" w:type="dxa"/>
            <w:tcBorders>
              <w:top w:val="single" w:sz="12" w:space="0" w:color="000000"/>
            </w:tcBorders>
            <w:shd w:val="clear" w:color="auto" w:fill="auto"/>
          </w:tcPr>
          <w:p w14:paraId="4BAEDB9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Thy-1-Fc</w:t>
            </w: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auto"/>
          </w:tcPr>
          <w:p w14:paraId="0E2A0253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Department of Biochemistry, University of Lausanne, Switzerland</w:t>
            </w:r>
          </w:p>
        </w:tc>
        <w:tc>
          <w:tcPr>
            <w:tcW w:w="2916" w:type="dxa"/>
            <w:tcBorders>
              <w:top w:val="single" w:sz="12" w:space="0" w:color="000000"/>
            </w:tcBorders>
            <w:shd w:val="clear" w:color="auto" w:fill="auto"/>
          </w:tcPr>
          <w:p w14:paraId="7CA7E9EA" w14:textId="6E36D01D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Dr.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Pascal Schneider</w:t>
            </w:r>
          </w:p>
        </w:tc>
      </w:tr>
      <w:tr w:rsidR="00E1478E" w:rsidRPr="000C3700" w14:paraId="780FDC1D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497C438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TRAIL-R2-Fc</w:t>
            </w:r>
          </w:p>
        </w:tc>
        <w:tc>
          <w:tcPr>
            <w:tcW w:w="1985" w:type="dxa"/>
            <w:shd w:val="clear" w:color="auto" w:fill="auto"/>
          </w:tcPr>
          <w:p w14:paraId="3F3678B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Department of Biochemistry, University of Lausanne, Switzerland</w:t>
            </w:r>
          </w:p>
        </w:tc>
        <w:tc>
          <w:tcPr>
            <w:tcW w:w="2916" w:type="dxa"/>
            <w:shd w:val="clear" w:color="auto" w:fill="auto"/>
          </w:tcPr>
          <w:p w14:paraId="27C2D270" w14:textId="47DADB2D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Dr.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Pascal Schneider</w:t>
            </w:r>
          </w:p>
        </w:tc>
      </w:tr>
      <w:tr w:rsidR="00E1478E" w:rsidRPr="000C3700" w14:paraId="4C8CE5FE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137C450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Fc-TNF</w:t>
            </w:r>
          </w:p>
        </w:tc>
        <w:tc>
          <w:tcPr>
            <w:tcW w:w="1985" w:type="dxa"/>
            <w:shd w:val="clear" w:color="auto" w:fill="auto"/>
          </w:tcPr>
          <w:p w14:paraId="217157E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Department of Biochemistry, University of Lausanne, Switzerland</w:t>
            </w:r>
          </w:p>
        </w:tc>
        <w:tc>
          <w:tcPr>
            <w:tcW w:w="2916" w:type="dxa"/>
            <w:shd w:val="clear" w:color="auto" w:fill="auto"/>
          </w:tcPr>
          <w:p w14:paraId="144595B4" w14:textId="321723E4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Dr.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Pascal Schneider</w:t>
            </w:r>
          </w:p>
        </w:tc>
      </w:tr>
      <w:tr w:rsidR="00E1478E" w:rsidRPr="000C3700" w14:paraId="172B97C2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2" w:space="0" w:color="000000"/>
            </w:tcBorders>
            <w:shd w:val="clear" w:color="auto" w:fill="auto"/>
          </w:tcPr>
          <w:p w14:paraId="546025A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Invitrogen™ Exosome Spin Columns (MW 3000)</w:t>
            </w:r>
          </w:p>
        </w:tc>
        <w:tc>
          <w:tcPr>
            <w:tcW w:w="1985" w:type="dxa"/>
            <w:tcBorders>
              <w:bottom w:val="single" w:sz="2" w:space="0" w:color="000000"/>
            </w:tcBorders>
            <w:shd w:val="clear" w:color="auto" w:fill="auto"/>
          </w:tcPr>
          <w:p w14:paraId="079246F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Invitrogen</w:t>
            </w:r>
          </w:p>
        </w:tc>
        <w:tc>
          <w:tcPr>
            <w:tcW w:w="2916" w:type="dxa"/>
            <w:tcBorders>
              <w:bottom w:val="single" w:sz="2" w:space="0" w:color="000000"/>
            </w:tcBorders>
            <w:shd w:val="clear" w:color="auto" w:fill="auto"/>
          </w:tcPr>
          <w:p w14:paraId="11B9923B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4484449</w:t>
            </w:r>
          </w:p>
        </w:tc>
      </w:tr>
      <w:tr w:rsidR="00E1478E" w:rsidRPr="000C3700" w14:paraId="795577CF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7E69BB6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Vitox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394734A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Thermo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Fisher Scientific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7BBC13ED" w14:textId="3CC8B3CD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SR0090A</w:t>
            </w:r>
          </w:p>
        </w:tc>
      </w:tr>
      <w:tr w:rsidR="00E1478E" w:rsidRPr="000C3700" w14:paraId="1D286C7B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EE2453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Amicon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 xml:space="preserve"> Ultra 15 ml-100 kDa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298578E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007B819F" w14:textId="7AA68E5E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UFC910008</w:t>
            </w:r>
          </w:p>
        </w:tc>
      </w:tr>
      <w:tr w:rsidR="00E1478E" w:rsidRPr="000C3700" w14:paraId="0517B845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32D67B9C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Trypan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 xml:space="preserve"> Blue </w:t>
            </w:r>
            <w:proofErr w:type="spellStart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Solution</w:t>
            </w:r>
            <w:proofErr w:type="spellEnd"/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6950D53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Gibco</w:t>
            </w:r>
            <w:proofErr w:type="spellEnd"/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5D118B3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11538886</w:t>
            </w:r>
          </w:p>
        </w:tc>
      </w:tr>
      <w:tr w:rsidR="00E1478E" w:rsidRPr="000C3700" w14:paraId="56C5D093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7A04F45F" w14:textId="588B664B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Granulated </w:t>
            </w:r>
            <w:r w:rsidR="004741A2">
              <w:rPr>
                <w:rFonts w:ascii="Arial" w:hAnsi="Arial" w:cs="Arial"/>
                <w:sz w:val="24"/>
                <w:szCs w:val="24"/>
              </w:rPr>
              <w:t>a</w:t>
            </w:r>
            <w:r w:rsidRPr="000C3700">
              <w:rPr>
                <w:rFonts w:ascii="Arial" w:hAnsi="Arial" w:cs="Arial"/>
                <w:sz w:val="24"/>
                <w:szCs w:val="24"/>
              </w:rPr>
              <w:t>gar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2B1FE16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Difco</w:t>
            </w:r>
            <w:proofErr w:type="spellEnd"/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01167CF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214530</w:t>
            </w:r>
          </w:p>
        </w:tc>
      </w:tr>
      <w:tr w:rsidR="00E1478E" w:rsidRPr="000C3700" w14:paraId="176A94BA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7DDF68FF" w14:textId="6F27839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Complete </w:t>
            </w:r>
            <w:r w:rsidR="004741A2">
              <w:rPr>
                <w:rFonts w:ascii="Arial" w:hAnsi="Arial" w:cs="Arial"/>
                <w:sz w:val="24"/>
                <w:szCs w:val="24"/>
              </w:rPr>
              <w:t>m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ini </w:t>
            </w:r>
            <w:r w:rsidR="004741A2">
              <w:rPr>
                <w:rFonts w:ascii="Arial" w:hAnsi="Arial" w:cs="Arial"/>
                <w:sz w:val="24"/>
                <w:szCs w:val="24"/>
              </w:rPr>
              <w:t>p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rotease </w:t>
            </w:r>
            <w:r w:rsidR="004741A2">
              <w:rPr>
                <w:rFonts w:ascii="Arial" w:hAnsi="Arial" w:cs="Arial"/>
                <w:sz w:val="24"/>
                <w:szCs w:val="24"/>
              </w:rPr>
              <w:t>i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nhibitor </w:t>
            </w:r>
            <w:r w:rsidR="004741A2">
              <w:rPr>
                <w:rFonts w:ascii="Arial" w:hAnsi="Arial" w:cs="Arial"/>
                <w:sz w:val="24"/>
                <w:szCs w:val="24"/>
              </w:rPr>
              <w:t>c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ocktail </w:t>
            </w:r>
            <w:r w:rsidR="004741A2">
              <w:rPr>
                <w:rFonts w:ascii="Arial" w:hAnsi="Arial" w:cs="Arial"/>
                <w:sz w:val="24"/>
                <w:szCs w:val="24"/>
              </w:rPr>
              <w:t>t</w:t>
            </w:r>
            <w:r w:rsidRPr="000C3700">
              <w:rPr>
                <w:rFonts w:ascii="Arial" w:hAnsi="Arial" w:cs="Arial"/>
                <w:sz w:val="24"/>
                <w:szCs w:val="24"/>
              </w:rPr>
              <w:t>ablets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7ECC02E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Roche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739788DE" w14:textId="305A98A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0469312401</w:t>
            </w:r>
          </w:p>
        </w:tc>
      </w:tr>
      <w:tr w:rsidR="00E1478E" w:rsidRPr="000C3700" w14:paraId="4F348E23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6ED86295" w14:textId="6B595A99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β-</w:t>
            </w:r>
            <w:r w:rsidR="004741A2">
              <w:rPr>
                <w:rFonts w:ascii="Arial" w:hAnsi="Arial" w:cs="Arial"/>
                <w:sz w:val="24"/>
                <w:szCs w:val="24"/>
              </w:rPr>
              <w:t>c</w:t>
            </w:r>
            <w:r w:rsidRPr="000C3700">
              <w:rPr>
                <w:rFonts w:ascii="Arial" w:hAnsi="Arial" w:cs="Arial"/>
                <w:sz w:val="24"/>
                <w:szCs w:val="24"/>
              </w:rPr>
              <w:t>yclodextrin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7E4AE51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1A447476" w14:textId="1E9EFC90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C4767</w:t>
            </w:r>
          </w:p>
        </w:tc>
      </w:tr>
      <w:tr w:rsidR="00E1478E" w:rsidRPr="000C3700" w14:paraId="549AE2EB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2E3DA231" w14:textId="544BD523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IMD 0354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D84049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1CB1306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I3159</w:t>
            </w:r>
          </w:p>
        </w:tc>
      </w:tr>
      <w:tr w:rsidR="00E1478E" w:rsidRPr="000C3700" w14:paraId="51C2DCBE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50022B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lastRenderedPageBreak/>
              <w:t>BMS 345541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141B6E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51129AA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B9935</w:t>
            </w:r>
          </w:p>
        </w:tc>
      </w:tr>
      <w:tr w:rsidR="00E1478E" w:rsidRPr="000C3700" w14:paraId="77F9FD8C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3B9B4A8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Glycine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4F87E1C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2AED9857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G7126</w:t>
            </w:r>
          </w:p>
        </w:tc>
      </w:tr>
      <w:tr w:rsidR="00E1478E" w:rsidRPr="000C3700" w14:paraId="2566526E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4C80C9B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Paraformaldehyde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3C6391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6688B3CB" w14:textId="7C3C7BB9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P6148</w:t>
            </w:r>
          </w:p>
        </w:tc>
      </w:tr>
      <w:tr w:rsidR="00E1478E" w:rsidRPr="000C3700" w14:paraId="446ACDF1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61751E13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DAPI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650FB01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Invitrogen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25E45A5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Cat#: 62248</w:t>
            </w:r>
          </w:p>
        </w:tc>
      </w:tr>
      <w:tr w:rsidR="00E1478E" w:rsidRPr="000C3700" w14:paraId="7A7382FD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06B6693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Brucella broth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434AEEF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Thermo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Fisher Scientific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2CBD6FB7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R452662</w:t>
            </w:r>
          </w:p>
        </w:tc>
      </w:tr>
      <w:tr w:rsidR="00E1478E" w:rsidRPr="000C3700" w14:paraId="6769C4D5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3C751700" w14:textId="37636A82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Dent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730034D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Thermo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Fisher Scientific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69F7EDC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SR0147E</w:t>
            </w:r>
          </w:p>
        </w:tc>
      </w:tr>
      <w:tr w:rsidR="00E1478E" w:rsidRPr="000C3700" w14:paraId="66BB8FFA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FB0FB8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Acrylamide/Bis acrylamide, 40% solution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23AEC70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Bio Rad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0315647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1610146</w:t>
            </w:r>
          </w:p>
        </w:tc>
      </w:tr>
      <w:tr w:rsidR="00E1478E" w:rsidRPr="000C3700" w14:paraId="39B3D40D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448F61DC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Sodium selenite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4BA9FEF3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53A69BCC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S5261</w:t>
            </w:r>
          </w:p>
        </w:tc>
      </w:tr>
      <w:tr w:rsidR="00E1478E" w:rsidRPr="000C3700" w14:paraId="58A188B2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42DAC2A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Cell Tracker Green CMFDA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5D694E0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Thermo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Fisher Scientific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2BE3AE4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C2925</w:t>
            </w:r>
          </w:p>
        </w:tc>
      </w:tr>
      <w:tr w:rsidR="00E1478E" w:rsidRPr="000C3700" w14:paraId="2ADC1586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480609A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DiR</w:t>
            </w:r>
            <w:proofErr w:type="spellEnd"/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2AAC2DB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Thermo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Fisher Scientific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2A62C99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D12731</w:t>
            </w:r>
          </w:p>
        </w:tc>
      </w:tr>
      <w:tr w:rsidR="00E1478E" w:rsidRPr="000C3700" w14:paraId="24B11327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8327897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Fetal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bovine serum (FBS)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23491A9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Corning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468CDAC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35-010-CU</w:t>
            </w:r>
          </w:p>
        </w:tc>
      </w:tr>
      <w:tr w:rsidR="00E1478E" w:rsidRPr="000C3700" w14:paraId="07234BED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38388E5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Etoposide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6CBA85C3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4AAA6CF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33419-42-0</w:t>
            </w:r>
          </w:p>
        </w:tc>
      </w:tr>
      <w:tr w:rsidR="00E1478E" w:rsidRPr="000C3700" w14:paraId="24BE24BB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702470C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AFC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4108610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Enzo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797F53C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ALX-260-032-M005</w:t>
            </w:r>
          </w:p>
        </w:tc>
      </w:tr>
      <w:tr w:rsidR="00E1478E" w:rsidRPr="000C3700" w14:paraId="56B4844A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2D93E43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RPMI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1DA5DF81" w14:textId="7BF9D244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GIBCO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7F7C1813" w14:textId="3A048120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Cat# 23400-013</w:t>
            </w:r>
          </w:p>
        </w:tc>
      </w:tr>
      <w:tr w:rsidR="00E1478E" w:rsidRPr="000C3700" w14:paraId="5B90C6A4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66440098" w14:textId="5DF58149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DMEM-F12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59D7AEC5" w14:textId="59DA7D5E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GIBCO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42589674" w14:textId="2E0869B3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Cat# 12400-24</w:t>
            </w:r>
          </w:p>
        </w:tc>
      </w:tr>
      <w:tr w:rsidR="00E1478E" w:rsidRPr="000C3700" w14:paraId="415E4EFA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C216DF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Ampicillin/streptomycin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985C979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Biological industries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6C8EE7C5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Cat# 03-031-1B</w:t>
            </w:r>
          </w:p>
        </w:tc>
      </w:tr>
      <w:tr w:rsidR="00E1478E" w:rsidRPr="000C3700" w14:paraId="4392371D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A08A19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2-mercaptoethanol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182AFBDD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440D0C00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Cat# M6250</w:t>
            </w:r>
          </w:p>
        </w:tc>
      </w:tr>
      <w:tr w:rsidR="00E1478E" w:rsidRPr="000C3700" w14:paraId="5D6A117F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B59289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Triton X-100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67695D4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0E5E9440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Cat# 329830772</w:t>
            </w:r>
          </w:p>
        </w:tc>
      </w:tr>
      <w:tr w:rsidR="00E1478E" w:rsidRPr="000C3700" w14:paraId="29564B34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492E227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BSA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9ECBCDF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Sigma-Aldrich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5A166CBC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Cat# A9418</w:t>
            </w:r>
          </w:p>
        </w:tc>
      </w:tr>
      <w:tr w:rsidR="00E1478E" w:rsidRPr="000C3700" w14:paraId="5447EDA9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6E8FDABC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PBS (10X)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1FC75E20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>Biological industries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3E72C6F8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C3700">
              <w:rPr>
                <w:rFonts w:ascii="Arial" w:hAnsi="Arial" w:cs="Arial"/>
                <w:color w:val="auto"/>
                <w:sz w:val="24"/>
                <w:szCs w:val="24"/>
              </w:rPr>
              <w:t xml:space="preserve">Cat# </w:t>
            </w:r>
            <w:r w:rsidRPr="000C3700">
              <w:rPr>
                <w:rFonts w:ascii="Arial" w:hAnsi="Arial" w:cs="Arial"/>
                <w:sz w:val="24"/>
                <w:szCs w:val="24"/>
              </w:rPr>
              <w:t>02-024-5A</w:t>
            </w:r>
          </w:p>
        </w:tc>
      </w:tr>
      <w:tr w:rsidR="00E1478E" w:rsidRPr="000C3700" w14:paraId="3E9260C2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67556D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Critical commercial assays</w:t>
            </w:r>
          </w:p>
        </w:tc>
      </w:tr>
      <w:tr w:rsidR="00E1478E" w:rsidRPr="000C3700" w14:paraId="18F80FC9" w14:textId="77777777" w:rsidTr="009C2B79">
        <w:trPr>
          <w:cantSplit/>
          <w:trHeight w:val="259"/>
        </w:trPr>
        <w:tc>
          <w:tcPr>
            <w:tcW w:w="4675" w:type="dxa"/>
            <w:tcBorders>
              <w:top w:val="single" w:sz="12" w:space="0" w:color="000000"/>
            </w:tcBorders>
            <w:shd w:val="clear" w:color="auto" w:fill="auto"/>
          </w:tcPr>
          <w:p w14:paraId="1096D1B7" w14:textId="6C127402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NF-κB (p65) </w:t>
            </w:r>
            <w:r w:rsidR="004741A2">
              <w:rPr>
                <w:rFonts w:ascii="Arial" w:hAnsi="Arial" w:cs="Arial"/>
                <w:sz w:val="24"/>
                <w:szCs w:val="24"/>
              </w:rPr>
              <w:t>t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ranscription </w:t>
            </w:r>
            <w:r w:rsidR="004741A2">
              <w:rPr>
                <w:rFonts w:ascii="Arial" w:hAnsi="Arial" w:cs="Arial"/>
                <w:sz w:val="24"/>
                <w:szCs w:val="24"/>
              </w:rPr>
              <w:t>f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actor </w:t>
            </w:r>
            <w:r w:rsidR="004741A2">
              <w:rPr>
                <w:rFonts w:ascii="Arial" w:hAnsi="Arial" w:cs="Arial"/>
                <w:sz w:val="24"/>
                <w:szCs w:val="24"/>
              </w:rPr>
              <w:t>a</w:t>
            </w:r>
            <w:r w:rsidRPr="000C3700">
              <w:rPr>
                <w:rFonts w:ascii="Arial" w:hAnsi="Arial" w:cs="Arial"/>
                <w:sz w:val="24"/>
                <w:szCs w:val="24"/>
              </w:rPr>
              <w:t>ssay Kit</w:t>
            </w: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auto"/>
          </w:tcPr>
          <w:p w14:paraId="04F807CA" w14:textId="13CBB6BF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Cayman Chemical</w:t>
            </w:r>
          </w:p>
        </w:tc>
        <w:tc>
          <w:tcPr>
            <w:tcW w:w="2916" w:type="dxa"/>
            <w:tcBorders>
              <w:top w:val="single" w:sz="12" w:space="0" w:color="000000"/>
            </w:tcBorders>
            <w:shd w:val="clear" w:color="auto" w:fill="auto"/>
          </w:tcPr>
          <w:p w14:paraId="3A4F8D9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10007889</w:t>
            </w:r>
          </w:p>
        </w:tc>
      </w:tr>
      <w:tr w:rsidR="00E1478E" w:rsidRPr="000C3700" w14:paraId="7D4A5140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7F82466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lastRenderedPageBreak/>
              <w:t>Exo-spin™ buffer</w:t>
            </w:r>
          </w:p>
        </w:tc>
        <w:tc>
          <w:tcPr>
            <w:tcW w:w="1985" w:type="dxa"/>
            <w:shd w:val="clear" w:color="auto" w:fill="auto"/>
          </w:tcPr>
          <w:p w14:paraId="43D3694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Cell Guidance System</w:t>
            </w:r>
          </w:p>
        </w:tc>
        <w:tc>
          <w:tcPr>
            <w:tcW w:w="2916" w:type="dxa"/>
            <w:shd w:val="clear" w:color="auto" w:fill="auto"/>
          </w:tcPr>
          <w:p w14:paraId="2079D76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EX01</w:t>
            </w:r>
          </w:p>
        </w:tc>
      </w:tr>
      <w:tr w:rsidR="00E1478E" w:rsidRPr="000C3700" w14:paraId="1D611C9B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271C1098" w14:textId="370987AB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Pierce™ BCA </w:t>
            </w:r>
            <w:r w:rsidR="004741A2">
              <w:rPr>
                <w:rFonts w:ascii="Arial" w:hAnsi="Arial" w:cs="Arial"/>
                <w:sz w:val="24"/>
                <w:szCs w:val="24"/>
              </w:rPr>
              <w:t>p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rotein </w:t>
            </w:r>
            <w:r w:rsidR="004741A2">
              <w:rPr>
                <w:rFonts w:ascii="Arial" w:hAnsi="Arial" w:cs="Arial"/>
                <w:sz w:val="24"/>
                <w:szCs w:val="24"/>
              </w:rPr>
              <w:t>a</w:t>
            </w:r>
            <w:r w:rsidRPr="000C3700">
              <w:rPr>
                <w:rFonts w:ascii="Arial" w:hAnsi="Arial" w:cs="Arial"/>
                <w:sz w:val="24"/>
                <w:szCs w:val="24"/>
              </w:rPr>
              <w:t>ssay Kit</w:t>
            </w:r>
          </w:p>
        </w:tc>
        <w:tc>
          <w:tcPr>
            <w:tcW w:w="1985" w:type="dxa"/>
            <w:shd w:val="clear" w:color="auto" w:fill="auto"/>
          </w:tcPr>
          <w:p w14:paraId="7AB552E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Thermo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Fisher Scientific</w:t>
            </w:r>
          </w:p>
        </w:tc>
        <w:tc>
          <w:tcPr>
            <w:tcW w:w="2916" w:type="dxa"/>
            <w:shd w:val="clear" w:color="auto" w:fill="auto"/>
          </w:tcPr>
          <w:p w14:paraId="193B921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Cat# 22237</w:t>
            </w:r>
          </w:p>
        </w:tc>
      </w:tr>
      <w:tr w:rsidR="00E1478E" w:rsidRPr="000C3700" w14:paraId="7D9C849D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2" w:space="0" w:color="000000"/>
            </w:tcBorders>
            <w:shd w:val="clear" w:color="auto" w:fill="auto"/>
          </w:tcPr>
          <w:p w14:paraId="3193376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MILLIPLEX map rat cytokine magnetic bead (TNF, IL-6, IL-1</w:t>
            </w: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β</w:t>
            </w:r>
            <w:r w:rsidRPr="000C3700">
              <w:rPr>
                <w:rFonts w:ascii="Arial" w:hAnsi="Arial" w:cs="Arial"/>
                <w:sz w:val="24"/>
                <w:szCs w:val="24"/>
              </w:rPr>
              <w:t>, and IFN</w:t>
            </w: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γ</w:t>
            </w:r>
            <w:r w:rsidRPr="000C370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bottom w:val="single" w:sz="2" w:space="0" w:color="000000"/>
            </w:tcBorders>
            <w:shd w:val="clear" w:color="auto" w:fill="auto"/>
          </w:tcPr>
          <w:p w14:paraId="77C0729B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Merck</w:t>
            </w:r>
          </w:p>
        </w:tc>
        <w:tc>
          <w:tcPr>
            <w:tcW w:w="2916" w:type="dxa"/>
            <w:tcBorders>
              <w:bottom w:val="single" w:sz="2" w:space="0" w:color="000000"/>
            </w:tcBorders>
            <w:shd w:val="clear" w:color="auto" w:fill="auto"/>
          </w:tcPr>
          <w:p w14:paraId="2CF9938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RECYTMAG-65K</w:t>
            </w:r>
          </w:p>
        </w:tc>
      </w:tr>
      <w:tr w:rsidR="00E1478E" w:rsidRPr="000C3700" w14:paraId="1335D62D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7898898C" w14:textId="4818E5DD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 xml:space="preserve">FITC </w:t>
            </w:r>
            <w:r w:rsidR="004741A2">
              <w:rPr>
                <w:rFonts w:ascii="Arial" w:hAnsi="Arial" w:cs="Arial"/>
                <w:sz w:val="24"/>
                <w:szCs w:val="24"/>
              </w:rPr>
              <w:t>a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nnexin V </w:t>
            </w:r>
            <w:r w:rsidR="004741A2">
              <w:rPr>
                <w:rFonts w:ascii="Arial" w:hAnsi="Arial" w:cs="Arial"/>
                <w:sz w:val="24"/>
                <w:szCs w:val="24"/>
              </w:rPr>
              <w:t>a</w:t>
            </w:r>
            <w:r w:rsidRPr="000C3700">
              <w:rPr>
                <w:rFonts w:ascii="Arial" w:hAnsi="Arial" w:cs="Arial"/>
                <w:sz w:val="24"/>
                <w:szCs w:val="24"/>
              </w:rPr>
              <w:t xml:space="preserve">poptosis </w:t>
            </w:r>
            <w:r w:rsidR="004741A2">
              <w:rPr>
                <w:rFonts w:ascii="Arial" w:hAnsi="Arial" w:cs="Arial"/>
                <w:sz w:val="24"/>
                <w:szCs w:val="24"/>
              </w:rPr>
              <w:t>d</w:t>
            </w:r>
            <w:r w:rsidRPr="000C3700">
              <w:rPr>
                <w:rFonts w:ascii="Arial" w:hAnsi="Arial" w:cs="Arial"/>
                <w:sz w:val="24"/>
                <w:szCs w:val="24"/>
              </w:rPr>
              <w:t>etection Kit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EE1AC4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BD Pharmingen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029B19B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556547</w:t>
            </w:r>
          </w:p>
        </w:tc>
      </w:tr>
      <w:tr w:rsidR="00E1478E" w:rsidRPr="000C3700" w14:paraId="2DACE05F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13663047" w14:textId="55DD7DC2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MTS assay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5256D98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Promega</w:t>
            </w: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68E4D42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Cat# G109A</w:t>
            </w:r>
          </w:p>
        </w:tc>
      </w:tr>
      <w:tr w:rsidR="00E1478E" w:rsidRPr="000C3700" w14:paraId="0AD4B3AD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5C28796C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17C7071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4966E10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</w:tr>
      <w:tr w:rsidR="00E1478E" w:rsidRPr="000C3700" w14:paraId="4948557D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1CFDA24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Deposited data</w:t>
            </w:r>
          </w:p>
        </w:tc>
      </w:tr>
      <w:tr w:rsidR="00E1478E" w:rsidRPr="000C3700" w14:paraId="55BA2DFC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77047D5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24A5AA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7983F0C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78E" w:rsidRPr="000C3700" w14:paraId="5788EABC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28305F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Experimental models: Cell lines</w:t>
            </w:r>
          </w:p>
        </w:tc>
      </w:tr>
      <w:tr w:rsidR="00E1478E" w:rsidRPr="000C3700" w14:paraId="2AEB1F46" w14:textId="77777777" w:rsidTr="009C2B79">
        <w:trPr>
          <w:cantSplit/>
          <w:trHeight w:val="259"/>
        </w:trPr>
        <w:tc>
          <w:tcPr>
            <w:tcW w:w="4675" w:type="dxa"/>
            <w:tcBorders>
              <w:top w:val="single" w:sz="12" w:space="0" w:color="000000"/>
            </w:tcBorders>
            <w:shd w:val="clear" w:color="auto" w:fill="auto"/>
          </w:tcPr>
          <w:p w14:paraId="3AA220DD" w14:textId="2D2E5B89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DITNC1</w:t>
            </w: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auto"/>
          </w:tcPr>
          <w:p w14:paraId="78D38DB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ATCC</w:t>
            </w:r>
          </w:p>
        </w:tc>
        <w:tc>
          <w:tcPr>
            <w:tcW w:w="2916" w:type="dxa"/>
            <w:tcBorders>
              <w:top w:val="single" w:sz="12" w:space="0" w:color="000000"/>
            </w:tcBorders>
            <w:shd w:val="clear" w:color="auto" w:fill="auto"/>
          </w:tcPr>
          <w:p w14:paraId="66F0474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ATCC CRL-2005</w:t>
            </w:r>
          </w:p>
        </w:tc>
      </w:tr>
      <w:tr w:rsidR="00E1478E" w:rsidRPr="000C3700" w14:paraId="1F136546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191B87E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CAD cells ("</w:t>
            </w: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CATH.a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>-differentiated")</w:t>
            </w:r>
          </w:p>
        </w:tc>
        <w:tc>
          <w:tcPr>
            <w:tcW w:w="1985" w:type="dxa"/>
            <w:shd w:val="clear" w:color="auto" w:fill="auto"/>
          </w:tcPr>
          <w:p w14:paraId="5039DA6C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ECACC General Collection</w:t>
            </w:r>
          </w:p>
        </w:tc>
        <w:tc>
          <w:tcPr>
            <w:tcW w:w="2916" w:type="dxa"/>
            <w:shd w:val="clear" w:color="auto" w:fill="auto"/>
          </w:tcPr>
          <w:p w14:paraId="567D46D6" w14:textId="667A6B5D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08100805</w:t>
            </w:r>
          </w:p>
        </w:tc>
      </w:tr>
      <w:tr w:rsidR="00E1478E" w:rsidRPr="000C3700" w14:paraId="474EA1E8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4620E6A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773C6AC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shd w:val="clear" w:color="auto" w:fill="auto"/>
          </w:tcPr>
          <w:p w14:paraId="63DA432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78E" w:rsidRPr="000C3700" w14:paraId="348DEFE5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EA6155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Experimental models: Organisms/strains</w:t>
            </w:r>
          </w:p>
        </w:tc>
      </w:tr>
      <w:tr w:rsidR="00E1478E" w:rsidRPr="000C3700" w14:paraId="75F21260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4438E1A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Male BALB/c mice</w:t>
            </w:r>
          </w:p>
        </w:tc>
        <w:tc>
          <w:tcPr>
            <w:tcW w:w="1985" w:type="dxa"/>
            <w:shd w:val="clear" w:color="auto" w:fill="auto"/>
          </w:tcPr>
          <w:p w14:paraId="5534DB97" w14:textId="0175AB6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Instituto de Salud Pública Chile (ISP)</w:t>
            </w:r>
          </w:p>
        </w:tc>
        <w:tc>
          <w:tcPr>
            <w:tcW w:w="2916" w:type="dxa"/>
            <w:shd w:val="clear" w:color="auto" w:fill="auto"/>
          </w:tcPr>
          <w:p w14:paraId="67D92497" w14:textId="1A3D2F04" w:rsidR="00E1478E" w:rsidRPr="000C3700" w:rsidRDefault="00000000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="00E1478E" w:rsidRPr="000C3700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https://www.ispch.cl/</w:t>
              </w:r>
            </w:hyperlink>
          </w:p>
          <w:p w14:paraId="105DB4E9" w14:textId="77777777" w:rsidR="00E1478E" w:rsidRPr="000C3700" w:rsidRDefault="00E1478E" w:rsidP="000B78BC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</w:rPr>
            </w:pPr>
          </w:p>
        </w:tc>
      </w:tr>
      <w:tr w:rsidR="00E1478E" w:rsidRPr="000C3700" w14:paraId="7A03B69A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62B7F4D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Wistar neonatal rats</w:t>
            </w:r>
          </w:p>
        </w:tc>
        <w:tc>
          <w:tcPr>
            <w:tcW w:w="1985" w:type="dxa"/>
            <w:shd w:val="clear" w:color="auto" w:fill="auto"/>
          </w:tcPr>
          <w:p w14:paraId="4639DC90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 xml:space="preserve">Animal </w:t>
            </w:r>
            <w:proofErr w:type="spellStart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facility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 xml:space="preserve"> at Universidad</w:t>
            </w:r>
          </w:p>
          <w:p w14:paraId="34CF5A14" w14:textId="38416075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  <w:r w:rsidRPr="000C3700">
              <w:rPr>
                <w:rFonts w:ascii="Arial" w:hAnsi="Arial" w:cs="Arial"/>
                <w:sz w:val="24"/>
                <w:szCs w:val="24"/>
                <w:lang w:val="es-CL"/>
              </w:rPr>
              <w:t>de Chile</w:t>
            </w:r>
          </w:p>
        </w:tc>
        <w:tc>
          <w:tcPr>
            <w:tcW w:w="2916" w:type="dxa"/>
            <w:shd w:val="clear" w:color="auto" w:fill="auto"/>
          </w:tcPr>
          <w:p w14:paraId="11BF7BF9" w14:textId="77777777" w:rsidR="00E1478E" w:rsidRPr="000C3700" w:rsidRDefault="00E1478E" w:rsidP="000B78BC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val="es-CL"/>
              </w:rPr>
            </w:pPr>
            <w:r w:rsidRPr="000C3700"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val="es-CL"/>
              </w:rPr>
              <w:t>CBA #1123 FMUCH</w:t>
            </w:r>
          </w:p>
        </w:tc>
      </w:tr>
      <w:tr w:rsidR="00E1478E" w:rsidRPr="000C3700" w14:paraId="2ACA0FAA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7B81262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1985" w:type="dxa"/>
            <w:shd w:val="clear" w:color="auto" w:fill="auto"/>
          </w:tcPr>
          <w:p w14:paraId="24A1C23F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  <w:lang w:val="es-CL"/>
              </w:rPr>
            </w:pPr>
          </w:p>
        </w:tc>
        <w:tc>
          <w:tcPr>
            <w:tcW w:w="2916" w:type="dxa"/>
            <w:shd w:val="clear" w:color="auto" w:fill="auto"/>
          </w:tcPr>
          <w:p w14:paraId="6CA5AC26" w14:textId="77777777" w:rsidR="00E1478E" w:rsidRPr="000C3700" w:rsidRDefault="00E1478E" w:rsidP="000B78BC">
            <w:pPr>
              <w:jc w:val="center"/>
              <w:rPr>
                <w:rFonts w:ascii="Arial" w:eastAsia="Times New Roman" w:hAnsi="Arial" w:cs="Arial"/>
                <w:sz w:val="24"/>
                <w:szCs w:val="24"/>
                <w:shd w:val="clear" w:color="auto" w:fill="FFFFFF"/>
                <w:lang w:val="es-CL"/>
              </w:rPr>
            </w:pPr>
          </w:p>
        </w:tc>
      </w:tr>
      <w:tr w:rsidR="00E1478E" w:rsidRPr="000C3700" w14:paraId="1AA86078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4C7A8E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Oligonucleotides</w:t>
            </w:r>
          </w:p>
        </w:tc>
      </w:tr>
      <w:tr w:rsidR="00E1478E" w:rsidRPr="000C3700" w14:paraId="76F5ADB2" w14:textId="77777777" w:rsidTr="009C2B79">
        <w:trPr>
          <w:cantSplit/>
          <w:trHeight w:val="259"/>
        </w:trPr>
        <w:tc>
          <w:tcPr>
            <w:tcW w:w="4675" w:type="dxa"/>
            <w:tcBorders>
              <w:top w:val="single" w:sz="12" w:space="0" w:color="000000"/>
            </w:tcBorders>
            <w:shd w:val="clear" w:color="auto" w:fill="auto"/>
          </w:tcPr>
          <w:p w14:paraId="4889A34D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auto"/>
          </w:tcPr>
          <w:p w14:paraId="634A944B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12" w:space="0" w:color="000000"/>
            </w:tcBorders>
            <w:shd w:val="clear" w:color="auto" w:fill="auto"/>
          </w:tcPr>
          <w:p w14:paraId="3F27DA7C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478E" w:rsidRPr="000C3700" w14:paraId="35DD317C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4A15800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Recombinant DNA</w:t>
            </w:r>
          </w:p>
        </w:tc>
      </w:tr>
      <w:tr w:rsidR="00E1478E" w:rsidRPr="000C3700" w14:paraId="13F47733" w14:textId="77777777" w:rsidTr="009C2B79">
        <w:trPr>
          <w:cantSplit/>
          <w:trHeight w:val="259"/>
        </w:trPr>
        <w:tc>
          <w:tcPr>
            <w:tcW w:w="4675" w:type="dxa"/>
            <w:tcBorders>
              <w:top w:val="single" w:sz="12" w:space="0" w:color="000000"/>
            </w:tcBorders>
            <w:shd w:val="clear" w:color="auto" w:fill="auto"/>
          </w:tcPr>
          <w:p w14:paraId="01C02A95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auto"/>
          </w:tcPr>
          <w:p w14:paraId="442E4303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top w:val="single" w:sz="12" w:space="0" w:color="000000"/>
            </w:tcBorders>
            <w:shd w:val="clear" w:color="auto" w:fill="auto"/>
          </w:tcPr>
          <w:p w14:paraId="3DCD9C5D" w14:textId="77777777" w:rsidR="00E1478E" w:rsidRPr="000C3700" w:rsidRDefault="00E1478E" w:rsidP="000B78BC">
            <w:pPr>
              <w:pStyle w:val="Default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E1478E" w:rsidRPr="000C3700" w14:paraId="69C2B733" w14:textId="77777777" w:rsidTr="009C2B79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48DAA15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Software and algorithms</w:t>
            </w:r>
          </w:p>
        </w:tc>
      </w:tr>
      <w:tr w:rsidR="00E1478E" w:rsidRPr="000C3700" w14:paraId="7318481D" w14:textId="77777777" w:rsidTr="009C2B79">
        <w:trPr>
          <w:cantSplit/>
          <w:trHeight w:val="259"/>
        </w:trPr>
        <w:tc>
          <w:tcPr>
            <w:tcW w:w="4675" w:type="dxa"/>
            <w:tcBorders>
              <w:top w:val="single" w:sz="12" w:space="0" w:color="000000"/>
            </w:tcBorders>
            <w:shd w:val="clear" w:color="auto" w:fill="auto"/>
          </w:tcPr>
          <w:p w14:paraId="6DFB1BFB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lastRenderedPageBreak/>
              <w:t>GraphPad Prism (version 9.0)</w:t>
            </w:r>
          </w:p>
        </w:tc>
        <w:tc>
          <w:tcPr>
            <w:tcW w:w="1985" w:type="dxa"/>
            <w:tcBorders>
              <w:top w:val="single" w:sz="12" w:space="0" w:color="000000"/>
            </w:tcBorders>
            <w:shd w:val="clear" w:color="auto" w:fill="auto"/>
          </w:tcPr>
          <w:p w14:paraId="556D611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GraphPad Software</w:t>
            </w:r>
          </w:p>
        </w:tc>
        <w:tc>
          <w:tcPr>
            <w:tcW w:w="2916" w:type="dxa"/>
            <w:tcBorders>
              <w:top w:val="single" w:sz="12" w:space="0" w:color="000000"/>
            </w:tcBorders>
            <w:shd w:val="clear" w:color="auto" w:fill="auto"/>
          </w:tcPr>
          <w:p w14:paraId="6031D72A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https://www.graphpad.com</w:t>
            </w:r>
          </w:p>
        </w:tc>
      </w:tr>
      <w:tr w:rsidR="00E1478E" w:rsidRPr="000C3700" w14:paraId="740B207B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059362EB" w14:textId="3F1E29BB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Software Q-View</w:t>
            </w:r>
          </w:p>
        </w:tc>
        <w:tc>
          <w:tcPr>
            <w:tcW w:w="1985" w:type="dxa"/>
            <w:shd w:val="clear" w:color="auto" w:fill="auto"/>
          </w:tcPr>
          <w:p w14:paraId="024697E2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Quansys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Biosciences</w:t>
            </w:r>
          </w:p>
        </w:tc>
        <w:tc>
          <w:tcPr>
            <w:tcW w:w="2916" w:type="dxa"/>
            <w:shd w:val="clear" w:color="auto" w:fill="auto"/>
          </w:tcPr>
          <w:p w14:paraId="693D69A7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https://www.quansysbio.com/imaging/q-view-software/</w:t>
            </w:r>
          </w:p>
        </w:tc>
      </w:tr>
      <w:tr w:rsidR="00E1478E" w:rsidRPr="000C3700" w14:paraId="22C490D0" w14:textId="77777777" w:rsidTr="009C2B79">
        <w:trPr>
          <w:cantSplit/>
          <w:trHeight w:val="259"/>
        </w:trPr>
        <w:tc>
          <w:tcPr>
            <w:tcW w:w="4675" w:type="dxa"/>
            <w:shd w:val="clear" w:color="auto" w:fill="auto"/>
          </w:tcPr>
          <w:p w14:paraId="69EA065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C3700">
              <w:rPr>
                <w:rFonts w:ascii="Arial" w:hAnsi="Arial" w:cs="Arial"/>
                <w:sz w:val="24"/>
                <w:szCs w:val="24"/>
              </w:rPr>
              <w:t>FlowJo</w:t>
            </w:r>
            <w:proofErr w:type="spellEnd"/>
            <w:r w:rsidRPr="000C3700">
              <w:rPr>
                <w:rFonts w:ascii="Arial" w:hAnsi="Arial" w:cs="Arial"/>
                <w:sz w:val="24"/>
                <w:szCs w:val="24"/>
              </w:rPr>
              <w:t xml:space="preserve"> version 10.8.0.</w:t>
            </w:r>
          </w:p>
        </w:tc>
        <w:tc>
          <w:tcPr>
            <w:tcW w:w="1985" w:type="dxa"/>
            <w:shd w:val="clear" w:color="auto" w:fill="auto"/>
          </w:tcPr>
          <w:p w14:paraId="52023AF4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Becton, Dickinson &amp; Company</w:t>
            </w:r>
          </w:p>
        </w:tc>
        <w:tc>
          <w:tcPr>
            <w:tcW w:w="2916" w:type="dxa"/>
            <w:shd w:val="clear" w:color="auto" w:fill="auto"/>
          </w:tcPr>
          <w:p w14:paraId="3A9C8C7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https://www.flowjo.com/</w:t>
            </w:r>
          </w:p>
        </w:tc>
      </w:tr>
      <w:tr w:rsidR="00E1478E" w:rsidRPr="000C3700" w14:paraId="1F5531F3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2" w:space="0" w:color="000000"/>
            </w:tcBorders>
            <w:shd w:val="clear" w:color="auto" w:fill="auto"/>
          </w:tcPr>
          <w:p w14:paraId="69F4332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ImageJ</w:t>
            </w:r>
          </w:p>
        </w:tc>
        <w:tc>
          <w:tcPr>
            <w:tcW w:w="1985" w:type="dxa"/>
            <w:tcBorders>
              <w:bottom w:val="single" w:sz="2" w:space="0" w:color="000000"/>
            </w:tcBorders>
            <w:shd w:val="clear" w:color="auto" w:fill="auto"/>
          </w:tcPr>
          <w:p w14:paraId="585B7D31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National Institutes of Health</w:t>
            </w:r>
          </w:p>
        </w:tc>
        <w:tc>
          <w:tcPr>
            <w:tcW w:w="2916" w:type="dxa"/>
            <w:tcBorders>
              <w:bottom w:val="single" w:sz="2" w:space="0" w:color="000000"/>
            </w:tcBorders>
            <w:shd w:val="clear" w:color="auto" w:fill="auto"/>
          </w:tcPr>
          <w:p w14:paraId="48DE9DB6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3700">
              <w:rPr>
                <w:rFonts w:ascii="Arial" w:hAnsi="Arial" w:cs="Arial"/>
                <w:sz w:val="24"/>
                <w:szCs w:val="24"/>
              </w:rPr>
              <w:t>https://imagej.nih.gov/ij/</w:t>
            </w:r>
          </w:p>
        </w:tc>
      </w:tr>
      <w:tr w:rsidR="00E1478E" w:rsidRPr="000C3700" w14:paraId="24DA4600" w14:textId="77777777" w:rsidTr="009C2B79">
        <w:trPr>
          <w:cantSplit/>
          <w:trHeight w:val="259"/>
        </w:trPr>
        <w:tc>
          <w:tcPr>
            <w:tcW w:w="4675" w:type="dxa"/>
            <w:tcBorders>
              <w:bottom w:val="single" w:sz="12" w:space="0" w:color="000000"/>
            </w:tcBorders>
            <w:shd w:val="clear" w:color="auto" w:fill="auto"/>
          </w:tcPr>
          <w:p w14:paraId="226A0129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57BB391E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6" w:type="dxa"/>
            <w:tcBorders>
              <w:bottom w:val="single" w:sz="12" w:space="0" w:color="000000"/>
            </w:tcBorders>
            <w:shd w:val="clear" w:color="auto" w:fill="auto"/>
          </w:tcPr>
          <w:p w14:paraId="448B08B8" w14:textId="77777777" w:rsidR="00E1478E" w:rsidRPr="000C3700" w:rsidRDefault="00E1478E" w:rsidP="000B78B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A693347" w14:textId="77777777" w:rsidR="00B67ECD" w:rsidRPr="000C3700" w:rsidRDefault="00000000" w:rsidP="000B78BC">
      <w:pPr>
        <w:jc w:val="center"/>
        <w:rPr>
          <w:rFonts w:ascii="Arial" w:hAnsi="Arial" w:cs="Arial"/>
          <w:sz w:val="24"/>
          <w:szCs w:val="24"/>
          <w:lang w:val="en-US"/>
        </w:rPr>
      </w:pPr>
    </w:p>
    <w:sectPr w:rsidR="00B67ECD" w:rsidRPr="000C3700" w:rsidSect="00E1478E">
      <w:pgSz w:w="12240" w:h="15840"/>
      <w:pgMar w:top="1440" w:right="1440" w:bottom="1440" w:left="144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B57A4" w14:textId="77777777" w:rsidR="00B60791" w:rsidRDefault="00B60791" w:rsidP="00E1478E">
      <w:pPr>
        <w:spacing w:after="0" w:line="240" w:lineRule="auto"/>
      </w:pPr>
      <w:r>
        <w:separator/>
      </w:r>
    </w:p>
  </w:endnote>
  <w:endnote w:type="continuationSeparator" w:id="0">
    <w:p w14:paraId="0B28A6D2" w14:textId="77777777" w:rsidR="00B60791" w:rsidRDefault="00B60791" w:rsidP="00E14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8063F" w14:textId="77777777" w:rsidR="00B60791" w:rsidRDefault="00B60791" w:rsidP="00E1478E">
      <w:pPr>
        <w:spacing w:after="0" w:line="240" w:lineRule="auto"/>
      </w:pPr>
      <w:r>
        <w:separator/>
      </w:r>
    </w:p>
  </w:footnote>
  <w:footnote w:type="continuationSeparator" w:id="0">
    <w:p w14:paraId="70AA2433" w14:textId="77777777" w:rsidR="00B60791" w:rsidRDefault="00B60791" w:rsidP="00E147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isplayBackgroundShape/>
  <w:mirrorMargins/>
  <w:proofState w:spelling="clean" w:grammar="clean"/>
  <w:defaultTabStop w:val="720"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yMDIyNjI1MTY0M7NU0lEKTi0uzszPAykwrgUAB6ez+SwAAAA="/>
  </w:docVars>
  <w:rsids>
    <w:rsidRoot w:val="00E1478E"/>
    <w:rsid w:val="000B78BC"/>
    <w:rsid w:val="000C3700"/>
    <w:rsid w:val="00372639"/>
    <w:rsid w:val="003F5471"/>
    <w:rsid w:val="004741A2"/>
    <w:rsid w:val="00714AEA"/>
    <w:rsid w:val="0074672A"/>
    <w:rsid w:val="0083021E"/>
    <w:rsid w:val="008313EA"/>
    <w:rsid w:val="008923D8"/>
    <w:rsid w:val="00AA19AD"/>
    <w:rsid w:val="00B60791"/>
    <w:rsid w:val="00B91180"/>
    <w:rsid w:val="00C24B04"/>
    <w:rsid w:val="00D546C4"/>
    <w:rsid w:val="00E1478E"/>
    <w:rsid w:val="00F4065E"/>
    <w:rsid w:val="00FB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DB28D2"/>
  <w15:chartTrackingRefBased/>
  <w15:docId w15:val="{917F29D9-62FC-6B4B-908E-10417DC1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78E"/>
    <w:pPr>
      <w:spacing w:after="160" w:line="259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1478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en-GB"/>
    </w:rPr>
  </w:style>
  <w:style w:type="character" w:styleId="Hyperlink">
    <w:name w:val="Hyperlink"/>
    <w:basedOn w:val="DefaultParagraphFont"/>
    <w:uiPriority w:val="99"/>
    <w:unhideWhenUsed/>
    <w:rsid w:val="00E1478E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1478E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4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78E"/>
    <w:rPr>
      <w:rFonts w:eastAsiaTheme="minorHAnsi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14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78E"/>
    <w:rPr>
      <w:rFonts w:eastAsiaTheme="minorHAnsi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antibodyregistry.org/AB_1131285" TargetMode="External"/><Relationship Id="rId18" Type="http://schemas.openxmlformats.org/officeDocument/2006/relationships/hyperlink" Target="http://antibodyregistry.org/AB_39558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ntibodyregistry.org/AB_2891080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antibodyregistry.org/AB_476743" TargetMode="External"/><Relationship Id="rId17" Type="http://schemas.openxmlformats.org/officeDocument/2006/relationships/hyperlink" Target="http://antibodyregistry.org/AB_33128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ntibodyregistry.org/AB_10859369" TargetMode="External"/><Relationship Id="rId20" Type="http://schemas.openxmlformats.org/officeDocument/2006/relationships/hyperlink" Target="http://antibodyregistry.org/AB_398313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antibodyregistry.org/AB_477010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antibodyregistry.org/AB_10806204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hyperlink" Target="http://antibodyregistry.org/AB_430874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http://antibodyregistry.org/AB_638640" TargetMode="External"/><Relationship Id="rId22" Type="http://schemas.openxmlformats.org/officeDocument/2006/relationships/hyperlink" Target="https://www.ispch.c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1404</Words>
  <Characters>8008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Sylvana Katia Quest Leyton</dc:creator>
  <cp:keywords/>
  <dc:description/>
  <cp:lastModifiedBy>Lisette Leyton</cp:lastModifiedBy>
  <cp:revision>2</cp:revision>
  <dcterms:created xsi:type="dcterms:W3CDTF">2023-02-25T20:11:00Z</dcterms:created>
  <dcterms:modified xsi:type="dcterms:W3CDTF">2023-02-25T20:11:00Z</dcterms:modified>
</cp:coreProperties>
</file>