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044" w:type="dxa"/>
        <w:tblLook w:val="04A0" w:firstRow="1" w:lastRow="0" w:firstColumn="1" w:lastColumn="0" w:noHBand="0" w:noVBand="1"/>
      </w:tblPr>
      <w:tblGrid>
        <w:gridCol w:w="1462"/>
        <w:gridCol w:w="907"/>
        <w:gridCol w:w="907"/>
        <w:gridCol w:w="717"/>
        <w:gridCol w:w="1037"/>
        <w:gridCol w:w="977"/>
        <w:gridCol w:w="907"/>
        <w:gridCol w:w="717"/>
        <w:gridCol w:w="1037"/>
        <w:gridCol w:w="977"/>
        <w:gridCol w:w="1207"/>
        <w:gridCol w:w="1207"/>
        <w:gridCol w:w="1451"/>
        <w:gridCol w:w="1534"/>
      </w:tblGrid>
      <w:tr w:rsidR="00845B3C" w:rsidRPr="001E30AA" w14:paraId="03F73BF3" w14:textId="77777777" w:rsidTr="003C1751">
        <w:trPr>
          <w:trHeight w:val="320"/>
        </w:trPr>
        <w:tc>
          <w:tcPr>
            <w:tcW w:w="1462" w:type="dxa"/>
            <w:tcBorders>
              <w:top w:val="nil"/>
              <w:left w:val="nil"/>
              <w:bottom w:val="nil"/>
              <w:right w:val="nil"/>
            </w:tcBorders>
            <w:shd w:val="clear" w:color="auto" w:fill="auto"/>
            <w:noWrap/>
            <w:vAlign w:val="bottom"/>
            <w:hideMark/>
          </w:tcPr>
          <w:p w14:paraId="54558C3C" w14:textId="77777777" w:rsidR="00845B3C" w:rsidRPr="001E30AA" w:rsidRDefault="00845B3C" w:rsidP="003C1751">
            <w:pPr>
              <w:rPr>
                <w:rFonts w:ascii="Times New Roman" w:eastAsia="Times New Roman" w:hAnsi="Times New Roman" w:cs="Times New Roman"/>
                <w:sz w:val="18"/>
                <w:szCs w:val="18"/>
                <w:lang w:eastAsia="en-GB"/>
              </w:rPr>
            </w:pPr>
          </w:p>
        </w:tc>
        <w:tc>
          <w:tcPr>
            <w:tcW w:w="907" w:type="dxa"/>
            <w:tcBorders>
              <w:top w:val="nil"/>
              <w:left w:val="nil"/>
              <w:bottom w:val="nil"/>
              <w:right w:val="nil"/>
            </w:tcBorders>
            <w:shd w:val="clear" w:color="auto" w:fill="auto"/>
            <w:noWrap/>
            <w:vAlign w:val="bottom"/>
            <w:hideMark/>
          </w:tcPr>
          <w:p w14:paraId="70F1CAA3" w14:textId="77777777" w:rsidR="00845B3C" w:rsidRPr="001E30AA" w:rsidRDefault="00845B3C" w:rsidP="003C1751">
            <w:pPr>
              <w:jc w:val="center"/>
              <w:rPr>
                <w:rFonts w:ascii="Times New Roman" w:eastAsia="Times New Roman" w:hAnsi="Times New Roman" w:cs="Times New Roman"/>
                <w:sz w:val="13"/>
                <w:szCs w:val="13"/>
                <w:lang w:eastAsia="en-GB"/>
              </w:rPr>
            </w:pPr>
          </w:p>
        </w:tc>
        <w:tc>
          <w:tcPr>
            <w:tcW w:w="727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7BE30"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M</w:t>
            </w:r>
            <w:r w:rsidRPr="001E30AA">
              <w:rPr>
                <w:rFonts w:ascii="Arial" w:eastAsia="Times New Roman" w:hAnsi="Arial" w:cs="Arial"/>
                <w:color w:val="000000"/>
                <w:sz w:val="18"/>
                <w:szCs w:val="18"/>
                <w:lang w:eastAsia="en-GB"/>
              </w:rPr>
              <w:t>acula</w:t>
            </w:r>
          </w:p>
        </w:tc>
        <w:tc>
          <w:tcPr>
            <w:tcW w:w="1207" w:type="dxa"/>
            <w:tcBorders>
              <w:top w:val="nil"/>
              <w:left w:val="nil"/>
              <w:bottom w:val="nil"/>
              <w:right w:val="nil"/>
            </w:tcBorders>
            <w:shd w:val="clear" w:color="auto" w:fill="auto"/>
            <w:noWrap/>
            <w:vAlign w:val="bottom"/>
            <w:hideMark/>
          </w:tcPr>
          <w:p w14:paraId="6947EB5C" w14:textId="77777777" w:rsidR="00845B3C" w:rsidRPr="001E30AA" w:rsidRDefault="00845B3C" w:rsidP="003C1751">
            <w:pPr>
              <w:jc w:val="center"/>
              <w:rPr>
                <w:rFonts w:ascii="Arial" w:eastAsia="Times New Roman" w:hAnsi="Arial" w:cs="Arial"/>
                <w:color w:val="000000"/>
                <w:sz w:val="18"/>
                <w:szCs w:val="18"/>
                <w:lang w:eastAsia="en-GB"/>
              </w:rPr>
            </w:pPr>
          </w:p>
        </w:tc>
        <w:tc>
          <w:tcPr>
            <w:tcW w:w="41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D23E8"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O</w:t>
            </w:r>
            <w:r w:rsidRPr="001E30AA">
              <w:rPr>
                <w:rFonts w:ascii="Arial" w:eastAsia="Times New Roman" w:hAnsi="Arial" w:cs="Arial"/>
                <w:color w:val="000000"/>
                <w:sz w:val="18"/>
                <w:szCs w:val="18"/>
                <w:lang w:eastAsia="en-GB"/>
              </w:rPr>
              <w:t>ptic disc</w:t>
            </w:r>
          </w:p>
        </w:tc>
      </w:tr>
      <w:tr w:rsidR="00845B3C" w:rsidRPr="001E30AA" w14:paraId="7E8F290D" w14:textId="77777777" w:rsidTr="003C1751">
        <w:trPr>
          <w:trHeight w:val="320"/>
        </w:trPr>
        <w:tc>
          <w:tcPr>
            <w:tcW w:w="1462" w:type="dxa"/>
            <w:tcBorders>
              <w:top w:val="nil"/>
              <w:left w:val="nil"/>
              <w:bottom w:val="nil"/>
              <w:right w:val="nil"/>
            </w:tcBorders>
            <w:shd w:val="clear" w:color="auto" w:fill="auto"/>
            <w:noWrap/>
            <w:vAlign w:val="bottom"/>
            <w:hideMark/>
          </w:tcPr>
          <w:p w14:paraId="3EC38363" w14:textId="77777777" w:rsidR="00845B3C" w:rsidRPr="001E30AA" w:rsidRDefault="00845B3C" w:rsidP="003C1751">
            <w:pPr>
              <w:jc w:val="center"/>
              <w:rPr>
                <w:rFonts w:ascii="Arial" w:eastAsia="Times New Roman" w:hAnsi="Arial" w:cs="Arial"/>
                <w:color w:val="000000"/>
                <w:sz w:val="18"/>
                <w:szCs w:val="18"/>
                <w:lang w:eastAsia="en-GB"/>
              </w:rPr>
            </w:pPr>
          </w:p>
        </w:tc>
        <w:tc>
          <w:tcPr>
            <w:tcW w:w="907" w:type="dxa"/>
            <w:tcBorders>
              <w:top w:val="nil"/>
              <w:left w:val="nil"/>
              <w:bottom w:val="nil"/>
              <w:right w:val="nil"/>
            </w:tcBorders>
            <w:shd w:val="clear" w:color="auto" w:fill="auto"/>
            <w:noWrap/>
            <w:vAlign w:val="bottom"/>
            <w:hideMark/>
          </w:tcPr>
          <w:p w14:paraId="6D9449F3" w14:textId="77777777" w:rsidR="00845B3C" w:rsidRPr="001E30AA" w:rsidRDefault="00845B3C" w:rsidP="003C1751">
            <w:pPr>
              <w:jc w:val="center"/>
              <w:rPr>
                <w:rFonts w:ascii="Times New Roman" w:eastAsia="Times New Roman" w:hAnsi="Times New Roman" w:cs="Times New Roman"/>
                <w:sz w:val="13"/>
                <w:szCs w:val="13"/>
                <w:lang w:eastAsia="en-GB"/>
              </w:rPr>
            </w:pPr>
          </w:p>
        </w:tc>
        <w:tc>
          <w:tcPr>
            <w:tcW w:w="363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5D913"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S</w:t>
            </w:r>
            <w:r w:rsidRPr="001E30AA">
              <w:rPr>
                <w:rFonts w:ascii="Arial" w:eastAsia="Times New Roman" w:hAnsi="Arial" w:cs="Arial"/>
                <w:color w:val="000000"/>
                <w:sz w:val="18"/>
                <w:szCs w:val="18"/>
                <w:lang w:eastAsia="en-GB"/>
              </w:rPr>
              <w:t>uperficial</w:t>
            </w:r>
          </w:p>
        </w:tc>
        <w:tc>
          <w:tcPr>
            <w:tcW w:w="3638" w:type="dxa"/>
            <w:gridSpan w:val="4"/>
            <w:tcBorders>
              <w:top w:val="single" w:sz="4" w:space="0" w:color="auto"/>
              <w:left w:val="nil"/>
              <w:bottom w:val="single" w:sz="4" w:space="0" w:color="auto"/>
              <w:right w:val="single" w:sz="4" w:space="0" w:color="auto"/>
            </w:tcBorders>
            <w:shd w:val="clear" w:color="auto" w:fill="auto"/>
            <w:noWrap/>
            <w:vAlign w:val="bottom"/>
            <w:hideMark/>
          </w:tcPr>
          <w:p w14:paraId="48C59A06"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D</w:t>
            </w:r>
            <w:r w:rsidRPr="001E30AA">
              <w:rPr>
                <w:rFonts w:ascii="Arial" w:eastAsia="Times New Roman" w:hAnsi="Arial" w:cs="Arial"/>
                <w:color w:val="000000"/>
                <w:sz w:val="18"/>
                <w:szCs w:val="18"/>
                <w:lang w:eastAsia="en-GB"/>
              </w:rPr>
              <w:t>eep</w:t>
            </w:r>
          </w:p>
        </w:tc>
        <w:tc>
          <w:tcPr>
            <w:tcW w:w="1207" w:type="dxa"/>
            <w:tcBorders>
              <w:top w:val="nil"/>
              <w:left w:val="nil"/>
              <w:bottom w:val="nil"/>
              <w:right w:val="nil"/>
            </w:tcBorders>
            <w:shd w:val="clear" w:color="auto" w:fill="auto"/>
            <w:noWrap/>
            <w:vAlign w:val="bottom"/>
            <w:hideMark/>
          </w:tcPr>
          <w:p w14:paraId="5FB2B637" w14:textId="77777777" w:rsidR="00845B3C" w:rsidRPr="001E30AA" w:rsidRDefault="00845B3C" w:rsidP="003C1751">
            <w:pPr>
              <w:jc w:val="center"/>
              <w:rPr>
                <w:rFonts w:ascii="Arial" w:eastAsia="Times New Roman" w:hAnsi="Arial" w:cs="Arial"/>
                <w:color w:val="000000"/>
                <w:sz w:val="18"/>
                <w:szCs w:val="18"/>
                <w:lang w:eastAsia="en-GB"/>
              </w:rPr>
            </w:pPr>
          </w:p>
        </w:tc>
        <w:tc>
          <w:tcPr>
            <w:tcW w:w="1207" w:type="dxa"/>
            <w:tcBorders>
              <w:top w:val="nil"/>
              <w:left w:val="single" w:sz="4" w:space="0" w:color="auto"/>
              <w:bottom w:val="single" w:sz="4" w:space="0" w:color="auto"/>
              <w:right w:val="single" w:sz="4" w:space="0" w:color="auto"/>
            </w:tcBorders>
            <w:shd w:val="clear" w:color="auto" w:fill="auto"/>
            <w:noWrap/>
            <w:vAlign w:val="bottom"/>
            <w:hideMark/>
          </w:tcPr>
          <w:p w14:paraId="6605343E"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S</w:t>
            </w:r>
            <w:r w:rsidRPr="001E30AA">
              <w:rPr>
                <w:rFonts w:ascii="Arial" w:eastAsia="Times New Roman" w:hAnsi="Arial" w:cs="Arial"/>
                <w:color w:val="000000"/>
                <w:sz w:val="18"/>
                <w:szCs w:val="18"/>
                <w:lang w:eastAsia="en-GB"/>
              </w:rPr>
              <w:t>uperficial</w:t>
            </w:r>
          </w:p>
        </w:tc>
        <w:tc>
          <w:tcPr>
            <w:tcW w:w="2985" w:type="dxa"/>
            <w:gridSpan w:val="2"/>
            <w:tcBorders>
              <w:top w:val="single" w:sz="4" w:space="0" w:color="auto"/>
              <w:left w:val="nil"/>
              <w:bottom w:val="single" w:sz="4" w:space="0" w:color="auto"/>
              <w:right w:val="single" w:sz="4" w:space="0" w:color="auto"/>
            </w:tcBorders>
            <w:shd w:val="clear" w:color="auto" w:fill="auto"/>
            <w:noWrap/>
            <w:vAlign w:val="bottom"/>
            <w:hideMark/>
          </w:tcPr>
          <w:p w14:paraId="70B22DAD"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w:t>
            </w:r>
            <w:r w:rsidRPr="001E30AA">
              <w:rPr>
                <w:rFonts w:ascii="Arial" w:eastAsia="Times New Roman" w:hAnsi="Arial" w:cs="Arial"/>
                <w:color w:val="000000"/>
                <w:sz w:val="18"/>
                <w:szCs w:val="18"/>
                <w:lang w:eastAsia="en-GB"/>
              </w:rPr>
              <w:t>adial peripapillary capillary</w:t>
            </w:r>
          </w:p>
        </w:tc>
      </w:tr>
      <w:tr w:rsidR="00845B3C" w:rsidRPr="001E30AA" w14:paraId="5CB633FA" w14:textId="77777777" w:rsidTr="003C1751">
        <w:trPr>
          <w:trHeight w:val="340"/>
        </w:trPr>
        <w:tc>
          <w:tcPr>
            <w:tcW w:w="1462" w:type="dxa"/>
            <w:tcBorders>
              <w:top w:val="single" w:sz="4" w:space="0" w:color="auto"/>
              <w:left w:val="single" w:sz="4" w:space="0" w:color="auto"/>
              <w:bottom w:val="single" w:sz="4" w:space="0" w:color="auto"/>
              <w:right w:val="nil"/>
            </w:tcBorders>
            <w:shd w:val="clear" w:color="000000" w:fill="D0CECE"/>
            <w:vAlign w:val="bottom"/>
            <w:hideMark/>
          </w:tcPr>
          <w:p w14:paraId="5526C471" w14:textId="77777777" w:rsidR="00845B3C" w:rsidRPr="001E30AA" w:rsidRDefault="00845B3C" w:rsidP="003C175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First author/Year</w:t>
            </w:r>
          </w:p>
        </w:tc>
        <w:tc>
          <w:tcPr>
            <w:tcW w:w="907" w:type="dxa"/>
            <w:tcBorders>
              <w:top w:val="single" w:sz="4" w:space="0" w:color="auto"/>
              <w:left w:val="single" w:sz="4" w:space="0" w:color="auto"/>
              <w:bottom w:val="single" w:sz="4" w:space="0" w:color="auto"/>
              <w:right w:val="nil"/>
            </w:tcBorders>
            <w:shd w:val="clear" w:color="000000" w:fill="D0CECE"/>
            <w:vAlign w:val="bottom"/>
            <w:hideMark/>
          </w:tcPr>
          <w:p w14:paraId="4B4B1278" w14:textId="77777777" w:rsidR="00845B3C" w:rsidRPr="001E30AA" w:rsidRDefault="00845B3C" w:rsidP="003C175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F</w:t>
            </w:r>
            <w:r w:rsidRPr="001E30AA">
              <w:rPr>
                <w:rFonts w:ascii="Arial" w:eastAsia="Times New Roman" w:hAnsi="Arial" w:cs="Arial"/>
                <w:b/>
                <w:bCs/>
                <w:color w:val="000000"/>
                <w:sz w:val="18"/>
                <w:szCs w:val="18"/>
                <w:lang w:eastAsia="en-GB"/>
              </w:rPr>
              <w:t>ield(s) of view</w:t>
            </w:r>
          </w:p>
        </w:tc>
        <w:tc>
          <w:tcPr>
            <w:tcW w:w="907" w:type="dxa"/>
            <w:tcBorders>
              <w:top w:val="nil"/>
              <w:left w:val="single" w:sz="4" w:space="0" w:color="auto"/>
              <w:bottom w:val="single" w:sz="4" w:space="0" w:color="auto"/>
              <w:right w:val="single" w:sz="4" w:space="0" w:color="auto"/>
            </w:tcBorders>
            <w:shd w:val="clear" w:color="000000" w:fill="D0CECE"/>
            <w:noWrap/>
            <w:vAlign w:val="bottom"/>
            <w:hideMark/>
          </w:tcPr>
          <w:p w14:paraId="1A106342"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W</w:t>
            </w:r>
            <w:r w:rsidRPr="001E30AA">
              <w:rPr>
                <w:rFonts w:ascii="Arial" w:eastAsia="Times New Roman" w:hAnsi="Arial" w:cs="Arial"/>
                <w:color w:val="000000"/>
                <w:sz w:val="18"/>
                <w:szCs w:val="18"/>
                <w:lang w:eastAsia="en-GB"/>
              </w:rPr>
              <w:t>hole</w:t>
            </w:r>
          </w:p>
        </w:tc>
        <w:tc>
          <w:tcPr>
            <w:tcW w:w="717" w:type="dxa"/>
            <w:tcBorders>
              <w:top w:val="nil"/>
              <w:left w:val="nil"/>
              <w:bottom w:val="single" w:sz="4" w:space="0" w:color="auto"/>
              <w:right w:val="single" w:sz="4" w:space="0" w:color="auto"/>
            </w:tcBorders>
            <w:shd w:val="clear" w:color="000000" w:fill="D0CECE"/>
            <w:noWrap/>
            <w:vAlign w:val="bottom"/>
            <w:hideMark/>
          </w:tcPr>
          <w:p w14:paraId="01BC9068"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F</w:t>
            </w:r>
            <w:r w:rsidRPr="001E30AA">
              <w:rPr>
                <w:rFonts w:ascii="Arial" w:eastAsia="Times New Roman" w:hAnsi="Arial" w:cs="Arial"/>
                <w:color w:val="000000"/>
                <w:sz w:val="18"/>
                <w:szCs w:val="18"/>
                <w:lang w:eastAsia="en-GB"/>
              </w:rPr>
              <w:t>ovea</w:t>
            </w:r>
          </w:p>
        </w:tc>
        <w:tc>
          <w:tcPr>
            <w:tcW w:w="1037" w:type="dxa"/>
            <w:tcBorders>
              <w:top w:val="nil"/>
              <w:left w:val="nil"/>
              <w:bottom w:val="single" w:sz="4" w:space="0" w:color="auto"/>
              <w:right w:val="single" w:sz="4" w:space="0" w:color="auto"/>
            </w:tcBorders>
            <w:shd w:val="clear" w:color="000000" w:fill="D0CECE"/>
            <w:noWrap/>
            <w:vAlign w:val="bottom"/>
            <w:hideMark/>
          </w:tcPr>
          <w:p w14:paraId="39FC8673"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arafovea</w:t>
            </w:r>
          </w:p>
        </w:tc>
        <w:tc>
          <w:tcPr>
            <w:tcW w:w="977" w:type="dxa"/>
            <w:tcBorders>
              <w:top w:val="nil"/>
              <w:left w:val="nil"/>
              <w:bottom w:val="single" w:sz="4" w:space="0" w:color="auto"/>
              <w:right w:val="single" w:sz="4" w:space="0" w:color="auto"/>
            </w:tcBorders>
            <w:shd w:val="clear" w:color="000000" w:fill="D0CECE"/>
            <w:noWrap/>
            <w:vAlign w:val="bottom"/>
            <w:hideMark/>
          </w:tcPr>
          <w:p w14:paraId="27BECB1D"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erifovea</w:t>
            </w:r>
          </w:p>
        </w:tc>
        <w:tc>
          <w:tcPr>
            <w:tcW w:w="907" w:type="dxa"/>
            <w:tcBorders>
              <w:top w:val="nil"/>
              <w:left w:val="nil"/>
              <w:bottom w:val="single" w:sz="4" w:space="0" w:color="auto"/>
              <w:right w:val="single" w:sz="4" w:space="0" w:color="auto"/>
            </w:tcBorders>
            <w:shd w:val="clear" w:color="000000" w:fill="D0CECE"/>
            <w:noWrap/>
            <w:vAlign w:val="bottom"/>
            <w:hideMark/>
          </w:tcPr>
          <w:p w14:paraId="5D82E024"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W</w:t>
            </w:r>
            <w:r w:rsidRPr="001E30AA">
              <w:rPr>
                <w:rFonts w:ascii="Arial" w:eastAsia="Times New Roman" w:hAnsi="Arial" w:cs="Arial"/>
                <w:color w:val="000000"/>
                <w:sz w:val="18"/>
                <w:szCs w:val="18"/>
                <w:lang w:eastAsia="en-GB"/>
              </w:rPr>
              <w:t>hole</w:t>
            </w:r>
          </w:p>
        </w:tc>
        <w:tc>
          <w:tcPr>
            <w:tcW w:w="717" w:type="dxa"/>
            <w:tcBorders>
              <w:top w:val="nil"/>
              <w:left w:val="nil"/>
              <w:bottom w:val="single" w:sz="4" w:space="0" w:color="auto"/>
              <w:right w:val="single" w:sz="4" w:space="0" w:color="auto"/>
            </w:tcBorders>
            <w:shd w:val="clear" w:color="000000" w:fill="D0CECE"/>
            <w:noWrap/>
            <w:vAlign w:val="bottom"/>
            <w:hideMark/>
          </w:tcPr>
          <w:p w14:paraId="00DD9F4C"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F</w:t>
            </w:r>
            <w:r w:rsidRPr="001E30AA">
              <w:rPr>
                <w:rFonts w:ascii="Arial" w:eastAsia="Times New Roman" w:hAnsi="Arial" w:cs="Arial"/>
                <w:color w:val="000000"/>
                <w:sz w:val="18"/>
                <w:szCs w:val="18"/>
                <w:lang w:eastAsia="en-GB"/>
              </w:rPr>
              <w:t>ovea</w:t>
            </w:r>
          </w:p>
        </w:tc>
        <w:tc>
          <w:tcPr>
            <w:tcW w:w="1037" w:type="dxa"/>
            <w:tcBorders>
              <w:top w:val="nil"/>
              <w:left w:val="nil"/>
              <w:bottom w:val="single" w:sz="4" w:space="0" w:color="auto"/>
              <w:right w:val="single" w:sz="4" w:space="0" w:color="auto"/>
            </w:tcBorders>
            <w:shd w:val="clear" w:color="000000" w:fill="D0CECE"/>
            <w:noWrap/>
            <w:vAlign w:val="bottom"/>
            <w:hideMark/>
          </w:tcPr>
          <w:p w14:paraId="5134CE65"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arafovea</w:t>
            </w:r>
          </w:p>
        </w:tc>
        <w:tc>
          <w:tcPr>
            <w:tcW w:w="977" w:type="dxa"/>
            <w:tcBorders>
              <w:top w:val="nil"/>
              <w:left w:val="nil"/>
              <w:bottom w:val="single" w:sz="4" w:space="0" w:color="auto"/>
              <w:right w:val="single" w:sz="4" w:space="0" w:color="auto"/>
            </w:tcBorders>
            <w:shd w:val="clear" w:color="000000" w:fill="D0CECE"/>
            <w:noWrap/>
            <w:vAlign w:val="bottom"/>
            <w:hideMark/>
          </w:tcPr>
          <w:p w14:paraId="71DEE3D6"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erifovea</w:t>
            </w:r>
          </w:p>
        </w:tc>
        <w:tc>
          <w:tcPr>
            <w:tcW w:w="1207" w:type="dxa"/>
            <w:tcBorders>
              <w:top w:val="single" w:sz="4" w:space="0" w:color="auto"/>
              <w:left w:val="nil"/>
              <w:bottom w:val="single" w:sz="4" w:space="0" w:color="auto"/>
              <w:right w:val="single" w:sz="4" w:space="0" w:color="auto"/>
            </w:tcBorders>
            <w:shd w:val="clear" w:color="000000" w:fill="D0CECE"/>
            <w:vAlign w:val="bottom"/>
            <w:hideMark/>
          </w:tcPr>
          <w:p w14:paraId="0ED78AAC" w14:textId="6D8D6F5F" w:rsidR="00845B3C" w:rsidRPr="001E30AA" w:rsidRDefault="00845B3C" w:rsidP="003C175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F</w:t>
            </w:r>
            <w:r w:rsidRPr="001E30AA">
              <w:rPr>
                <w:rFonts w:ascii="Arial" w:eastAsia="Times New Roman" w:hAnsi="Arial" w:cs="Arial"/>
                <w:b/>
                <w:bCs/>
                <w:color w:val="000000"/>
                <w:sz w:val="18"/>
                <w:szCs w:val="18"/>
                <w:lang w:eastAsia="en-GB"/>
              </w:rPr>
              <w:t>ield(s) of view</w:t>
            </w:r>
          </w:p>
        </w:tc>
        <w:tc>
          <w:tcPr>
            <w:tcW w:w="1207" w:type="dxa"/>
            <w:tcBorders>
              <w:top w:val="nil"/>
              <w:left w:val="nil"/>
              <w:bottom w:val="single" w:sz="4" w:space="0" w:color="auto"/>
              <w:right w:val="single" w:sz="4" w:space="0" w:color="auto"/>
            </w:tcBorders>
            <w:shd w:val="clear" w:color="000000" w:fill="D0CECE"/>
            <w:noWrap/>
            <w:vAlign w:val="bottom"/>
            <w:hideMark/>
          </w:tcPr>
          <w:p w14:paraId="7DEF9AC2"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eripapillary</w:t>
            </w:r>
          </w:p>
        </w:tc>
        <w:tc>
          <w:tcPr>
            <w:tcW w:w="1451" w:type="dxa"/>
            <w:tcBorders>
              <w:top w:val="nil"/>
              <w:left w:val="nil"/>
              <w:bottom w:val="single" w:sz="4" w:space="0" w:color="auto"/>
              <w:right w:val="single" w:sz="4" w:space="0" w:color="auto"/>
            </w:tcBorders>
            <w:shd w:val="clear" w:color="000000" w:fill="D0CECE"/>
            <w:noWrap/>
            <w:vAlign w:val="bottom"/>
            <w:hideMark/>
          </w:tcPr>
          <w:p w14:paraId="6C11001B"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W</w:t>
            </w:r>
            <w:r w:rsidRPr="001E30AA">
              <w:rPr>
                <w:rFonts w:ascii="Arial" w:eastAsia="Times New Roman" w:hAnsi="Arial" w:cs="Arial"/>
                <w:color w:val="000000"/>
                <w:sz w:val="18"/>
                <w:szCs w:val="18"/>
                <w:lang w:eastAsia="en-GB"/>
              </w:rPr>
              <w:t>hole</w:t>
            </w:r>
          </w:p>
        </w:tc>
        <w:tc>
          <w:tcPr>
            <w:tcW w:w="1534" w:type="dxa"/>
            <w:tcBorders>
              <w:top w:val="nil"/>
              <w:left w:val="nil"/>
              <w:bottom w:val="single" w:sz="4" w:space="0" w:color="auto"/>
              <w:right w:val="single" w:sz="4" w:space="0" w:color="auto"/>
            </w:tcBorders>
            <w:shd w:val="clear" w:color="000000" w:fill="D0CECE"/>
            <w:noWrap/>
            <w:vAlign w:val="bottom"/>
            <w:hideMark/>
          </w:tcPr>
          <w:p w14:paraId="633E00EB"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P</w:t>
            </w:r>
            <w:r w:rsidRPr="001E30AA">
              <w:rPr>
                <w:rFonts w:ascii="Arial" w:eastAsia="Times New Roman" w:hAnsi="Arial" w:cs="Arial"/>
                <w:color w:val="000000"/>
                <w:sz w:val="18"/>
                <w:szCs w:val="18"/>
                <w:lang w:eastAsia="en-GB"/>
              </w:rPr>
              <w:t>eripapillary</w:t>
            </w:r>
          </w:p>
        </w:tc>
      </w:tr>
      <w:tr w:rsidR="00845B3C" w:rsidRPr="001E30AA" w14:paraId="2E748B5A"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54F4DA48" w14:textId="77777777" w:rsidR="00845B3C" w:rsidRPr="0017236F" w:rsidRDefault="00845B3C" w:rsidP="003C1751">
            <w:pPr>
              <w:jc w:val="center"/>
              <w:rPr>
                <w:rFonts w:ascii="Arial" w:eastAsia="Times New Roman" w:hAnsi="Arial" w:cs="Arial"/>
                <w:color w:val="000000"/>
                <w:sz w:val="20"/>
                <w:szCs w:val="20"/>
                <w:lang w:eastAsia="en-GB"/>
              </w:rPr>
            </w:pPr>
            <w:r w:rsidRPr="0050412D">
              <w:rPr>
                <w:rFonts w:ascii="Arial" w:eastAsia="Times New Roman" w:hAnsi="Arial" w:cs="Arial"/>
                <w:color w:val="000000"/>
                <w:sz w:val="15"/>
                <w:szCs w:val="15"/>
                <w:lang w:eastAsia="en-GB"/>
              </w:rPr>
              <w:t>Aly 2022</w:t>
            </w:r>
            <w:r>
              <w:rPr>
                <w:rFonts w:ascii="Arial" w:eastAsia="Times New Roman" w:hAnsi="Arial" w:cs="Arial"/>
                <w:color w:val="000000"/>
                <w:sz w:val="15"/>
                <w:szCs w:val="15"/>
                <w:lang w:eastAsia="en-GB"/>
              </w:rPr>
              <w:t>*</w:t>
            </w:r>
            <w:r w:rsidRPr="0050412D">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{"citationItems":[{"id":"ITEM-1","itemData":{"DOI":"10.1177/13524585211028831","ISSN":"1477-0970 (Electronic)","PMID":"34259579","abstract":"BACKGROUND: Neuromyelitis optica spectrum disorders (NMOSD) are neuroinflammatory  diseases of the central nervous system. Patients suffer from recurring relapses and it is unclear whether relapse-independent disease activity occurs and whether this is of clinical relevance. OBJECTIVE: To detect disease-specific alterations of the retinal vasculature that reflect disease activity during NMOSD. METHODS: Cross-sectional analysis of 16 patients with NMOSD, 21 patients with relapsing-remitting multiple sclerosis, and 21 healthy controls using retinal optical coherence tomography (OCT), optical coherence tomography angiography (OCT-A), measurement of glial fibrillary acidic protein (GFAP) serum levels, and assessment of visual acuity. RESULTS: Patients with NMOSD but not multiple sclerosis revealed lower foveal thickness (FT) (p = 0.02) measures and an increase of the foveal avascular zone (FAZ) (p = 0.02) compared to healthy controls independent to optic neuritis. Reduced FT (p = 0.01), enlarged FAZ areas (p = 0.0001), and vessel loss of the superficial vascular complex (p = 0.01) were linked to higher serum GFAP levels and superficial vessel loss was associated with worse visual performance in patients with NMOSD irrespective of optic neuritis. CONCLUSION: Subclinical parafoveal retinal vessel loss might occur during NMOSD and might be linked to astrocyte damage and poor visual performance. OCT-A may be a tool to study subclinical disease activity during NMOSD.","author":[{"dropping-particle":"","family":"Aly","given":"Lilian","non-dropping-particle":"","parse-names":false,"suffix":""},{"dropping-particle":"","family":"Strauß","given":"Eva-Maria","non-dropping-particle":"","parse-names":false,"suffix":""},{"dropping-particle":"","family":"Feucht","given":"Nikolaus","non-dropping-particle":"","parse-names":false,"suffix":""},{"dropping-particle":"","family":"Weiß","given":"Isabella","non-dropping-particle":"","parse-names":false,"suffix":""},{"dropping-particle":"","family":"Berthele","given":"Achim","non-dropping-particle":"","parse-names":false,"suffix":""},{"dropping-particle":"","family":"Mitsdoerffer","given":"Meike","non-dropping-particle":"","parse-names":false,"suffix":""},{"dropping-particle":"","family":"Haass","given":"Christian","non-dropping-particle":"","parse-names":false,"suffix":""},{"dropping-particle":"","family":"Hemmer","given":"Bernhard","non-dropping-particle":"","parse-names":false,"suffix":""},{"dropping-particle":"","family":"Maier","given":"Mathias","non-dropping-particle":"","parse-names":false,"suffix":""},{"dropping-particle":"","family":"Korn","given":"Thomas","non-dropping-particle":"","parse-names":false,"suffix":""},{"dropping-particle":"","family":"Knier","given":"Benjamin","non-dropping-particle":"","parse-names":false,"suffix":""}],"container-title":"Multiple sclerosis (Houndmills, Basingstoke, England)","id":"ITEM-1","issue":"4","issued":{"date-parts":[["2022","4"]]},"language":"eng","page":"522-531","title":"Optical coherence tomography angiography indicates subclinical retinal disease in  neuromyelitis optica spectrum disorders.","type":"article-journal","volume":"28"},"uris":["http://www.mendeley.com/documents/?uuid=2d506166-0214-47f7-8314-e166cb531dbc"]}],"mendeley":{"formattedCitation":"[56]","plainTextFormattedCitation":"[56]","previouslyFormattedCitation":"(56)"},"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[56]</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5066DB8A" w14:textId="77777777" w:rsidR="00845B3C" w:rsidRPr="005A3155" w:rsidRDefault="00845B3C" w:rsidP="003C1751">
            <w:pPr>
              <w:jc w:val="center"/>
              <w:rPr>
                <w:rFonts w:ascii="Arial" w:eastAsia="Times New Roman" w:hAnsi="Arial" w:cs="Arial"/>
                <w:b/>
                <w:bCs/>
                <w:color w:val="000000"/>
                <w:sz w:val="18"/>
                <w:szCs w:val="18"/>
                <w:lang w:eastAsia="en-GB"/>
              </w:rPr>
            </w:pPr>
            <w:r w:rsidRPr="00DF5E44">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15011FBE" w14:textId="77777777" w:rsidR="00845B3C" w:rsidRPr="006D612A" w:rsidRDefault="00845B3C" w:rsidP="003C1751">
            <w:pPr>
              <w:jc w:val="center"/>
              <w:rPr>
                <w:rFonts w:ascii="Arial" w:eastAsia="Times New Roman" w:hAnsi="Arial" w:cs="Arial"/>
                <w:b/>
                <w:bCs/>
                <w:color w:val="000000"/>
                <w:sz w:val="18"/>
                <w:szCs w:val="18"/>
                <w:lang w:eastAsia="en-GB"/>
              </w:rPr>
            </w:pPr>
            <w:r w:rsidRPr="00DF5E44">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672B70FF" w14:textId="77777777" w:rsidR="00845B3C" w:rsidRPr="00DE01F1" w:rsidRDefault="00845B3C" w:rsidP="003C1751">
            <w:pPr>
              <w:jc w:val="center"/>
              <w:rPr>
                <w:rFonts w:ascii="Arial" w:eastAsia="Times New Roman" w:hAnsi="Arial" w:cs="Arial"/>
                <w:color w:val="000000"/>
                <w:sz w:val="18"/>
                <w:szCs w:val="18"/>
                <w:lang w:eastAsia="en-GB"/>
              </w:rPr>
            </w:pPr>
            <w:r w:rsidRPr="00DE01F1">
              <w:rPr>
                <w:rFonts w:ascii="Arial" w:eastAsia="Times New Roman" w:hAnsi="Arial" w:cs="Arial"/>
                <w:color w:val="000000"/>
                <w:sz w:val="18"/>
                <w:szCs w:val="18"/>
                <w:lang w:eastAsia="en-GB"/>
              </w:rPr>
              <w:t>6 x 6 mm2</w:t>
            </w:r>
          </w:p>
        </w:tc>
        <w:tc>
          <w:tcPr>
            <w:tcW w:w="1037" w:type="dxa"/>
            <w:tcBorders>
              <w:top w:val="nil"/>
              <w:left w:val="nil"/>
              <w:bottom w:val="single" w:sz="4" w:space="0" w:color="auto"/>
              <w:right w:val="single" w:sz="4" w:space="0" w:color="auto"/>
            </w:tcBorders>
            <w:shd w:val="clear" w:color="auto" w:fill="auto"/>
            <w:noWrap/>
          </w:tcPr>
          <w:p w14:paraId="089AD097" w14:textId="77777777" w:rsidR="00845B3C" w:rsidRPr="006D612A" w:rsidRDefault="00845B3C" w:rsidP="003C1751">
            <w:pPr>
              <w:jc w:val="center"/>
              <w:rPr>
                <w:rFonts w:ascii="Arial" w:eastAsia="Times New Roman" w:hAnsi="Arial" w:cs="Arial"/>
                <w:b/>
                <w:bCs/>
                <w:color w:val="000000"/>
                <w:sz w:val="18"/>
                <w:szCs w:val="18"/>
                <w:lang w:eastAsia="en-GB"/>
              </w:rPr>
            </w:pPr>
            <w:r w:rsidRPr="00896324">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3640DE30" w14:textId="77777777" w:rsidR="00845B3C" w:rsidRPr="006D612A" w:rsidRDefault="00845B3C" w:rsidP="003C1751">
            <w:pPr>
              <w:jc w:val="center"/>
              <w:rPr>
                <w:rFonts w:ascii="Arial" w:eastAsia="Times New Roman" w:hAnsi="Arial" w:cs="Arial"/>
                <w:b/>
                <w:bCs/>
                <w:color w:val="000000"/>
                <w:sz w:val="18"/>
                <w:szCs w:val="18"/>
                <w:lang w:eastAsia="en-GB"/>
              </w:rPr>
            </w:pPr>
            <w:r w:rsidRPr="00896324">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7198AD27" w14:textId="77777777" w:rsidR="00845B3C" w:rsidRPr="006D612A" w:rsidRDefault="00845B3C" w:rsidP="003C1751">
            <w:pPr>
              <w:jc w:val="center"/>
              <w:rPr>
                <w:rFonts w:ascii="Arial" w:eastAsia="Times New Roman" w:hAnsi="Arial" w:cs="Arial"/>
                <w:b/>
                <w:bCs/>
                <w:color w:val="000000"/>
                <w:sz w:val="18"/>
                <w:szCs w:val="18"/>
                <w:lang w:eastAsia="en-GB"/>
              </w:rPr>
            </w:pPr>
            <w:r w:rsidRPr="00896324">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0937A995" w14:textId="77777777" w:rsidR="00845B3C" w:rsidRPr="006D612A" w:rsidRDefault="00845B3C" w:rsidP="003C1751">
            <w:pPr>
              <w:jc w:val="center"/>
              <w:rPr>
                <w:rFonts w:ascii="Arial" w:eastAsia="Times New Roman" w:hAnsi="Arial" w:cs="Arial"/>
                <w:b/>
                <w:bCs/>
                <w:color w:val="000000"/>
                <w:sz w:val="18"/>
                <w:szCs w:val="18"/>
                <w:lang w:eastAsia="en-GB"/>
              </w:rPr>
            </w:pPr>
            <w:r w:rsidRPr="00DE01F1">
              <w:rPr>
                <w:rFonts w:ascii="Arial" w:eastAsia="Times New Roman" w:hAnsi="Arial" w:cs="Arial"/>
                <w:color w:val="000000"/>
                <w:sz w:val="18"/>
                <w:szCs w:val="18"/>
                <w:lang w:eastAsia="en-GB"/>
              </w:rPr>
              <w:t>6 x 6 mm2</w:t>
            </w:r>
          </w:p>
        </w:tc>
        <w:tc>
          <w:tcPr>
            <w:tcW w:w="1037" w:type="dxa"/>
            <w:tcBorders>
              <w:top w:val="nil"/>
              <w:left w:val="nil"/>
              <w:bottom w:val="single" w:sz="4" w:space="0" w:color="auto"/>
              <w:right w:val="single" w:sz="4" w:space="0" w:color="auto"/>
            </w:tcBorders>
            <w:shd w:val="clear" w:color="auto" w:fill="auto"/>
            <w:noWrap/>
          </w:tcPr>
          <w:p w14:paraId="377168B6" w14:textId="77777777" w:rsidR="00845B3C" w:rsidRPr="006D612A" w:rsidRDefault="00845B3C" w:rsidP="003C1751">
            <w:pPr>
              <w:jc w:val="center"/>
              <w:rPr>
                <w:rFonts w:ascii="Arial" w:eastAsia="Times New Roman" w:hAnsi="Arial" w:cs="Arial"/>
                <w:b/>
                <w:bCs/>
                <w:color w:val="000000"/>
                <w:sz w:val="18"/>
                <w:szCs w:val="18"/>
                <w:lang w:eastAsia="en-GB"/>
              </w:rPr>
            </w:pPr>
            <w:r w:rsidRPr="00580AC3">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14CACEB5" w14:textId="77777777" w:rsidR="00845B3C" w:rsidRPr="006D612A" w:rsidRDefault="00845B3C" w:rsidP="003C1751">
            <w:pPr>
              <w:jc w:val="center"/>
              <w:rPr>
                <w:rFonts w:ascii="Arial" w:eastAsia="Times New Roman" w:hAnsi="Arial" w:cs="Arial"/>
                <w:b/>
                <w:bCs/>
                <w:color w:val="000000"/>
                <w:sz w:val="18"/>
                <w:szCs w:val="18"/>
                <w:lang w:eastAsia="en-GB"/>
              </w:rPr>
            </w:pPr>
            <w:r w:rsidRPr="00580AC3">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4368BF42" w14:textId="77777777" w:rsidR="00845B3C" w:rsidRPr="005207AA" w:rsidRDefault="00845B3C" w:rsidP="003C1751">
            <w:pPr>
              <w:jc w:val="center"/>
              <w:rPr>
                <w:rFonts w:ascii="Arial" w:eastAsia="Times New Roman" w:hAnsi="Arial" w:cs="Arial"/>
                <w:color w:val="000000"/>
                <w:sz w:val="18"/>
                <w:szCs w:val="18"/>
                <w:lang w:eastAsia="en-GB"/>
              </w:rPr>
            </w:pPr>
            <w:r w:rsidRPr="00580AC3">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247E2816" w14:textId="77777777" w:rsidR="00845B3C" w:rsidRPr="001C4D9D" w:rsidRDefault="00845B3C" w:rsidP="003C1751">
            <w:pPr>
              <w:jc w:val="center"/>
              <w:rPr>
                <w:rFonts w:ascii="Arial" w:eastAsia="Times New Roman" w:hAnsi="Arial" w:cs="Arial"/>
                <w:b/>
                <w:bCs/>
                <w:color w:val="000000"/>
                <w:sz w:val="18"/>
                <w:szCs w:val="18"/>
                <w:lang w:eastAsia="en-GB"/>
              </w:rPr>
            </w:pPr>
            <w:r w:rsidRPr="00580AC3">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16D4970E" w14:textId="77777777" w:rsidR="00845B3C" w:rsidRPr="001C4D9D" w:rsidRDefault="00845B3C" w:rsidP="003C1751">
            <w:pPr>
              <w:jc w:val="center"/>
              <w:rPr>
                <w:rFonts w:ascii="Arial" w:eastAsia="Times New Roman" w:hAnsi="Arial" w:cs="Arial"/>
                <w:b/>
                <w:bCs/>
                <w:color w:val="000000"/>
                <w:sz w:val="18"/>
                <w:szCs w:val="18"/>
                <w:lang w:eastAsia="en-GB"/>
              </w:rPr>
            </w:pPr>
            <w:r w:rsidRPr="00580AC3">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74B3BD5D" w14:textId="77777777" w:rsidR="00845B3C" w:rsidRPr="005207AA" w:rsidRDefault="00845B3C" w:rsidP="003C1751">
            <w:pPr>
              <w:jc w:val="center"/>
              <w:rPr>
                <w:rFonts w:ascii="Arial" w:eastAsia="Times New Roman" w:hAnsi="Arial" w:cs="Arial"/>
                <w:color w:val="000000"/>
                <w:sz w:val="18"/>
                <w:szCs w:val="18"/>
                <w:lang w:eastAsia="en-GB"/>
              </w:rPr>
            </w:pPr>
            <w:r w:rsidRPr="00580AC3">
              <w:rPr>
                <w:rFonts w:ascii="Arial" w:eastAsia="Times New Roman" w:hAnsi="Arial" w:cs="Arial"/>
                <w:b/>
                <w:bCs/>
                <w:color w:val="000000"/>
                <w:sz w:val="18"/>
                <w:szCs w:val="18"/>
                <w:lang w:eastAsia="en-GB"/>
              </w:rPr>
              <w:t>-</w:t>
            </w:r>
          </w:p>
        </w:tc>
      </w:tr>
      <w:tr w:rsidR="00845B3C" w:rsidRPr="001E30AA" w14:paraId="0B808ECF"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4812CB32" w14:textId="77777777" w:rsidR="00845B3C" w:rsidRPr="0017236F" w:rsidRDefault="00845B3C" w:rsidP="003C1751">
            <w:pPr>
              <w:jc w:val="center"/>
              <w:rPr>
                <w:rFonts w:ascii="Arial" w:eastAsia="Times New Roman" w:hAnsi="Arial" w:cs="Arial"/>
                <w:color w:val="000000"/>
                <w:sz w:val="20"/>
                <w:szCs w:val="20"/>
                <w:lang w:eastAsia="en-GB"/>
              </w:rPr>
            </w:pPr>
            <w:r w:rsidRPr="0050412D">
              <w:rPr>
                <w:rFonts w:ascii="Arial" w:eastAsia="Times New Roman" w:hAnsi="Arial" w:cs="Arial"/>
                <w:color w:val="000000"/>
                <w:sz w:val="15"/>
                <w:szCs w:val="15"/>
                <w:lang w:eastAsia="en-GB"/>
              </w:rPr>
              <w:t>Ava 2022</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{"citationItems":[{"id":"ITEM-1","itemData":{"DOI":"10.4103/ijo.IJO_431_21","ISSN":"1998-3689 (Electronic)","PMID":"35225535","abstract":"PURPOSE: This study aimed to identify an easy-to-apply biomarker by correlating  visual evoked potential (VEP) with optical coherence tomography angiography (OCTA) results in multiple sclerosis (MS). METHODS: Our study was planned prospectively. Patients with MS were divided into two groups, VEP prolonged group 1 and VEP normal group 2. Age-matched and gender-matched healthy individuals (group 3) were included as the control group. Vascular density (VD) of the optic nerve head (ONH) and radial peripapillary capillaries (RPCs) were measured and recorded by OCTA. The optic nerve damage of patients was measured and recorded with a VEP device. RESULTS: Thirty-two eyes were included in group 1, 50 eyes were included in group 2, and 51 healthy eyes were included in group 3. In terms of visual acuity, group 1 was significantly lower than the other groups (P &lt; 0.001). Regardless of the prolongation of p100 latency in patients with MS, whole image, inside disc ONH VD and in the same sectors in RPC VD were found to be significantly lower than the control group (P &lt; 0.05). Retinal nerve fiber layer thickness was found to be significantly lower in group 1 than in group 2 and group 3 (P &lt; 0.05). There was a significant correlation between low ONH VD and RPC VD and prolonged VEP P100 (P &lt; 0.05). CONCLUSION: VEP measurements can be correlated with OCTA measurements in patients with MS and can be used as a biomarker to determine the degree of optic nerve damage.","author":[{"dropping-particle":"","family":"Ava","given":"Sedat","non-dropping-particle":"","parse-names":false,"suffix":""},{"dropping-particle":"","family":"Tamam","given":"Yusuf","non-dropping-particle":"","parse-names":false,"suffix":""},{"dropping-particle":"","family":"Hazar","given":"Leyla","non-dropping-particle":"","parse-names":false,"suffix":""},{"dropping-particle":"","family":"Karahan","given":"Mine","non-dropping-particle":"","parse-names":false,"suffix":""},{"dropping-particle":"","family":"Erdem","given":"Seyfettin","non-dropping-particle":"","parse-names":false,"suffix":""},{"dropping-particle":"","family":"Dursun","given":"Mehmet Emin","non-dropping-particle":"","parse-names":false,"suffix":""},{"dropping-particle":"","family":"Keklikçi","given":"Ugur","non-dropping-particle":"","parse-names":false,"suffix":""}],"container-title":"Indian journal of ophthalmology","id":"ITEM-1","issue":"3","issued":{"date-parts":[["2022","3"]]},"language":"eng","page":"873-878","title":"Relationship between optical coherence tomography angiography and visual evoked  potential in patients with multiple sclerosis.","type":"article-journal","volume":"70"},"uris":["http://www.mendeley.com/documents/?uuid=8b6f2a6a-0519-4a7b-a2ea-e567ef935266"]}],"mendeley":{"formattedCitation":"[55]","plainTextFormattedCitation":"[55]","previouslyFormattedCitation":"(55)"},"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[55]</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140A0C4B" w14:textId="77777777" w:rsidR="00845B3C" w:rsidRPr="005A3155"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60864587"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1A26334C"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468AA9A0"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09A2FBF"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46269D4F"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526DC141"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79BC77C"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0E40B6F8" w14:textId="77777777" w:rsidR="00845B3C" w:rsidRPr="006D612A" w:rsidRDefault="00845B3C" w:rsidP="003C1751">
            <w:pPr>
              <w:jc w:val="center"/>
              <w:rPr>
                <w:rFonts w:ascii="Arial" w:eastAsia="Times New Roman" w:hAnsi="Arial" w:cs="Arial"/>
                <w:b/>
                <w:bCs/>
                <w:color w:val="000000"/>
                <w:sz w:val="18"/>
                <w:szCs w:val="18"/>
                <w:lang w:eastAsia="en-GB"/>
              </w:rPr>
            </w:pPr>
            <w:r w:rsidRPr="00F45041">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63B7F02E" w14:textId="77777777" w:rsidR="00845B3C" w:rsidRPr="005207AA" w:rsidRDefault="00845B3C" w:rsidP="003C1751">
            <w:pPr>
              <w:jc w:val="center"/>
              <w:rPr>
                <w:rFonts w:ascii="Arial" w:eastAsia="Times New Roman" w:hAnsi="Arial" w:cs="Arial"/>
                <w:color w:val="000000"/>
                <w:sz w:val="18"/>
                <w:szCs w:val="18"/>
                <w:lang w:eastAsia="en-GB"/>
              </w:rPr>
            </w:pPr>
            <w:r w:rsidRPr="00DE01F1">
              <w:rPr>
                <w:rFonts w:ascii="Arial" w:eastAsia="Times New Roman" w:hAnsi="Arial" w:cs="Arial"/>
                <w:color w:val="000000"/>
                <w:sz w:val="18"/>
                <w:szCs w:val="18"/>
                <w:lang w:eastAsia="en-GB"/>
              </w:rPr>
              <w:t>3 x 3 mm2</w:t>
            </w:r>
          </w:p>
        </w:tc>
        <w:tc>
          <w:tcPr>
            <w:tcW w:w="1207" w:type="dxa"/>
            <w:tcBorders>
              <w:top w:val="nil"/>
              <w:left w:val="nil"/>
              <w:bottom w:val="single" w:sz="4" w:space="0" w:color="auto"/>
              <w:right w:val="single" w:sz="4" w:space="0" w:color="auto"/>
            </w:tcBorders>
            <w:shd w:val="clear" w:color="auto" w:fill="auto"/>
            <w:noWrap/>
          </w:tcPr>
          <w:p w14:paraId="2285F55F" w14:textId="77777777" w:rsidR="00845B3C" w:rsidRPr="001C4D9D" w:rsidRDefault="00845B3C" w:rsidP="003C1751">
            <w:pPr>
              <w:jc w:val="center"/>
              <w:rPr>
                <w:rFonts w:ascii="Arial" w:eastAsia="Times New Roman" w:hAnsi="Arial" w:cs="Arial"/>
                <w:b/>
                <w:bCs/>
                <w:color w:val="000000"/>
                <w:sz w:val="18"/>
                <w:szCs w:val="18"/>
                <w:lang w:eastAsia="en-GB"/>
              </w:rPr>
            </w:pPr>
            <w:r w:rsidRPr="007630E5">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0822FD21" w14:textId="77777777" w:rsidR="00845B3C" w:rsidRPr="001C4D9D" w:rsidRDefault="00845B3C" w:rsidP="003C1751">
            <w:pPr>
              <w:jc w:val="center"/>
              <w:rPr>
                <w:rFonts w:ascii="Arial" w:eastAsia="Times New Roman" w:hAnsi="Arial" w:cs="Arial"/>
                <w:b/>
                <w:bCs/>
                <w:color w:val="000000"/>
                <w:sz w:val="18"/>
                <w:szCs w:val="18"/>
                <w:lang w:eastAsia="en-GB"/>
              </w:rPr>
            </w:pPr>
            <w:r w:rsidRPr="007630E5">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415596A2" w14:textId="77777777" w:rsidR="00845B3C" w:rsidRPr="005207AA" w:rsidRDefault="00845B3C" w:rsidP="003C1751">
            <w:pPr>
              <w:jc w:val="center"/>
              <w:rPr>
                <w:rFonts w:ascii="Arial" w:eastAsia="Times New Roman" w:hAnsi="Arial" w:cs="Arial"/>
                <w:color w:val="000000"/>
                <w:sz w:val="18"/>
                <w:szCs w:val="18"/>
                <w:lang w:eastAsia="en-GB"/>
              </w:rPr>
            </w:pPr>
            <w:r w:rsidRPr="007630E5">
              <w:rPr>
                <w:rFonts w:ascii="Arial" w:eastAsia="Times New Roman" w:hAnsi="Arial" w:cs="Arial"/>
                <w:b/>
                <w:bCs/>
                <w:color w:val="000000"/>
                <w:sz w:val="18"/>
                <w:szCs w:val="18"/>
                <w:lang w:eastAsia="en-GB"/>
              </w:rPr>
              <w:t>-</w:t>
            </w:r>
          </w:p>
        </w:tc>
      </w:tr>
      <w:tr w:rsidR="00845B3C" w:rsidRPr="001E30AA" w14:paraId="2C475158"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5DF35963" w14:textId="77777777" w:rsidR="00845B3C" w:rsidRPr="0017236F" w:rsidRDefault="00845B3C" w:rsidP="003C1751">
            <w:pPr>
              <w:jc w:val="center"/>
              <w:rPr>
                <w:rFonts w:ascii="Arial" w:eastAsia="Times New Roman" w:hAnsi="Arial" w:cs="Arial"/>
                <w:color w:val="000000"/>
                <w:sz w:val="20"/>
                <w:szCs w:val="20"/>
                <w:lang w:eastAsia="en-GB"/>
              </w:rPr>
            </w:pPr>
            <w:r w:rsidRPr="0050412D">
              <w:rPr>
                <w:rFonts w:ascii="Arial" w:eastAsia="Times New Roman" w:hAnsi="Arial" w:cs="Arial"/>
                <w:color w:val="000000"/>
                <w:sz w:val="15"/>
                <w:szCs w:val="15"/>
                <w:lang w:eastAsia="en-GB"/>
              </w:rPr>
              <w:t>Jesus 2021</w:t>
            </w:r>
            <w:r>
              <w:rPr>
                <w:rFonts w:ascii="Arial" w:eastAsia="Times New Roman" w:hAnsi="Arial" w:cs="Arial"/>
                <w:color w:val="000000"/>
                <w:sz w:val="15"/>
                <w:szCs w:val="15"/>
                <w:lang w:eastAsia="en-GB"/>
              </w:rPr>
              <w:t>*****</w:t>
            </w:r>
            <w:r w:rsidRPr="0050412D">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{"citationItems":[{"id":"ITEM-1","itemData":{"DOI":"https://doi.org/10.1016/j.bionps.2021.100040","ISSN":"2666-1446","abstract":"Introduction Multiple Sclerosis (MS) is a chronic neuro inflammatory disease which leads to progressive disability. Recent evidence suggests that vascular impairment may contribute to MS onset and progression. Optical Coherence Tomography Angiography (OCT-A) has emerged as an important imaging tool which should allow further exploration of the vessel changes in the pathogenesis and prognosis of MS. Purpose To quantify the vascular density (VD) of the choroid (CH) and choriocapillaris (CC) in patients with MS, comparing with normal eyes. Materials and Methods 45 eyes of 45 MS patients [31 female; mean age (years ± SD) 41,87 ± 11.04; axial length (AL) (AL ± SD) 23.68 ± 0.90) and 45 aged-matched control subjects (33 female; mean age 39,.6 ± 8,93; AL 23.36 ± 0.75] were enrolled in this prospective study. We obtained OCT-A images based on a full-spectrum amplitude de-correlation angiography (FSADA) algorithm. The OCT-A images of the CH and CC were used for quantitative assessment in three regions of the fovea, namely, Region 1 (0–500 μm) Region 2 (500–1000 μm) and Region 3 (1000−1500 μm). Relationships of VD between MS patients with and without optic neuritis (ON) and controls were investigated by binary vessel maps generated from OCT-A slabs and analyzed using ImageJ software. Results Compared to controls, in eyes with MS, CH VD was significantly decreased in Region 2 (p = 0.01) and Region 3 (p &lt; 0.01). CCVD was not different between the groups although showing a decreasing tendency in the MS group. Between eyes with and without ON there were a tendency to reduced VD in the ON group in all regions analyzed for both CH and CC layer. All the layers analyzed revealed a positive correlation between CH VD and CC VD and a negative correlation between CC VD and AL. Conclusions Although studies have assessed retinal VD in MS using OCT-A, the choroidal vasculature in MS remains understudied. Our results cautiously suggest a functional circulatory disturbance of choroidal vasculatures in MS patients, mainly in those who have previous ON history.","author":[{"dropping-particle":"","family":"Jesus","given":"Jeniffer","non-dropping-particle":"","parse-names":false,"suffix":""},{"dropping-particle":"","family":"Soares","given":"Raquel","non-dropping-particle":"","parse-names":false,"suffix":""},{"dropping-particle":"","family":"Geraldes","given":"Rafael","non-dropping-particle":"","parse-names":false,"suffix":""},{"dropping-particle":"","family":"Matias","given":"Maria","non-dropping-particle":"","parse-names":false,"suffix":""},{"dropping-particle":"","family":"Chibante","given":"João","non-dropping-particle":"","parse-names":false,"suffix":""}],"container-title":"Biomarkers in Neuropsychiatry","id":"ITEM-1","issued":{"date-parts":[["2021"]]},"page":"100040","title":"Analysis of choroidal vessel density in patients with multiple sclerosis","type":"article-journal","volume":"5"},"uris":["http://www.mendeley.com/documents/?uuid=5679d022-2ea0-4eb2-8ec6-f348cbb19eec"]}],"mendeley":{"formattedCitation":"[51]","plainTextFormattedCitation":"[51]","previouslyFormattedCitation":"(51)"},"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[51]</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5BB92206" w14:textId="77777777" w:rsidR="00845B3C" w:rsidRPr="005A3155"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685B3212"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0D9CB9FA"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09772B4"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D1836C9"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04FA9D3B"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1D6E9C9A"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377A9451"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7498AF21" w14:textId="77777777" w:rsidR="00845B3C" w:rsidRPr="006D612A"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20837EAD" w14:textId="77777777" w:rsidR="00845B3C" w:rsidRPr="005207AA" w:rsidRDefault="00845B3C" w:rsidP="003C1751">
            <w:pPr>
              <w:jc w:val="center"/>
              <w:rPr>
                <w:rFonts w:ascii="Arial" w:eastAsia="Times New Roman" w:hAnsi="Arial" w:cs="Arial"/>
                <w:color w:val="000000"/>
                <w:sz w:val="18"/>
                <w:szCs w:val="18"/>
                <w:lang w:eastAsia="en-GB"/>
              </w:rPr>
            </w:pPr>
            <w:r w:rsidRPr="00C074AC">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6F9F65B9" w14:textId="77777777" w:rsidR="00845B3C" w:rsidRPr="001C4D9D"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510E50DC" w14:textId="77777777" w:rsidR="00845B3C" w:rsidRPr="001C4D9D" w:rsidRDefault="00845B3C" w:rsidP="003C1751">
            <w:pPr>
              <w:jc w:val="center"/>
              <w:rPr>
                <w:rFonts w:ascii="Arial" w:eastAsia="Times New Roman" w:hAnsi="Arial" w:cs="Arial"/>
                <w:b/>
                <w:bCs/>
                <w:color w:val="000000"/>
                <w:sz w:val="18"/>
                <w:szCs w:val="18"/>
                <w:lang w:eastAsia="en-GB"/>
              </w:rPr>
            </w:pPr>
            <w:r w:rsidRPr="00C074AC">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2D40DC11" w14:textId="77777777" w:rsidR="00845B3C" w:rsidRPr="005207AA" w:rsidRDefault="00845B3C" w:rsidP="003C1751">
            <w:pPr>
              <w:jc w:val="center"/>
              <w:rPr>
                <w:rFonts w:ascii="Arial" w:eastAsia="Times New Roman" w:hAnsi="Arial" w:cs="Arial"/>
                <w:color w:val="000000"/>
                <w:sz w:val="18"/>
                <w:szCs w:val="18"/>
                <w:lang w:eastAsia="en-GB"/>
              </w:rPr>
            </w:pPr>
            <w:r w:rsidRPr="00C074AC">
              <w:rPr>
                <w:rFonts w:ascii="Arial" w:eastAsia="Times New Roman" w:hAnsi="Arial" w:cs="Arial"/>
                <w:b/>
                <w:bCs/>
                <w:color w:val="000000"/>
                <w:sz w:val="18"/>
                <w:szCs w:val="18"/>
                <w:lang w:eastAsia="en-GB"/>
              </w:rPr>
              <w:t>-</w:t>
            </w:r>
          </w:p>
        </w:tc>
      </w:tr>
      <w:tr w:rsidR="00845B3C" w:rsidRPr="001E30AA" w14:paraId="759CB3A9"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4708564A" w14:textId="77777777" w:rsidR="00845B3C" w:rsidRPr="0017236F" w:rsidRDefault="00845B3C" w:rsidP="003C1751">
            <w:pPr>
              <w:jc w:val="center"/>
              <w:rPr>
                <w:rFonts w:ascii="Arial" w:eastAsia="Times New Roman" w:hAnsi="Arial" w:cs="Arial"/>
                <w:color w:val="000000"/>
                <w:sz w:val="20"/>
                <w:szCs w:val="20"/>
                <w:lang w:eastAsia="en-GB"/>
              </w:rPr>
            </w:pPr>
            <w:r w:rsidRPr="0050412D">
              <w:rPr>
                <w:rFonts w:ascii="Arial" w:eastAsia="Times New Roman" w:hAnsi="Arial" w:cs="Arial"/>
                <w:color w:val="000000"/>
                <w:sz w:val="15"/>
                <w:szCs w:val="15"/>
                <w:lang w:eastAsia="en-GB"/>
              </w:rPr>
              <w:t>Khader 2021</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{"citationItems":[{"id":"ITEM-1","itemData":{"DOI":"10.4103/ijo.IJO_2964_20","ISSN":"1998-3689 (Electronic)","PMID":"34011720","abstract":"PURPOSE: To evaluate optical coherence tomography angiography findings in  patients with multiple sclerosis (MS). METHODS: This prospective noninterventional study was conducted on 30 eyes of relapsing-remitting MS patients. Group (1) included 10 eyes with a history of optic neuritis (ON), group (2) included 10 eyes without any history of optic neuritis (MS-ON), and group (3) included 10 eyes of normal age/sex/refraction matched participants. Optical coherence tomography (OCT) and OCT-A (ZEISS Cirrus™ HD-OCT Model 4000 (Carl Zeiss-Meditec, Dublin, CA) of the optic disc were done for all patients. RESULTS: The best-corrected visual acuity was diminished in MS cases, especially in patients with ON with P value &lt;0.001. The retinal nerve fiber layer (RNFL) thickness showed a significant decrease in the average thickness and in all quadrants, notably the temporal quadrant in group 1 (P &lt; 0.001). Ganglion cell layer thickness was diminished in average thickness and in all quadrants in both groups of MS, but only the first group showed statistical significance with P value &lt;0.001). In respect to optic disc perfusion, Average, superficial, and deep vascular density index (AVDI, VDI 1, VDI 2) were statistically significantly lower in groups 1, 2 with (P-value &lt; 0.001). CONCLUSION: Decreased vascular perfusion of the optic nerve in MS patients, especially in those with ON is strongly correlated with the damage of RNFL and ganglion cell layer detected by OCT.","author":[{"dropping-particle":"","family":"Khader","given":"Sarah A","non-dropping-particle":"","parse-names":false,"suffix":""},{"dropping-particle":"","family":"Nawar","given":"Amin E","non-dropping-particle":"","parse-names":false,"suffix":""},{"dropping-particle":"","family":"Ghali","given":"Azza A","non-dropping-particle":"","parse-names":false,"suffix":""},{"dropping-particle":"","family":"Ghoneim","given":"Ahmed M","non-dropping-particle":"","parse-names":false,"suffix":""}],"container-title":"Indian journal of ophthalmology","id":"ITEM-1","issue":"6","issued":{"date-parts":[["2021","6"]]},"language":"eng","page":"1457-1463","title":"Evaluation of optical coherence tomography angiography findings in patients with  multiple sclerosis.","type":"article-journal","volume":"69"},"uris":["http://www.mendeley.com/documents/?uuid=b1608d72-51f0-49bd-8eaf-79006d06b00f"]}],"mendeley":{"formattedCitation":"[36]","plainTextFormattedCitation":"[36]","previouslyFormattedCitation":"(36)"},"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[36]</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25E32D00" w14:textId="77777777" w:rsidR="00845B3C" w:rsidRPr="005A3155"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174223DB"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5F664DA4"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72BD788C"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9C6893E"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008C0F6E"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1838A4C3"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015905A"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64FA4EC" w14:textId="77777777" w:rsidR="00845B3C" w:rsidRPr="006D612A"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1876DA30" w14:textId="77777777" w:rsidR="00845B3C" w:rsidRPr="005207AA" w:rsidRDefault="00845B3C" w:rsidP="003C1751">
            <w:pPr>
              <w:jc w:val="center"/>
              <w:rPr>
                <w:rFonts w:ascii="Arial" w:eastAsia="Times New Roman" w:hAnsi="Arial" w:cs="Arial"/>
                <w:color w:val="000000"/>
                <w:sz w:val="18"/>
                <w:szCs w:val="18"/>
                <w:lang w:eastAsia="en-GB"/>
              </w:rPr>
            </w:pPr>
            <w:r w:rsidRPr="00010570">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229D1EDC" w14:textId="77777777" w:rsidR="00845B3C" w:rsidRPr="001C4D9D"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00B592FA" w14:textId="77777777" w:rsidR="00845B3C" w:rsidRPr="001C4D9D" w:rsidRDefault="00845B3C" w:rsidP="003C1751">
            <w:pPr>
              <w:jc w:val="center"/>
              <w:rPr>
                <w:rFonts w:ascii="Arial" w:eastAsia="Times New Roman" w:hAnsi="Arial" w:cs="Arial"/>
                <w:b/>
                <w:bCs/>
                <w:color w:val="000000"/>
                <w:sz w:val="18"/>
                <w:szCs w:val="18"/>
                <w:lang w:eastAsia="en-GB"/>
              </w:rPr>
            </w:pPr>
            <w:r w:rsidRPr="00010570">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50D42503" w14:textId="77777777" w:rsidR="00845B3C" w:rsidRPr="005207AA" w:rsidRDefault="00845B3C" w:rsidP="003C1751">
            <w:pPr>
              <w:jc w:val="center"/>
              <w:rPr>
                <w:rFonts w:ascii="Arial" w:eastAsia="Times New Roman" w:hAnsi="Arial" w:cs="Arial"/>
                <w:color w:val="000000"/>
                <w:sz w:val="18"/>
                <w:szCs w:val="18"/>
                <w:lang w:eastAsia="en-GB"/>
              </w:rPr>
            </w:pPr>
            <w:r w:rsidRPr="00010570">
              <w:rPr>
                <w:rFonts w:ascii="Arial" w:eastAsia="Times New Roman" w:hAnsi="Arial" w:cs="Arial"/>
                <w:b/>
                <w:bCs/>
                <w:color w:val="000000"/>
                <w:sz w:val="18"/>
                <w:szCs w:val="18"/>
                <w:lang w:eastAsia="en-GB"/>
              </w:rPr>
              <w:t>-</w:t>
            </w:r>
          </w:p>
        </w:tc>
      </w:tr>
      <w:tr w:rsidR="00845B3C" w:rsidRPr="001E30AA" w14:paraId="7A11410A"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17A56251" w14:textId="77777777" w:rsidR="00845B3C" w:rsidRPr="0017236F" w:rsidRDefault="00845B3C" w:rsidP="003C1751">
            <w:pPr>
              <w:jc w:val="center"/>
              <w:rPr>
                <w:rFonts w:ascii="Arial" w:eastAsia="Times New Roman" w:hAnsi="Arial" w:cs="Arial"/>
                <w:color w:val="000000"/>
                <w:sz w:val="20"/>
                <w:szCs w:val="20"/>
                <w:lang w:eastAsia="en-GB"/>
              </w:rPr>
            </w:pPr>
            <w:r w:rsidRPr="0050412D">
              <w:rPr>
                <w:rFonts w:ascii="Arial" w:eastAsia="Times New Roman" w:hAnsi="Arial" w:cs="Arial"/>
                <w:color w:val="000000"/>
                <w:sz w:val="15"/>
                <w:szCs w:val="15"/>
                <w:lang w:eastAsia="en-GB"/>
              </w:rPr>
              <w:t>Lee 2021</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{"citationItems":[{"id":"ITEM-1","itemData":{"DOI":"10.1016/j.msard.2021.102780","ISSN":"2211-0356 (Electronic)","PMID":"33508571","abstract":"BACKGROUND: To compare intraocular microvascular alterations between patients  with multiple sclerosis (MS) and neuromyelitis optica spectrum disorder (NMOSD) using optical coherence tomography angiography (OCT-A). METHODS: Sixty patients were included in the study, 23 MS patients (36 eyes) and 37 NMOSD patients (47 eyes), all with a history of optic neuritis (ON). All subjects underwent comprehensive ophthalmic examinations, OCT-A, and high-definition-OCT imaging. OCT-A was used to measure the vessel density of the superficial and deep retinal capillary plexus (SRCP and DRCP) in the macular area and the radial peripapillary capillary (RPC) segment. Age, spherical equivalent, and gender were adjusted for in the analyses. RESULTS: Patients with NMOSD showed significantly decreased vessel density of the SRCP (average, p = 0.0007; superior, p = 0.0009; inferior, p = 0.0002) and RPC segment (average, p &lt; 0.0001; superior, p = 0.0004; inferior, p = 0.0052; temporal, p &lt; 0.0001; nasal, p = 0.0001) compared to the MS patients. Parafoveal and peripapillary vessel density was significantly associated with the OCT parameters in both the MS and NMOSD patients. Parafoveal and peripapillary vessel density in the MS patients was significantly associated with visual function, including visual acuity and visual field defects, whereas only peripapillary vessel density was significantly associated with visual function in the NMOSD patients. CONCLUSION: We demonstrated parafoveal and peripapillary vascular alterations between MS and NMOSD patients that varied in degree and pattern. We also found associations between vessel density and structural and functional parameters in MS and NMOSD patients. Further studies are needed to facilitate a greater understanding of the pathogenesis and its association with vascular alterations in these disorders.","author":[{"dropping-particle":"","family":"Lee","given":"Ga-In","non-dropping-particle":"","parse-names":false,"suffix":""},{"dropping-particle":"","family":"Park","given":"Kyung-Ah","non-dropping-particle":"","parse-names":false,"suffix":""},{"dropping-particle":"","family":"Oh","given":"Sei Yeul","non-dropping-particle":"","parse-names":false,"suffix":""},{"dropping-particle":"","family":"Min","given":"Ju-Hong","non-dropping-particle":"","parse-names":false,"suffix":""},{"dropping-particle":"","family":"Kim","given":"Byoung Joon","non-dropping-particle":"","parse-names":false,"suffix":""}],"container-title":"Multiple sclerosis and related disorders","id":"ITEM-1","issued":{"date-parts":[["2021","4"]]},"language":"eng","page":"102780","publisher-place":"Netherlands","title":"Differential patterns of parafoveal and peripapillary vessel density in multiple  sclerosis and neuromyelitis optica spectrum disorder.","type":"article-journal","volume":"49"},"uris":["http://www.mendeley.com/documents/?uuid=ad811656-fac6-42a6-8fc6-0b5921317d1b"]}],"mendeley":{"formattedCitation":"[50]","plainTextFormattedCitation":"[50]","previouslyFormattedCitation":"(50)"},"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[50]</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3EB98415" w14:textId="77777777" w:rsidR="00845B3C" w:rsidRPr="005A3155" w:rsidRDefault="00845B3C" w:rsidP="003C1751">
            <w:pPr>
              <w:jc w:val="center"/>
              <w:rPr>
                <w:rFonts w:ascii="Arial" w:eastAsia="Times New Roman" w:hAnsi="Arial" w:cs="Arial"/>
                <w:b/>
                <w:bCs/>
                <w:color w:val="000000"/>
                <w:sz w:val="18"/>
                <w:szCs w:val="18"/>
                <w:lang w:eastAsia="en-GB"/>
              </w:rPr>
            </w:pPr>
            <w:r w:rsidRPr="00DE01F1">
              <w:rPr>
                <w:rFonts w:ascii="Arial" w:eastAsia="Times New Roman" w:hAnsi="Arial" w:cs="Arial"/>
                <w:color w:val="000000"/>
                <w:sz w:val="18"/>
                <w:szCs w:val="18"/>
                <w:lang w:eastAsia="en-GB"/>
              </w:rPr>
              <w:t>3 x 3 mm2</w:t>
            </w:r>
          </w:p>
        </w:tc>
        <w:tc>
          <w:tcPr>
            <w:tcW w:w="907" w:type="dxa"/>
            <w:tcBorders>
              <w:top w:val="nil"/>
              <w:left w:val="nil"/>
              <w:bottom w:val="single" w:sz="4" w:space="0" w:color="auto"/>
              <w:right w:val="single" w:sz="4" w:space="0" w:color="auto"/>
            </w:tcBorders>
            <w:shd w:val="clear" w:color="auto" w:fill="auto"/>
            <w:noWrap/>
          </w:tcPr>
          <w:p w14:paraId="6E0CFE7B" w14:textId="77777777" w:rsidR="00845B3C" w:rsidRPr="00DE01F1" w:rsidRDefault="00845B3C" w:rsidP="003C1751">
            <w:pPr>
              <w:jc w:val="center"/>
              <w:rPr>
                <w:rFonts w:ascii="Arial" w:eastAsia="Times New Roman" w:hAnsi="Arial" w:cs="Arial"/>
                <w:color w:val="000000"/>
                <w:sz w:val="18"/>
                <w:szCs w:val="18"/>
                <w:lang w:eastAsia="en-GB"/>
              </w:rPr>
            </w:pPr>
            <w:r w:rsidRPr="007861F2">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038BA142"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1EB61C19"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4B60AA9F"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567E70CC"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4BBA368C"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41CB7D0A"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3688BCDA" w14:textId="77777777" w:rsidR="00845B3C" w:rsidRPr="006D612A" w:rsidRDefault="00845B3C" w:rsidP="003C1751">
            <w:pPr>
              <w:jc w:val="center"/>
              <w:rPr>
                <w:rFonts w:ascii="Arial" w:eastAsia="Times New Roman" w:hAnsi="Arial" w:cs="Arial"/>
                <w:b/>
                <w:bCs/>
                <w:color w:val="000000"/>
                <w:sz w:val="18"/>
                <w:szCs w:val="18"/>
                <w:lang w:eastAsia="en-GB"/>
              </w:rPr>
            </w:pPr>
            <w:r w:rsidRPr="007861F2">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36C1D754" w14:textId="77777777" w:rsidR="00845B3C" w:rsidRPr="005207AA" w:rsidRDefault="00845B3C" w:rsidP="003C1751">
            <w:pPr>
              <w:jc w:val="center"/>
              <w:rPr>
                <w:rFonts w:ascii="Arial" w:eastAsia="Times New Roman" w:hAnsi="Arial" w:cs="Arial"/>
                <w:color w:val="000000"/>
                <w:sz w:val="18"/>
                <w:szCs w:val="18"/>
                <w:lang w:eastAsia="en-GB"/>
              </w:rPr>
            </w:pPr>
            <w:r w:rsidRPr="00DE01F1">
              <w:rPr>
                <w:rFonts w:ascii="Arial" w:eastAsia="Times New Roman" w:hAnsi="Arial" w:cs="Arial"/>
                <w:color w:val="000000"/>
                <w:sz w:val="18"/>
                <w:szCs w:val="18"/>
                <w:lang w:eastAsia="en-GB"/>
              </w:rPr>
              <w:t>3 x 3 mm2</w:t>
            </w:r>
          </w:p>
        </w:tc>
        <w:tc>
          <w:tcPr>
            <w:tcW w:w="1207" w:type="dxa"/>
            <w:tcBorders>
              <w:top w:val="nil"/>
              <w:left w:val="nil"/>
              <w:bottom w:val="single" w:sz="4" w:space="0" w:color="auto"/>
              <w:right w:val="single" w:sz="4" w:space="0" w:color="auto"/>
            </w:tcBorders>
            <w:shd w:val="clear" w:color="auto" w:fill="auto"/>
            <w:noWrap/>
          </w:tcPr>
          <w:p w14:paraId="456E8D14" w14:textId="77777777" w:rsidR="00845B3C" w:rsidRPr="001C4D9D" w:rsidRDefault="00845B3C" w:rsidP="003C1751">
            <w:pPr>
              <w:jc w:val="center"/>
              <w:rPr>
                <w:rFonts w:ascii="Arial" w:eastAsia="Times New Roman" w:hAnsi="Arial" w:cs="Arial"/>
                <w:b/>
                <w:bCs/>
                <w:color w:val="000000"/>
                <w:sz w:val="18"/>
                <w:szCs w:val="18"/>
                <w:lang w:eastAsia="en-GB"/>
              </w:rPr>
            </w:pPr>
            <w:r w:rsidRPr="00743A0A">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3D2710C2" w14:textId="77777777" w:rsidR="00845B3C" w:rsidRPr="001C4D9D" w:rsidRDefault="00845B3C" w:rsidP="003C1751">
            <w:pPr>
              <w:jc w:val="center"/>
              <w:rPr>
                <w:rFonts w:ascii="Arial" w:eastAsia="Times New Roman" w:hAnsi="Arial" w:cs="Arial"/>
                <w:b/>
                <w:bCs/>
                <w:color w:val="000000"/>
                <w:sz w:val="18"/>
                <w:szCs w:val="18"/>
                <w:lang w:eastAsia="en-GB"/>
              </w:rPr>
            </w:pPr>
            <w:r w:rsidRPr="00743A0A">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1EBAA9D0" w14:textId="77777777" w:rsidR="00845B3C" w:rsidRPr="005207AA" w:rsidRDefault="00845B3C" w:rsidP="003C1751">
            <w:pPr>
              <w:jc w:val="center"/>
              <w:rPr>
                <w:rFonts w:ascii="Arial" w:eastAsia="Times New Roman" w:hAnsi="Arial" w:cs="Arial"/>
                <w:color w:val="000000"/>
                <w:sz w:val="18"/>
                <w:szCs w:val="18"/>
                <w:lang w:eastAsia="en-GB"/>
              </w:rPr>
            </w:pPr>
            <w:r w:rsidRPr="00743A0A">
              <w:rPr>
                <w:rFonts w:ascii="Arial" w:eastAsia="Times New Roman" w:hAnsi="Arial" w:cs="Arial"/>
                <w:b/>
                <w:bCs/>
                <w:color w:val="000000"/>
                <w:sz w:val="18"/>
                <w:szCs w:val="18"/>
                <w:lang w:eastAsia="en-GB"/>
              </w:rPr>
              <w:t>-</w:t>
            </w:r>
          </w:p>
        </w:tc>
      </w:tr>
      <w:tr w:rsidR="00845B3C" w:rsidRPr="001E30AA" w14:paraId="6D7D5FB2"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02F90A7B" w14:textId="77777777" w:rsidR="00845B3C" w:rsidRPr="0050412D" w:rsidRDefault="00845B3C" w:rsidP="003C1751">
            <w:pPr>
              <w:jc w:val="center"/>
              <w:rPr>
                <w:rFonts w:ascii="Arial" w:eastAsia="Times New Roman" w:hAnsi="Arial" w:cs="Arial"/>
                <w:color w:val="000000"/>
                <w:sz w:val="15"/>
                <w:szCs w:val="15"/>
                <w:lang w:eastAsia="en-GB"/>
              </w:rPr>
            </w:pPr>
            <w:proofErr w:type="spellStart"/>
            <w:r w:rsidRPr="0050412D">
              <w:rPr>
                <w:rFonts w:ascii="Arial" w:eastAsia="Times New Roman" w:hAnsi="Arial" w:cs="Arial"/>
                <w:color w:val="000000"/>
                <w:sz w:val="15"/>
                <w:szCs w:val="15"/>
                <w:lang w:eastAsia="en-GB"/>
              </w:rPr>
              <w:t>Rogaczewska</w:t>
            </w:r>
            <w:proofErr w:type="spellEnd"/>
            <w:r w:rsidRPr="0050412D">
              <w:rPr>
                <w:rFonts w:ascii="Arial" w:eastAsia="Times New Roman" w:hAnsi="Arial" w:cs="Arial"/>
                <w:color w:val="000000"/>
                <w:sz w:val="15"/>
                <w:szCs w:val="15"/>
                <w:lang w:eastAsia="en-GB"/>
              </w:rPr>
              <w:t xml:space="preserve"> 2021</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{"citationItems":[{"id":"ITEM-1","itemData":{"DOI":"10.3390/jcm10040609","ISSN":"2077-0383 (Print)","PMID":"33562808","abstract":"Multiple sclerosis (MS) and neuromyelitis optica spectrum disorder (NMOSD) are  demyelinating diseases of the central nervous system, which differ in the pathogenic mechanism. A common clinical presentation of both conditions is optic neuritis (ON). The study aimed to compare the radial peripapillary capillary (RPC) vessel density in MS and NMOSD patients using optical coherence tomography angiography (OCTA). A total of 40 MS patients, 13 NMOSD patients, and 20 controls were included. The average RPC vessel density was significantly lower in ON eyes (MS+ON, NMOSD+ON) than in non-ON eyes (MS-ON, NMOSD-ON) and in MS+ON, MS-ON, NMOSD+ON, and NMOSD-ON compared with the control group. In NMOSD+ON eyes, the vessel density in superior nasal, nasal superior, and inferior sectors was significantly more decreased than in MS+ON eyes. RPC reduction was also observed in inferior nasal and temporal superior sectors in MS-ON eyes compared with NMOSD-ON eyes. In conclusion, our findings indicate that optic neuritis is associated with a more significant RPC vessel density drop in NMOSD than in MS patients, and the predilection to superior and inferior sectors may be useful as a differential diagnostic marker.","author":[{"dropping-particle":"","family":"Rogaczewska","given":"Małgorzata","non-dropping-particle":"","parse-names":false,"suffix":""},{"dropping-particle":"","family":"Michalak","given":"Sławomir","non-dropping-particle":"","parse-names":false,"suffix":""},{"dropping-particle":"","family":"Stopa","given":"Marcin","non-dropping-particle":"","parse-names":false,"suffix":""}],"container-title":"Journal of clinical medicine","id":"ITEM-1","issue":"4","issued":{"date-parts":[["2021","2"]]},"language":"eng","title":"Optical Coherence Tomography Angiography of Peripapillary Vessel Density in Multiple  Sclerosis and Neuromyelitis Optica Spectrum Disorder: A Comparative Study.","type":"article-journal","volume":"10"},"uris":["http://www.mendeley.com/documents/?uuid=cfe67315-336e-4004-8458-3e82e4d1545e"]}],"mendeley":{"formattedCitation":"[43]","plainTextFormattedCitation":"[43]","previouslyFormattedCitation":"(43)"},"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[43]</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2713CF40" w14:textId="77777777" w:rsidR="00845B3C" w:rsidRPr="005A3155" w:rsidRDefault="00845B3C" w:rsidP="003C1751">
            <w:pPr>
              <w:jc w:val="center"/>
              <w:rPr>
                <w:rFonts w:ascii="Arial" w:eastAsia="Times New Roman" w:hAnsi="Arial" w:cs="Arial"/>
                <w:b/>
                <w:bCs/>
                <w:color w:val="000000"/>
                <w:sz w:val="18"/>
                <w:szCs w:val="18"/>
                <w:lang w:eastAsia="en-GB"/>
              </w:rPr>
            </w:pPr>
            <w:r w:rsidRPr="005A3155">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3E02976E"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047824E4"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102BEEB6"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00717238"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1B37875E"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3C50DD64"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054A2C2C"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098D3FE5"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0AD8F89B"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4.5 x 4.5</w:t>
            </w:r>
            <w:r>
              <w:rPr>
                <w:rFonts w:ascii="Arial" w:eastAsia="Times New Roman" w:hAnsi="Arial" w:cs="Arial"/>
                <w:color w:val="000000"/>
                <w:sz w:val="18"/>
                <w:szCs w:val="18"/>
                <w:lang w:eastAsia="en-GB"/>
              </w:rPr>
              <w:t>mm2</w:t>
            </w:r>
          </w:p>
        </w:tc>
        <w:tc>
          <w:tcPr>
            <w:tcW w:w="1207" w:type="dxa"/>
            <w:tcBorders>
              <w:top w:val="nil"/>
              <w:left w:val="nil"/>
              <w:bottom w:val="single" w:sz="4" w:space="0" w:color="auto"/>
              <w:right w:val="single" w:sz="4" w:space="0" w:color="auto"/>
            </w:tcBorders>
            <w:shd w:val="clear" w:color="auto" w:fill="auto"/>
            <w:noWrap/>
          </w:tcPr>
          <w:p w14:paraId="40C5FF91" w14:textId="77777777" w:rsidR="00845B3C" w:rsidRPr="001E30AA" w:rsidRDefault="00845B3C" w:rsidP="003C1751">
            <w:pPr>
              <w:jc w:val="center"/>
              <w:rPr>
                <w:rFonts w:ascii="Arial" w:eastAsia="Times New Roman" w:hAnsi="Arial" w:cs="Arial"/>
                <w:color w:val="000000"/>
                <w:sz w:val="18"/>
                <w:szCs w:val="18"/>
                <w:lang w:eastAsia="en-GB"/>
              </w:rPr>
            </w:pPr>
            <w:r w:rsidRPr="001C4D9D">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06EA2C6E" w14:textId="77777777" w:rsidR="00845B3C" w:rsidRPr="001E30AA" w:rsidRDefault="00845B3C" w:rsidP="003C1751">
            <w:pPr>
              <w:jc w:val="center"/>
              <w:rPr>
                <w:rFonts w:ascii="Arial" w:eastAsia="Times New Roman" w:hAnsi="Arial" w:cs="Arial"/>
                <w:color w:val="000000"/>
                <w:sz w:val="18"/>
                <w:szCs w:val="18"/>
                <w:lang w:eastAsia="en-GB"/>
              </w:rPr>
            </w:pPr>
            <w:r w:rsidRPr="001C4D9D">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vAlign w:val="bottom"/>
          </w:tcPr>
          <w:p w14:paraId="60B727C3"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4.5 x 4.5</w:t>
            </w:r>
            <w:r>
              <w:rPr>
                <w:rFonts w:ascii="Arial" w:eastAsia="Times New Roman" w:hAnsi="Arial" w:cs="Arial"/>
                <w:color w:val="000000"/>
                <w:sz w:val="18"/>
                <w:szCs w:val="18"/>
                <w:lang w:eastAsia="en-GB"/>
              </w:rPr>
              <w:t>mm2</w:t>
            </w:r>
          </w:p>
        </w:tc>
      </w:tr>
      <w:tr w:rsidR="00845B3C" w:rsidRPr="001E30AA" w14:paraId="4AD3F12A"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7DCD132A"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Liu 2021</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{"citationItems":[{"id":"ITEM-1","itemData":{"DOI":"10.1002/brb3.2125","ISSN":"2162-3279 (Electronic)","PMID":"33784027","abstract":"INTRODUCTION: The aim was to characterize the optical coherence tomography (OCT)  angiography measures in patients with multiple sclerosis (MS) and neuromyelitis optica spectrum disorder (NMOSD) and to evaluate their disease discrimination capacity. METHODS: Patients with MS (n = 83) and AQP4-IgG-seropositive NMOSD (n = 91) with or without a history of optic neuritis, together with healthy controls (n = 34), were imaged. The main outcome measures were peripapillary retinal nerve fiber layer (pRNFL) thickness, macular ganglion cell-inner plexiform layer (GC-IPL) thickness, macular vessel density (VD), and perfusion density (PD) in the superficial capillary plexus. Diagnostic accuracy was assessed using the area under the receiver operating characteristics curve. RESULTS: Compared with patients with MS, those with NMOSD had a significantly smaller average thickness of the pRNFL and GC-IPL (80.0 [59.0; 95.8] μm versus 92.0 [80.2; 101] μm, p &lt; .001; 68.0 [56.0; 81.0] μm, versus 74.5 [64.2; 81.0] μm, p &lt; .001) and significantly smaller whole VD and PD areas (15.6 [12.6; 17.0] mm(-1) versus 16.7 [14.8; 17.7] mm(-1) , p &lt; .001; 0.38 [0.31; 0.42] mm(-1) versus 0.40 [0.37; 0.43] mm(-1) , p &lt; .01). The combination of structural parameters (average thickness of the pRNFL and GC-IPL) with microvascular parameters (temporal-inner quadrant of VD, temporal-inner, nasal-inferior, and nasal-outer quadrant of PD) was revealed to have a good diagnostic capability for discriminating between NMOSD and MS. CONCLUSIONS: OCT angiography reveals different structural and microvascular retinal changes in MS and AQP4-IgG-seropositive NMOSD. These combined structural and microvascular parameters might be promising biomarkers for disease diagnosis.","author":[{"dropping-particle":"","family":"Liu","given":"Chunxin","non-dropping-particle":"","parse-names":false,"suffix":""},{"dropping-particle":"","family":"Xiao","given":"Hui","non-dropping-particle":"","parse-names":false,"suffix":""},{"dropping-particle":"","family":"Zhang","given":"Xiayin","non-dropping-particle":"","parse-names":false,"suffix":""},{"dropping-particle":"","family":"Zhao","given":"Yipeng","non-dropping-particle":"","parse-names":false,"suffix":""},{"dropping-particle":"","family":"Li","given":"Rui","non-dropping-particle":"","parse-names":false,"suffix":""},{"dropping-particle":"","family":"Zhong","given":"Xiaonan","non-dropping-particle":"","parse-names":false,"suffix":""},{"dropping-particle":"","family":"Wang","given":"Yuge","non-dropping-particle":"","parse-names":false,"suffix":""},{"dropping-particle":"","family":"Shu","given":"Yaqing","non-dropping-particle":"","parse-names":false,"suffix":""},{"dropping-particle":"","family":"Chang","given":"Yanyu","non-dropping-particle":"","parse-names":false,"suffix":""},{"dropping-particle":"","family":"Wang","given":"Jingqi","non-dropping-particle":"","parse-names":false,"suffix":""},{"dropping-particle":"","family":"Li","given":"Caixia","non-dropping-particle":"","parse-names":false,"suffix":""},{"dropping-particle":"","family":"Lin","given":"Haotian","non-dropping-particle":"","parse-names":false,"suffix":""},{"dropping-particle":"","family":"Qiu","given":"Wei","non-dropping-particle":"","parse-names":false,"suffix":""}],"container-title":"Brain and behavior","id":"ITEM-1","issue":"5","issued":{"date-parts":[["2021","5"]]},"language":"eng","page":"e02125","title":"Optical coherence tomography angiography helps distinguish multiple sclerosis from  AQP4-IgG-seropositive neuromyelitis optica spectrum disorder.","type":"article-journal","volume":"11"},"uris":["http://www.mendeley.com/documents/?uuid=7008e197-fc75-4769-ae87-627056a462ec"]}],"mendeley":{"formattedCitation":"[29]","plainTextFormattedCitation":"[29]","previouslyFormattedCitation":"(29)"},"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[29]</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3F653ADA"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 xml:space="preserve">6 x 6 </w:t>
            </w:r>
            <w:r>
              <w:rPr>
                <w:rFonts w:ascii="Arial" w:eastAsia="Times New Roman" w:hAnsi="Arial" w:cs="Arial"/>
                <w:color w:val="000000"/>
                <w:sz w:val="18"/>
                <w:szCs w:val="18"/>
                <w:lang w:eastAsia="en-GB"/>
              </w:rPr>
              <w:t>mm2</w:t>
            </w:r>
          </w:p>
        </w:tc>
        <w:tc>
          <w:tcPr>
            <w:tcW w:w="907" w:type="dxa"/>
            <w:tcBorders>
              <w:top w:val="nil"/>
              <w:left w:val="nil"/>
              <w:bottom w:val="single" w:sz="4" w:space="0" w:color="auto"/>
              <w:right w:val="single" w:sz="4" w:space="0" w:color="auto"/>
            </w:tcBorders>
            <w:shd w:val="clear" w:color="auto" w:fill="auto"/>
            <w:noWrap/>
            <w:vAlign w:val="bottom"/>
          </w:tcPr>
          <w:p w14:paraId="298F9C22"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6 x 6 mm2</w:t>
            </w:r>
          </w:p>
        </w:tc>
        <w:tc>
          <w:tcPr>
            <w:tcW w:w="717" w:type="dxa"/>
            <w:tcBorders>
              <w:top w:val="nil"/>
              <w:left w:val="nil"/>
              <w:bottom w:val="single" w:sz="4" w:space="0" w:color="auto"/>
              <w:right w:val="single" w:sz="4" w:space="0" w:color="auto"/>
            </w:tcBorders>
            <w:shd w:val="clear" w:color="auto" w:fill="auto"/>
            <w:noWrap/>
          </w:tcPr>
          <w:p w14:paraId="05657D27"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217EE882"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1CAA8491"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54AC7123"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767D29F9"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3AC022A1"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77FD46FD" w14:textId="77777777" w:rsidR="00845B3C" w:rsidRPr="001E30AA" w:rsidRDefault="00845B3C" w:rsidP="003C1751">
            <w:pPr>
              <w:jc w:val="center"/>
              <w:rPr>
                <w:rFonts w:ascii="Arial" w:eastAsia="Times New Roman" w:hAnsi="Arial" w:cs="Arial"/>
                <w:color w:val="000000"/>
                <w:sz w:val="18"/>
                <w:szCs w:val="18"/>
                <w:lang w:eastAsia="en-GB"/>
              </w:rPr>
            </w:pPr>
            <w:r w:rsidRPr="00242B66">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4A994335" w14:textId="77777777" w:rsidR="00845B3C" w:rsidRPr="001E30AA" w:rsidRDefault="00845B3C" w:rsidP="003C1751">
            <w:pPr>
              <w:jc w:val="center"/>
              <w:rPr>
                <w:rFonts w:ascii="Arial" w:eastAsia="Times New Roman" w:hAnsi="Arial" w:cs="Arial"/>
                <w:color w:val="000000"/>
                <w:sz w:val="18"/>
                <w:szCs w:val="18"/>
                <w:lang w:eastAsia="en-GB"/>
              </w:rPr>
            </w:pPr>
            <w:r w:rsidRPr="006D612A">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74B42649" w14:textId="77777777" w:rsidR="00845B3C" w:rsidRPr="001E30AA" w:rsidRDefault="00845B3C" w:rsidP="003C1751">
            <w:pPr>
              <w:jc w:val="center"/>
              <w:rPr>
                <w:rFonts w:ascii="Arial" w:eastAsia="Times New Roman" w:hAnsi="Arial" w:cs="Arial"/>
                <w:color w:val="000000"/>
                <w:sz w:val="18"/>
                <w:szCs w:val="18"/>
                <w:lang w:eastAsia="en-GB"/>
              </w:rPr>
            </w:pPr>
            <w:r w:rsidRPr="00FB543B">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3E2DBD26" w14:textId="77777777" w:rsidR="00845B3C" w:rsidRPr="001E30AA" w:rsidRDefault="00845B3C" w:rsidP="003C1751">
            <w:pPr>
              <w:jc w:val="center"/>
              <w:rPr>
                <w:rFonts w:ascii="Arial" w:eastAsia="Times New Roman" w:hAnsi="Arial" w:cs="Arial"/>
                <w:color w:val="000000"/>
                <w:sz w:val="18"/>
                <w:szCs w:val="18"/>
                <w:lang w:eastAsia="en-GB"/>
              </w:rPr>
            </w:pPr>
            <w:r w:rsidRPr="00FB543B">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7BBE33BE" w14:textId="77777777" w:rsidR="00845B3C" w:rsidRPr="001E30AA" w:rsidRDefault="00845B3C" w:rsidP="003C1751">
            <w:pPr>
              <w:jc w:val="center"/>
              <w:rPr>
                <w:rFonts w:ascii="Arial" w:eastAsia="Times New Roman" w:hAnsi="Arial" w:cs="Arial"/>
                <w:color w:val="000000"/>
                <w:sz w:val="18"/>
                <w:szCs w:val="18"/>
                <w:lang w:eastAsia="en-GB"/>
              </w:rPr>
            </w:pPr>
            <w:r w:rsidRPr="00FB543B">
              <w:rPr>
                <w:rFonts w:ascii="Arial" w:eastAsia="Times New Roman" w:hAnsi="Arial" w:cs="Arial"/>
                <w:b/>
                <w:bCs/>
                <w:color w:val="000000"/>
                <w:sz w:val="18"/>
                <w:szCs w:val="18"/>
                <w:lang w:eastAsia="en-GB"/>
              </w:rPr>
              <w:t>-</w:t>
            </w:r>
          </w:p>
        </w:tc>
      </w:tr>
      <w:tr w:rsidR="00845B3C" w:rsidRPr="001E30AA" w14:paraId="713F91AF"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3FD7BCE3"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Yilmaz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{"citationItems":[{"id":"ITEM-1","itemData":{"DOI":"10.1038/s41433-019-0746-y","ISSN":"1476-5454 (Electronic)","PMID":"31857713","abstract":"BACKGROUND/OBJECTIVES: To investigate optical coherence tomography angiography  (OCT-A) findings of foveal avascular zone (FAZ) metrics and macular &amp; peripapillary vessel densities (VD) in subjects with multiple sclerosis (MS). METHODS: The study design was prospective and cross-sectional. FAZ metrics and VDs of the superficial capillary plexus (SCP), deep capillary plexus (DCP), retinal peripapillary capillary plexus (RPCP) along with the structural OCT measurements were scanned by using the Nidek's RS-3000 Advance in MS patients and healthy controls. All subject also underwent an assessment of visual evoked potentials (VEPs). The relationships between the OCT-A parameters with other clinical findings were analysed. RESULTS: Forty-seven MS patients (94 eyes) and 61 healthy volunteers (122 eyes) were included in this study. Thirty-five eyes of the MS patients had an ON history. The structural OCT measurements were significantly differed between the groups (P &lt; 0.001). All FAZ metrics were inversely correlated with central foveal thickness (CFT) (P &lt; 0.001). The FAZ area and perimeter were inversely correlated with the VD of both SCP and DCP (P &lt; 0.05). The VDs of SCP and DCP were significantly differed between the study groups (P &lt; 0.001). The VEP latency was inversely correlated with the retinal nerve fibre layer, macular and ganglion cell layer thicknesses, the VD of SCP, and the VD of the DCP (P &lt; 0.001). CONCLUSIONS: Based on OCT angiography, VDs of macular and peripapillary area may be useful in detecting damage from ON in patients with MS.","author":[{"dropping-particle":"","family":"Yilmaz","given":"Hayati","non-dropping-particle":"","parse-names":false,"suffix":""},{"dropping-particle":"","family":"Ersoy","given":"Alevtina","non-dropping-particle":"","parse-names":false,"suffix":""},{"dropping-particle":"","family":"Icel","given":"Erel","non-dropping-particle":"","parse-names":false,"suffix":""}],"container-title":"Eye (London, England)","id":"ITEM-1","issue":"4","issued":{"date-parts":[["2020","4"]]},"language":"eng","page":"771-778","title":"Assessments of vessel density and foveal avascular zone metrics in multiple  sclerosis: an optical coherence tomography angiography study.","type":"article-journal","volume":"34"},"uris":["http://www.mendeley.com/documents/?uuid=eb7c2e89-27f8-4d37-a47c-6b1eade4abff"]}],"mendeley":{"formattedCitation":"[45]","plainTextFormattedCitation":"[45]","previouslyFormattedCitation":"(45)"},"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[45]</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52762821"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07" w:type="dxa"/>
            <w:tcBorders>
              <w:top w:val="nil"/>
              <w:left w:val="nil"/>
              <w:bottom w:val="single" w:sz="4" w:space="0" w:color="auto"/>
              <w:right w:val="single" w:sz="4" w:space="0" w:color="auto"/>
            </w:tcBorders>
            <w:shd w:val="clear" w:color="auto" w:fill="auto"/>
            <w:noWrap/>
            <w:vAlign w:val="bottom"/>
          </w:tcPr>
          <w:p w14:paraId="19EE67C3"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717" w:type="dxa"/>
            <w:tcBorders>
              <w:top w:val="nil"/>
              <w:left w:val="nil"/>
              <w:bottom w:val="single" w:sz="4" w:space="0" w:color="auto"/>
              <w:right w:val="single" w:sz="4" w:space="0" w:color="auto"/>
            </w:tcBorders>
            <w:shd w:val="clear" w:color="auto" w:fill="auto"/>
            <w:noWrap/>
            <w:vAlign w:val="bottom"/>
          </w:tcPr>
          <w:p w14:paraId="6A0F5B49"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vAlign w:val="bottom"/>
          </w:tcPr>
          <w:p w14:paraId="6A2DE93E"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77" w:type="dxa"/>
            <w:tcBorders>
              <w:top w:val="nil"/>
              <w:left w:val="nil"/>
              <w:bottom w:val="single" w:sz="4" w:space="0" w:color="auto"/>
              <w:right w:val="single" w:sz="4" w:space="0" w:color="auto"/>
            </w:tcBorders>
            <w:shd w:val="clear" w:color="auto" w:fill="auto"/>
            <w:noWrap/>
            <w:vAlign w:val="bottom"/>
          </w:tcPr>
          <w:p w14:paraId="7E59D4AC"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07" w:type="dxa"/>
            <w:tcBorders>
              <w:top w:val="nil"/>
              <w:left w:val="nil"/>
              <w:bottom w:val="single" w:sz="4" w:space="0" w:color="auto"/>
              <w:right w:val="single" w:sz="4" w:space="0" w:color="auto"/>
            </w:tcBorders>
            <w:shd w:val="clear" w:color="auto" w:fill="auto"/>
            <w:noWrap/>
            <w:vAlign w:val="bottom"/>
          </w:tcPr>
          <w:p w14:paraId="5740D2ED"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717" w:type="dxa"/>
            <w:tcBorders>
              <w:top w:val="nil"/>
              <w:left w:val="nil"/>
              <w:bottom w:val="single" w:sz="4" w:space="0" w:color="auto"/>
              <w:right w:val="single" w:sz="4" w:space="0" w:color="auto"/>
            </w:tcBorders>
            <w:shd w:val="clear" w:color="auto" w:fill="auto"/>
            <w:noWrap/>
            <w:vAlign w:val="bottom"/>
          </w:tcPr>
          <w:p w14:paraId="6CE8C575"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vAlign w:val="bottom"/>
          </w:tcPr>
          <w:p w14:paraId="38EC00E8"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77" w:type="dxa"/>
            <w:tcBorders>
              <w:top w:val="nil"/>
              <w:left w:val="nil"/>
              <w:bottom w:val="single" w:sz="4" w:space="0" w:color="auto"/>
              <w:right w:val="single" w:sz="4" w:space="0" w:color="auto"/>
            </w:tcBorders>
            <w:shd w:val="clear" w:color="auto" w:fill="auto"/>
            <w:noWrap/>
            <w:vAlign w:val="bottom"/>
          </w:tcPr>
          <w:p w14:paraId="50EB913B"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1207" w:type="dxa"/>
            <w:tcBorders>
              <w:top w:val="nil"/>
              <w:left w:val="nil"/>
              <w:bottom w:val="single" w:sz="4" w:space="0" w:color="auto"/>
              <w:right w:val="single" w:sz="4" w:space="0" w:color="auto"/>
            </w:tcBorders>
            <w:shd w:val="clear" w:color="000000" w:fill="F2F2F2"/>
            <w:vAlign w:val="bottom"/>
          </w:tcPr>
          <w:p w14:paraId="782F732D"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2.4 x 4 mm2</w:t>
            </w:r>
          </w:p>
        </w:tc>
        <w:tc>
          <w:tcPr>
            <w:tcW w:w="1207" w:type="dxa"/>
            <w:tcBorders>
              <w:top w:val="nil"/>
              <w:left w:val="nil"/>
              <w:bottom w:val="single" w:sz="4" w:space="0" w:color="auto"/>
              <w:right w:val="single" w:sz="4" w:space="0" w:color="auto"/>
            </w:tcBorders>
            <w:shd w:val="clear" w:color="auto" w:fill="auto"/>
            <w:noWrap/>
            <w:vAlign w:val="bottom"/>
          </w:tcPr>
          <w:p w14:paraId="4F627105"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vAlign w:val="bottom"/>
          </w:tcPr>
          <w:p w14:paraId="0E96A768"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2.4 x 4 mm2</w:t>
            </w:r>
          </w:p>
        </w:tc>
        <w:tc>
          <w:tcPr>
            <w:tcW w:w="1534" w:type="dxa"/>
            <w:tcBorders>
              <w:top w:val="nil"/>
              <w:left w:val="nil"/>
              <w:bottom w:val="single" w:sz="4" w:space="0" w:color="auto"/>
              <w:right w:val="single" w:sz="4" w:space="0" w:color="auto"/>
            </w:tcBorders>
            <w:shd w:val="clear" w:color="auto" w:fill="auto"/>
            <w:noWrap/>
            <w:vAlign w:val="bottom"/>
          </w:tcPr>
          <w:p w14:paraId="44A10B69"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r>
      <w:tr w:rsidR="00845B3C" w:rsidRPr="001E30AA" w14:paraId="28948B3E"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2EC4DEE9" w14:textId="77777777" w:rsidR="00845B3C" w:rsidRPr="001E30AA" w:rsidRDefault="00845B3C" w:rsidP="003C1751">
            <w:pPr>
              <w:jc w:val="center"/>
              <w:rPr>
                <w:rFonts w:ascii="Arial" w:eastAsia="Times New Roman" w:hAnsi="Arial" w:cs="Arial"/>
                <w:color w:val="000000"/>
                <w:sz w:val="18"/>
                <w:szCs w:val="18"/>
                <w:lang w:eastAsia="en-GB"/>
              </w:rPr>
            </w:pPr>
            <w:proofErr w:type="spellStart"/>
            <w:r w:rsidRPr="0050412D">
              <w:rPr>
                <w:rFonts w:ascii="Arial" w:eastAsia="Times New Roman" w:hAnsi="Arial" w:cs="Arial"/>
                <w:color w:val="000000"/>
                <w:sz w:val="15"/>
                <w:szCs w:val="15"/>
                <w:lang w:eastAsia="en-GB"/>
              </w:rPr>
              <w:t>Ulusoy</w:t>
            </w:r>
            <w:proofErr w:type="spellEnd"/>
            <w:r w:rsidRPr="0050412D">
              <w:rPr>
                <w:rFonts w:ascii="Arial" w:eastAsia="Times New Roman" w:hAnsi="Arial" w:cs="Arial"/>
                <w:color w:val="000000"/>
                <w:sz w:val="15"/>
                <w:szCs w:val="15"/>
                <w:lang w:eastAsia="en-GB"/>
              </w:rPr>
              <w:t xml:space="preserve">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{"citationItems":[{"id":"ITEM-1","itemData":{"DOI":"10.1080/01616412.2020.1726585","ISSN":"1743-1328 (Electronic)","PMID":"32048550","abstract":"Objective: Nowadays, retinal microvascular structures can be investigated using  optical coherence tomography angiography (OCTA). We aimed to evaluate the probable vascular changes in the foveal and peripapillary regions of patients with multiple sclerosis (MS).Methods: A total of 20 patients with relapsing remitting multiple sclerosis (RRMS) and 24 healthy controls were recruited in this study. All participants' superficial and deeper retinal and peripapillary layers were evaluated using OCTA after a total ophthalmologic examination.Results: In the superficial plexus, the whole image (49.53 ± 3.9% and 51.83 ± 2.1%, p = 0.009), superior hemisphere (49.44 ± 4.11% and 51.63 ± 2.3%, p = 0.018), inferior hemisphere (49.75 ± 3.9% and 52.03 ± 2.2%, p = 0.012), parafoveal (51.87 ± 3.9% and 53.08 ± 3.46%, p = 0.048) and perifoveal (50.41 ± 3.86% and 52.76 ± 2.1%, p = 0.007) vascular densities were statistically significant lesser in patients with RRMS than in controls. In the optic disc OCTA parameters, the vessel density of the inferior (50.15 ± 6.99% and 53.04 ± 3.63% p = 0.043) and temporal sector (48.09 ± 5.47% and 50.85 ± 5.24%, p = 0.045) were statistically significantly lesser in patients with RRMS than in controls.Conclusion: The reductions in vessel density of the retinal or peripapillary area of patients with RRMS shown in this study should be investigated further to determine whether it is a secondary lesion to optic neuritis (ON) or a primary vasculopathic condition of MS.","author":[{"dropping-particle":"","family":"Ulusoy","given":"Mahmut Oğuz","non-dropping-particle":"","parse-names":false,"suffix":""},{"dropping-particle":"","family":"Horasanlı","given":"Bahriye","non-dropping-particle":"","parse-names":false,"suffix":""},{"dropping-particle":"","family":"Işık-Ulusoy","given":"Selen","non-dropping-particle":"","parse-names":false,"suffix":""}],"container-title":"Neurological research","id":"ITEM-1","issue":"4","issued":{"date-parts":[["2020","4"]]},"language":"eng","page":"319-326","publisher-place":"England","title":"Optical coherence tomography angiography findings of multiple sclerosis with or  without optic neuritis.","type":"article-journal","volume":"42"},"uris":["http://www.mendeley.com/documents/?uuid=9bf80b33-f613-4e60-8439-32b48693b6ab"]}],"mendeley":{"formattedCitation":"[47]","plainTextFormattedCitation":"[47]","previouslyFormattedCitation":"(47)"},"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[47]</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51A85FB1"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4</w:t>
            </w:r>
            <w:r w:rsidRPr="005207AA">
              <w:rPr>
                <w:rFonts w:ascii="Arial" w:eastAsia="Times New Roman" w:hAnsi="Arial" w:cs="Arial"/>
                <w:color w:val="000000"/>
                <w:sz w:val="18"/>
                <w:szCs w:val="18"/>
                <w:lang w:eastAsia="en-GB"/>
              </w:rPr>
              <w:t>.5 x 4.5 mm2</w:t>
            </w:r>
          </w:p>
        </w:tc>
        <w:tc>
          <w:tcPr>
            <w:tcW w:w="907" w:type="dxa"/>
            <w:tcBorders>
              <w:top w:val="nil"/>
              <w:left w:val="nil"/>
              <w:bottom w:val="single" w:sz="4" w:space="0" w:color="auto"/>
              <w:right w:val="single" w:sz="4" w:space="0" w:color="auto"/>
            </w:tcBorders>
            <w:shd w:val="clear" w:color="auto" w:fill="auto"/>
            <w:noWrap/>
          </w:tcPr>
          <w:p w14:paraId="436BFB57"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717" w:type="dxa"/>
            <w:tcBorders>
              <w:top w:val="nil"/>
              <w:left w:val="nil"/>
              <w:bottom w:val="single" w:sz="4" w:space="0" w:color="auto"/>
              <w:right w:val="single" w:sz="4" w:space="0" w:color="auto"/>
            </w:tcBorders>
            <w:shd w:val="clear" w:color="auto" w:fill="auto"/>
            <w:noWrap/>
          </w:tcPr>
          <w:p w14:paraId="209623FB"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1037" w:type="dxa"/>
            <w:tcBorders>
              <w:top w:val="nil"/>
              <w:left w:val="nil"/>
              <w:bottom w:val="single" w:sz="4" w:space="0" w:color="auto"/>
              <w:right w:val="single" w:sz="4" w:space="0" w:color="auto"/>
            </w:tcBorders>
            <w:shd w:val="clear" w:color="auto" w:fill="auto"/>
            <w:noWrap/>
          </w:tcPr>
          <w:p w14:paraId="3AEF12D3"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977" w:type="dxa"/>
            <w:tcBorders>
              <w:top w:val="nil"/>
              <w:left w:val="nil"/>
              <w:bottom w:val="single" w:sz="4" w:space="0" w:color="auto"/>
              <w:right w:val="single" w:sz="4" w:space="0" w:color="auto"/>
            </w:tcBorders>
            <w:shd w:val="clear" w:color="auto" w:fill="auto"/>
            <w:noWrap/>
          </w:tcPr>
          <w:p w14:paraId="00B1FCCD"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907" w:type="dxa"/>
            <w:tcBorders>
              <w:top w:val="nil"/>
              <w:left w:val="nil"/>
              <w:bottom w:val="single" w:sz="4" w:space="0" w:color="auto"/>
              <w:right w:val="single" w:sz="4" w:space="0" w:color="auto"/>
            </w:tcBorders>
            <w:shd w:val="clear" w:color="auto" w:fill="auto"/>
            <w:noWrap/>
          </w:tcPr>
          <w:p w14:paraId="473BF746"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717" w:type="dxa"/>
            <w:tcBorders>
              <w:top w:val="nil"/>
              <w:left w:val="nil"/>
              <w:bottom w:val="single" w:sz="4" w:space="0" w:color="auto"/>
              <w:right w:val="single" w:sz="4" w:space="0" w:color="auto"/>
            </w:tcBorders>
            <w:shd w:val="clear" w:color="auto" w:fill="auto"/>
            <w:noWrap/>
          </w:tcPr>
          <w:p w14:paraId="628A181D"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1037" w:type="dxa"/>
            <w:tcBorders>
              <w:top w:val="nil"/>
              <w:left w:val="nil"/>
              <w:bottom w:val="single" w:sz="4" w:space="0" w:color="auto"/>
              <w:right w:val="single" w:sz="4" w:space="0" w:color="auto"/>
            </w:tcBorders>
            <w:shd w:val="clear" w:color="auto" w:fill="auto"/>
            <w:noWrap/>
          </w:tcPr>
          <w:p w14:paraId="66CBF41D"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977" w:type="dxa"/>
            <w:tcBorders>
              <w:top w:val="nil"/>
              <w:left w:val="nil"/>
              <w:bottom w:val="single" w:sz="4" w:space="0" w:color="auto"/>
              <w:right w:val="single" w:sz="4" w:space="0" w:color="auto"/>
            </w:tcBorders>
            <w:shd w:val="clear" w:color="auto" w:fill="auto"/>
            <w:noWrap/>
          </w:tcPr>
          <w:p w14:paraId="3960E5BC"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1207" w:type="dxa"/>
            <w:tcBorders>
              <w:top w:val="nil"/>
              <w:left w:val="nil"/>
              <w:bottom w:val="single" w:sz="4" w:space="0" w:color="auto"/>
              <w:right w:val="single" w:sz="4" w:space="0" w:color="auto"/>
            </w:tcBorders>
            <w:shd w:val="clear" w:color="000000" w:fill="F2F2F2"/>
          </w:tcPr>
          <w:p w14:paraId="555A3809" w14:textId="77777777" w:rsidR="00845B3C" w:rsidRPr="001E30AA" w:rsidRDefault="00845B3C" w:rsidP="003C1751">
            <w:pPr>
              <w:jc w:val="center"/>
              <w:rPr>
                <w:rFonts w:ascii="Arial" w:eastAsia="Times New Roman" w:hAnsi="Arial" w:cs="Arial"/>
                <w:color w:val="000000"/>
                <w:sz w:val="18"/>
                <w:szCs w:val="18"/>
                <w:lang w:eastAsia="en-GB"/>
              </w:rPr>
            </w:pPr>
            <w:r w:rsidRPr="00E65B42">
              <w:rPr>
                <w:rFonts w:ascii="Arial" w:eastAsia="Times New Roman" w:hAnsi="Arial" w:cs="Arial"/>
                <w:color w:val="000000"/>
                <w:sz w:val="18"/>
                <w:szCs w:val="18"/>
                <w:lang w:eastAsia="en-GB"/>
              </w:rPr>
              <w:t>4.5 x 4.5 mm2</w:t>
            </w:r>
          </w:p>
        </w:tc>
        <w:tc>
          <w:tcPr>
            <w:tcW w:w="1207" w:type="dxa"/>
            <w:tcBorders>
              <w:top w:val="nil"/>
              <w:left w:val="nil"/>
              <w:bottom w:val="single" w:sz="4" w:space="0" w:color="auto"/>
              <w:right w:val="single" w:sz="4" w:space="0" w:color="auto"/>
            </w:tcBorders>
            <w:shd w:val="clear" w:color="auto" w:fill="auto"/>
            <w:noWrap/>
            <w:vAlign w:val="bottom"/>
          </w:tcPr>
          <w:p w14:paraId="012489D7"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4.5 x 4.5 mm2</w:t>
            </w:r>
          </w:p>
        </w:tc>
        <w:tc>
          <w:tcPr>
            <w:tcW w:w="1451" w:type="dxa"/>
            <w:tcBorders>
              <w:top w:val="nil"/>
              <w:left w:val="nil"/>
              <w:bottom w:val="single" w:sz="4" w:space="0" w:color="auto"/>
              <w:right w:val="single" w:sz="4" w:space="0" w:color="auto"/>
            </w:tcBorders>
            <w:shd w:val="clear" w:color="auto" w:fill="auto"/>
            <w:noWrap/>
          </w:tcPr>
          <w:p w14:paraId="71C8A50A" w14:textId="77777777" w:rsidR="00845B3C" w:rsidRPr="001E30AA" w:rsidRDefault="00845B3C" w:rsidP="003C1751">
            <w:pPr>
              <w:jc w:val="center"/>
              <w:rPr>
                <w:rFonts w:ascii="Arial" w:eastAsia="Times New Roman" w:hAnsi="Arial" w:cs="Arial"/>
                <w:color w:val="000000"/>
                <w:sz w:val="18"/>
                <w:szCs w:val="18"/>
                <w:lang w:eastAsia="en-GB"/>
              </w:rPr>
            </w:pPr>
            <w:r w:rsidRPr="00950803">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397069B8" w14:textId="77777777" w:rsidR="00845B3C" w:rsidRPr="001E30AA" w:rsidRDefault="00845B3C" w:rsidP="003C1751">
            <w:pPr>
              <w:jc w:val="center"/>
              <w:rPr>
                <w:rFonts w:ascii="Arial" w:eastAsia="Times New Roman" w:hAnsi="Arial" w:cs="Arial"/>
                <w:color w:val="000000"/>
                <w:sz w:val="18"/>
                <w:szCs w:val="18"/>
                <w:lang w:eastAsia="en-GB"/>
              </w:rPr>
            </w:pPr>
            <w:r w:rsidRPr="00950803">
              <w:rPr>
                <w:rFonts w:ascii="Arial" w:eastAsia="Times New Roman" w:hAnsi="Arial" w:cs="Arial"/>
                <w:b/>
                <w:bCs/>
                <w:color w:val="000000"/>
                <w:sz w:val="18"/>
                <w:szCs w:val="18"/>
                <w:lang w:eastAsia="en-GB"/>
              </w:rPr>
              <w:t>-</w:t>
            </w:r>
          </w:p>
        </w:tc>
      </w:tr>
      <w:tr w:rsidR="00845B3C" w:rsidRPr="001E30AA" w14:paraId="41831231"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65AE835E"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Murphy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{"citationItems":[{"id":"ITEM-1","itemData":{"DOI":"10.1177/1352458519845116","ISSN":"1477-0970 (Electronic)","PMID":"31094280","abstract":"BACKGROUND: The retinal vasculature may be altered in multiple sclerosis (MS),  potentially acting as a biomarker of disease processes. OBJECTIVE: To compare retinal vascular plexus densities in people with MS (PwMS) and healthy controls (HCs), and examine correlations with visual function and global disability. METHODS: In this cross-sectional study, 111 PwMS (201 eyes) and 50 HCs (97 eyes) underwent optical coherence tomography angiography (OCTA). Macular superficial vascular plexus (SVP) and deep vascular plexus (DVP) densities were quantified, and poor quality images were excluded according to an artifact-rating protocol. RESULTS: Mean SVP density was 24.1% (SD = 5.5) in MS eyes (26.0% (SD = 4.7) in non-optic neuritis (ON) eyes vs. 21.7% (SD = 5.5) in ON eyes, p &lt; 0.001), as compared to 29.2% (SD = 3.3) in HC eyes (p &lt; 0.001 for all MS eyes and multiple sclerosis optic neuritis (MSON) eyes vs. HC eyes, p = 0.03 for MS non-ON eyes vs. HC eyes). DVP density did not differ between groups. In PwMS, lower SVP density was associated with higher levels of disability (expanded disability status scale (EDSS): R(2) = 0.26, p = 0.004; multiple sclerosis functional composite (MSFC): R(2) = 0.27, p = 0.03) and lower letter acuity scores (100% contrast: R(2) = 0.29; 2.5% contrast: R(2) = 0.40; 1.25% contrast: R(2) = 0.31; p &lt; 0.001 for all). CONCLUSIONS: Retinal SVP density measured by OCTA is reduced across MS eyes, and correlates with visual function, EDSS, and MSFC scores.","author":[{"dropping-particle":"","family":"Murphy","given":"Olwen C","non-dropping-particle":"","parse-names":false,"suffix":""},{"dropping-particle":"","family":"Kwakyi","given":"Ohemaa","non-dropping-particle":"","parse-names":false,"suffix":""},{"dropping-particle":"","family":"Iftikhar","given":"Mustafa","non-dropping-particle":"","parse-names":false,"suffix":""},{"dropping-particle":"","family":"Zafar","given":"Sidra","non-dropping-particle":"","parse-names":false,"suffix":""},{"dropping-particle":"","family":"Lambe","given":"Jeffrey","non-dropping-particle":"","parse-names":false,"suffix":""},{"dropping-particle":"","family":"Pellegrini","given":"Nicole","non-dropping-particle":"","parse-names":false,"suffix":""},{"dropping-particle":"","family":"Sotirchos","given":"Elias S","non-dropping-particle":"","parse-names":false,"suffix":""},{"dropping-particle":"","family":"Gonzalez-Caldito","given":"Natalia","non-dropping-particle":"","parse-names":false,"suffix":""},{"dropping-particle":"","family":"Ogbuokiri","given":"Esther","non-dropping-particle":"","parse-names":false,"suffix":""},{"dropping-particle":"","family":"Filippatou","given":"Angeliki","non-dropping-particle":"","parse-names":false,"suffix":""},{"dropping-particle":"","family":"Risher","given":"Hunter","non-dropping-particle":"","parse-names":false,"suffix":""},{"dropping-particle":"","family":"Cowley","given":"Norah","non-dropping-particle":"","parse-names":false,"suffix":""},{"dropping-particle":"","family":"Feldman","given":"Sydney","non-dropping-particle":"","parse-names":false,"suffix":""},{"dropping-particle":"","family":"Fioravante","given":"Nicholas","non-dropping-particle":"","parse-names":false,"suffix":""},{"dropping-particle":"","family":"Frohman","given":"Elliot M","non-dropping-particle":"","parse-names":false,"suffix":""},{"dropping-particle":"","family":"Frohman","given":"Teresa C","non-dropping-particle":"","parse-names":false,"suffix":""},{"dropping-particle":"","family":"Balcer","given":"Laura J","non-dropping-particle":"","parse-names":false,"suffix":""},{"dropping-particle":"","family":"Prince","given":"Jerry L","non-dropping-particle":"","parse-names":false,"suffix":""},{"dropping-particle":"","family":"Channa","given":"Roomasa","non-dropping-particle":"","parse-names":false,"suffix":""},{"dropping-particle":"","family":"Calabresi","given":"Peter A","non-dropping-particle":"","parse-names":false,"suffix":""},{"dropping-particle":"","family":"Saidha","given":"Shiv","non-dropping-particle":"","parse-names":false,"suffix":""}],"container-title":"Multiple sclerosis (Houndmills, Basingstoke, England)","id":"ITEM-1","issue":"7","issued":{"date-parts":[["2020","6"]]},"language":"eng","page":"815-828","title":"Alterations in the retinal vasculature occur in multiple sclerosis and exhibit novel  correlations with disability and visual function measures.","type":"article-journal","volume":"26"},"uris":["http://www.mendeley.com/documents/?uuid=a6870e93-bec5-4f1a-8b79-86a05a10d683"]}],"mendeley":{"formattedCitation":"[22]","plainTextFormattedCitation":"[22]","previouslyFormattedCitation":"(22)"},"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[22]</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72F28FAD"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5E7EDA94"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43944DFC"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2B809DCE"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0032B8D6"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34E9AAC8"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0349879D"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36E44271"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DD5A990"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38D6F937"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2A238F38"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313A21D3"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1E306443" w14:textId="77777777" w:rsidR="00845B3C" w:rsidRPr="001E30AA" w:rsidRDefault="00845B3C" w:rsidP="003C1751">
            <w:pPr>
              <w:jc w:val="center"/>
              <w:rPr>
                <w:rFonts w:ascii="Arial" w:eastAsia="Times New Roman" w:hAnsi="Arial" w:cs="Arial"/>
                <w:color w:val="000000"/>
                <w:sz w:val="18"/>
                <w:szCs w:val="18"/>
                <w:lang w:eastAsia="en-GB"/>
              </w:rPr>
            </w:pPr>
            <w:r w:rsidRPr="00923112">
              <w:rPr>
                <w:rFonts w:ascii="Arial" w:eastAsia="Times New Roman" w:hAnsi="Arial" w:cs="Arial"/>
                <w:b/>
                <w:bCs/>
                <w:color w:val="000000"/>
                <w:sz w:val="18"/>
                <w:szCs w:val="18"/>
                <w:lang w:eastAsia="en-GB"/>
              </w:rPr>
              <w:t>-</w:t>
            </w:r>
          </w:p>
        </w:tc>
      </w:tr>
      <w:tr w:rsidR="00845B3C" w:rsidRPr="001E30AA" w14:paraId="7390693B"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5C5DAFF3"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Murphy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 xml:space="preserve">ADDIN CSL_CITATION {"citationItems":[{"id":"ITEM-1","itemData":{"DOI":"10.3389/fneur.2020.618879","ISSN":"1664-2295 (Print)","PMID":"33384660","abstract":"Background: In people with multiple sclerosis (MS), optic neuritis (ON) results in  inner retinal layer thinning, and reduced density of the retinal microvasculature. Objective: To compare inter-eye differences (IEDs) in macular optical coherence tomography (OCT) and OCT angiography (OCTA) measures in MS patients with a history of unilateral ON (MS ON) vs. MS patients with no history of ON (MS non-ON), and to assess how these measures correlate with visual function outcomes after ON. Methods: In this cross-sectional study, people with MS underwent OCT and OCTA. Superficial vascular plexus (SVP) density of each eye was quantified using a deep neural network. IEDs were calculated with respect to the ON eye in MS ON patients, and with respect to the right eye in MS non-ON patients. Statistical analyses used mixed-effect regression models accounting for intra-subject correlations. Results: We included 43 MS ON patients (with 92 discrete OCT/OCTA visits) and 14 MS non-ON patients (with 24 OCT/OCTA visits). Across the cohorts, mean IED in SVP density was -2.69% (SD 3.23) in MS ON patients, as compared to 0.17% (SD 2.39) in MS non-ON patients (p = 0.002). When the MS ON patients were further stratified according to time from ON and compared to MS non-ON patients with multiple cross-sectional analyses, we identified that IED in SVP density was significantly increased in MS ON patients at 1-3 years (p = &lt; 0.001) and &gt;3 years post-ON (p &lt; 0.001), but not at &lt;3 months (p = 0.21) or 3-12 months post-ON (p = 0.07), while IED in ganglion cell + inner plexiform layer (GCIPL) thickness was significantly increased in MS ON patients at all time points post-ON (p </w:instrText>
            </w:r>
            <w:r>
              <w:rPr>
                <w:rFonts w:ascii="Cambria Math" w:eastAsia="Times New Roman" w:hAnsi="Cambria Math" w:cs="Cambria Math"/>
                <w:color w:val="000000"/>
                <w:sz w:val="15"/>
                <w:szCs w:val="15"/>
                <w:lang w:eastAsia="en-GB"/>
              </w:rPr>
              <w:instrText>≦</w:instrText>
            </w:r>
            <w:r>
              <w:rPr>
                <w:rFonts w:ascii="Arial" w:eastAsia="Times New Roman" w:hAnsi="Arial" w:cs="Arial"/>
                <w:color w:val="000000"/>
                <w:sz w:val="15"/>
                <w:szCs w:val="15"/>
                <w:lang w:eastAsia="en-GB"/>
              </w:rPr>
              <w:instrText xml:space="preserve"> 0.01 for all). IED in SVP density and IED in GCIPL thickness demonstrated significant relationships with IEDs in 100% contrast, 2.5% contrast, and 1.25% contrast letter acuity in MS ON patients (p &lt; 0.001 for all). Conclusions: Our findings suggest that increased IED in SVP density can be detected after ON in MS using OCTA, and detectable changes in SVP density after ON may occur after changes in GCIPL thickness. IED in SVP density and IED in GCIPL thickness correlate well with visual function outcomes in MS ON patients.","author":[{"dropping-particle":"","family":"Murphy","given":"Olwen C","non-dropping-particle":"","parse-names":false,"suffix":""},{"dropping-particle":"","family":"Kalaitzidis","given":"Grigorios","non-dropping-particle":"","parse-names":false,"suffix":""},{"dropping-particle":"","family":"Vasileiou","given":"Eleni","non-dropping-particle":"","parse-names":false,"suffix":""},{"dropping-particle":"","family":"Filippatou","given":"Angeliki G","non-dropping-particle":"","parse-names":false,"suffix":""},{"dropping-particle":"","family":"Lambe","given":"Jeffrey","non-dropping-particle":"","parse-names":false,"suffix":""},{"dropping-particle":"","family":"Ehrhardt","given":"Henrik","non-dropping-particle":"","parse-names":false,"suffix":""},{"dropping-particle":"","family":"Pellegrini","given":"Nicole","non-dropping-particle":"","parse-names":false,"suffix":""},{"dropping-particle":"","family":"Sotirchos","given":"Elias S","non-dropping-particle":"","parse-names":false,"suffix":""},{"dropping-particle":"","family":"Luciano","given":"Nicholas J","non-dropping-particle":"","parse-names":false,"suffix":""},{"dropping-particle":"","family":"Liu","given":"Yihao","non-dropping-particle":"","parse-names":false,"suffix":""},{"dropping-particle":"","family":"Fitzgerald","given":"Kathryn C","non-dropping-particle":"","parse-names":false,"suffix":""},{"dropping-particle":"","family":"Prince","given":"Jerry L","non-dropping-particle":"","parse-names":false,"suffix":""},{"dropping-particle":"","family":"Calabresi","given":"Peter A","non-dropping-particle":"","parse-names":false,"suffix":""},{"dropping-particle":"","family":"Saidha","given":"Shiv","non-dropping-particle":"","parse-names":false,"suffix":""}],"container-title":"Frontiers in neurology","id":"ITEM-1","issued":{"date-parts":[["2020"]]},"language":"eng","page":"618879","title":"Optical Coherence Tomography and Optical Coherence Tomography Angiography Findings  After Optic Neuritis in Multiple Sclerosis.","type":"article-journal","volume":"11"},"uris":["http://www.mendeley.com/documents/?uuid=9b28d912-2446-41b6-af48-6748b78b198e"]}],"mendeley":{"formattedCitation":"[49]","plainTextFormattedCitation":"[49]","previouslyFormattedCitation":"(49)"},"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[49]</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1133E86E"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07" w:type="dxa"/>
            <w:tcBorders>
              <w:top w:val="nil"/>
              <w:left w:val="nil"/>
              <w:bottom w:val="single" w:sz="4" w:space="0" w:color="auto"/>
              <w:right w:val="single" w:sz="4" w:space="0" w:color="auto"/>
            </w:tcBorders>
            <w:shd w:val="clear" w:color="auto" w:fill="auto"/>
            <w:noWrap/>
            <w:vAlign w:val="bottom"/>
          </w:tcPr>
          <w:p w14:paraId="0F686DB3"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717" w:type="dxa"/>
            <w:tcBorders>
              <w:top w:val="nil"/>
              <w:left w:val="nil"/>
              <w:bottom w:val="single" w:sz="4" w:space="0" w:color="auto"/>
              <w:right w:val="single" w:sz="4" w:space="0" w:color="auto"/>
            </w:tcBorders>
            <w:shd w:val="clear" w:color="auto" w:fill="auto"/>
            <w:noWrap/>
          </w:tcPr>
          <w:p w14:paraId="3445262C"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BD63E06"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4516566E"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04FE832B"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32FACDDB"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AB81E1A"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467B997"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7A47B024"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2B3D5090"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tcPr>
          <w:p w14:paraId="6A4864F9"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76569B4A" w14:textId="77777777" w:rsidR="00845B3C" w:rsidRPr="001E30AA" w:rsidRDefault="00845B3C" w:rsidP="003C1751">
            <w:pPr>
              <w:jc w:val="center"/>
              <w:rPr>
                <w:rFonts w:ascii="Arial" w:eastAsia="Times New Roman" w:hAnsi="Arial" w:cs="Arial"/>
                <w:color w:val="000000"/>
                <w:sz w:val="18"/>
                <w:szCs w:val="18"/>
                <w:lang w:eastAsia="en-GB"/>
              </w:rPr>
            </w:pPr>
            <w:r w:rsidRPr="00F57DB0">
              <w:rPr>
                <w:rFonts w:ascii="Arial" w:eastAsia="Times New Roman" w:hAnsi="Arial" w:cs="Arial"/>
                <w:b/>
                <w:bCs/>
                <w:color w:val="000000"/>
                <w:sz w:val="18"/>
                <w:szCs w:val="18"/>
                <w:lang w:eastAsia="en-GB"/>
              </w:rPr>
              <w:t>-</w:t>
            </w:r>
          </w:p>
        </w:tc>
      </w:tr>
      <w:tr w:rsidR="00845B3C" w:rsidRPr="001E30AA" w14:paraId="7DC26995"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0621E650"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Jiang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{"citationItems":[{"id":"ITEM-1","itemData":{"DOI":"10.1016/j.ajo.2019.12.021","ISSN":"1879-1891 (Electronic)","PMID":"31926161","abstract":"PURPOSE: The goal of this study was to determine the volumetric vessel density (VVD)  in the intraretinal layers and its relationship with visual function and disability in patients with multiple sclerosis (MS). DESIGN: Cross-sectional study. METHODS: A total of 80 patients with relapsing-remitting MS and 99 age- and sex-matched healthy controls (HC) were recruited. The retinal microvascular network in the macular area was imaged using optical coherence tomography angiography in 123 eyes without a history of optic neuritis (ON) (MSNON) and 36 eyes with a history of ON (MSON). The VVD was calculated as the vessel densities in the retinal vascular network (RVN), superficial vascular plexus (SVP), or deep vascular plexus (DVP) of an annulus (0.6-2.5 mm in diameter), divided by the corresponding tissue volume of the intraretinal layers respectively. RESULTS: The VVD of RVN and DVP in MSNON were significantly higher than in HC (P &lt; .05). The VVD of RVN, SVP, and DVP in MSON were significantly higher than in MSNON and HC (P &lt; .05). The VVD in both RVN and SVP were positively related to EDSS and disease duration, but negatively related to low-contrast letter acuity (P &lt; .05). The VVD measurements were also negatively and strongly related to the corresponding tissue volumes (P &lt; .05). CONCLUSIONS: This is the first study to reveal increased retinal VVD in patients with relapsing-remitting MS. The measurements of VVD in the RVN and SVP were related to disability and visual function, which may be developed as image markers for tracking disease progression.","author":[{"dropping-particle":"","family":"Jiang","given":"Hong","non-dropping-particle":"","parse-names":false,"suffix":""},{"dropping-particle":"","family":"Gameiro","given":"Giovana Rosa","non-dropping-particle":"","parse-names":false,"suffix":""},{"dropping-particle":"","family":"Liu","given":"Yi","non-dropping-particle":"","parse-names":false,"suffix":""},{"dropping-particle":"","family":"Lin","given":"Ying","non-dropping-particle":"","parse-names":false,"suffix":""},{"dropping-particle":"","family":"Hernandez","given":"Jeffrey","non-dropping-particle":"","parse-names":false,"suffix":""},{"dropping-particle":"","family":"Deng","given":"Yuqing","non-dropping-particle":"","parse-names":false,"suffix":""},{"dropping-particle":"","family":"Gregori","given":"Giovanni","non-dropping-particle":"","parse-names":false,"suffix":""},{"dropping-particle":"","family":"Delgado","given":"Silvia","non-dropping-particle":"","parse-names":false,"suffix":""},{"dropping-particle":"","family":"Wang","given":"Jianhua","non-dropping-particle":"","parse-names":false,"suffix":""}],"container-title":"American journal of ophthalmology","id":"ITEM-1","issued":{"date-parts":[["2020","5"]]},"language":"eng","page":"34-45","title":"Visual Function and Disability Are Associated with Increased Retinal Volumetric  Vessel Density in Patients with Multiple Sclerosis.","type":"article-journal","volume":"213"},"uris":["http://www.mendeley.com/documents/?uuid=81b50245-e045-4640-bf11-a3a858582b44"]}],"mendeley":{"formattedCitation":"[57]","plainTextFormattedCitation":"[57]","previouslyFormattedCitation":"(57)"},"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[57]</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5D8D3180"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907" w:type="dxa"/>
            <w:tcBorders>
              <w:top w:val="nil"/>
              <w:left w:val="nil"/>
              <w:bottom w:val="single" w:sz="4" w:space="0" w:color="auto"/>
              <w:right w:val="single" w:sz="4" w:space="0" w:color="auto"/>
            </w:tcBorders>
            <w:shd w:val="clear" w:color="auto" w:fill="auto"/>
            <w:noWrap/>
            <w:vAlign w:val="bottom"/>
          </w:tcPr>
          <w:p w14:paraId="0CB0DC50"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717" w:type="dxa"/>
            <w:tcBorders>
              <w:top w:val="nil"/>
              <w:left w:val="nil"/>
              <w:bottom w:val="single" w:sz="4" w:space="0" w:color="auto"/>
              <w:right w:val="single" w:sz="4" w:space="0" w:color="auto"/>
            </w:tcBorders>
            <w:shd w:val="clear" w:color="auto" w:fill="auto"/>
            <w:noWrap/>
          </w:tcPr>
          <w:p w14:paraId="7800903F" w14:textId="77777777" w:rsidR="00845B3C" w:rsidRPr="001E30AA" w:rsidRDefault="00845B3C" w:rsidP="003C1751">
            <w:pPr>
              <w:jc w:val="center"/>
              <w:rPr>
                <w:rFonts w:ascii="Arial" w:eastAsia="Times New Roman" w:hAnsi="Arial" w:cs="Arial"/>
                <w:color w:val="000000"/>
                <w:sz w:val="18"/>
                <w:szCs w:val="18"/>
                <w:lang w:eastAsia="en-GB"/>
              </w:rPr>
            </w:pPr>
            <w:r w:rsidRPr="00E9232A">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48AAC104" w14:textId="77777777" w:rsidR="00845B3C" w:rsidRPr="001E30AA" w:rsidRDefault="00845B3C" w:rsidP="003C1751">
            <w:pPr>
              <w:jc w:val="center"/>
              <w:rPr>
                <w:rFonts w:ascii="Arial" w:eastAsia="Times New Roman" w:hAnsi="Arial" w:cs="Arial"/>
                <w:color w:val="000000"/>
                <w:sz w:val="18"/>
                <w:szCs w:val="18"/>
                <w:lang w:eastAsia="en-GB"/>
              </w:rPr>
            </w:pPr>
            <w:r w:rsidRPr="00E9232A">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9BB814E" w14:textId="77777777" w:rsidR="00845B3C" w:rsidRPr="001E30AA" w:rsidRDefault="00845B3C" w:rsidP="003C1751">
            <w:pPr>
              <w:jc w:val="center"/>
              <w:rPr>
                <w:rFonts w:ascii="Arial" w:eastAsia="Times New Roman" w:hAnsi="Arial" w:cs="Arial"/>
                <w:color w:val="000000"/>
                <w:sz w:val="18"/>
                <w:szCs w:val="18"/>
                <w:lang w:eastAsia="en-GB"/>
              </w:rPr>
            </w:pPr>
            <w:r w:rsidRPr="00E9232A">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vAlign w:val="bottom"/>
          </w:tcPr>
          <w:p w14:paraId="095C78C9"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717" w:type="dxa"/>
            <w:tcBorders>
              <w:top w:val="nil"/>
              <w:left w:val="nil"/>
              <w:bottom w:val="single" w:sz="4" w:space="0" w:color="auto"/>
              <w:right w:val="single" w:sz="4" w:space="0" w:color="auto"/>
            </w:tcBorders>
            <w:shd w:val="clear" w:color="auto" w:fill="auto"/>
            <w:noWrap/>
          </w:tcPr>
          <w:p w14:paraId="3B927CA1" w14:textId="77777777" w:rsidR="00845B3C" w:rsidRPr="001E30AA" w:rsidRDefault="00845B3C" w:rsidP="003C1751">
            <w:pPr>
              <w:jc w:val="center"/>
              <w:rPr>
                <w:rFonts w:ascii="Arial" w:eastAsia="Times New Roman" w:hAnsi="Arial" w:cs="Arial"/>
                <w:color w:val="000000"/>
                <w:sz w:val="18"/>
                <w:szCs w:val="18"/>
                <w:lang w:eastAsia="en-GB"/>
              </w:rPr>
            </w:pPr>
            <w:r w:rsidRPr="006A4EB6">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7DC3FC82" w14:textId="77777777" w:rsidR="00845B3C" w:rsidRPr="001E30AA" w:rsidRDefault="00845B3C" w:rsidP="003C1751">
            <w:pPr>
              <w:jc w:val="center"/>
              <w:rPr>
                <w:rFonts w:ascii="Arial" w:eastAsia="Times New Roman" w:hAnsi="Arial" w:cs="Arial"/>
                <w:color w:val="000000"/>
                <w:sz w:val="18"/>
                <w:szCs w:val="18"/>
                <w:lang w:eastAsia="en-GB"/>
              </w:rPr>
            </w:pPr>
            <w:r w:rsidRPr="006A4EB6">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2BB0721" w14:textId="77777777" w:rsidR="00845B3C" w:rsidRPr="001E30AA" w:rsidRDefault="00845B3C" w:rsidP="003C1751">
            <w:pPr>
              <w:jc w:val="center"/>
              <w:rPr>
                <w:rFonts w:ascii="Arial" w:eastAsia="Times New Roman" w:hAnsi="Arial" w:cs="Arial"/>
                <w:color w:val="000000"/>
                <w:sz w:val="18"/>
                <w:szCs w:val="18"/>
                <w:lang w:eastAsia="en-GB"/>
              </w:rPr>
            </w:pPr>
            <w:r w:rsidRPr="006A4EB6">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3C0D593A"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1207" w:type="dxa"/>
            <w:tcBorders>
              <w:top w:val="nil"/>
              <w:left w:val="nil"/>
              <w:bottom w:val="single" w:sz="4" w:space="0" w:color="auto"/>
              <w:right w:val="single" w:sz="4" w:space="0" w:color="auto"/>
            </w:tcBorders>
            <w:shd w:val="clear" w:color="auto" w:fill="auto"/>
            <w:noWrap/>
            <w:vAlign w:val="bottom"/>
          </w:tcPr>
          <w:p w14:paraId="6724D08C"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vAlign w:val="bottom"/>
          </w:tcPr>
          <w:p w14:paraId="0A6179D5" w14:textId="77777777" w:rsidR="00845B3C" w:rsidRPr="001E30AA" w:rsidRDefault="00845B3C" w:rsidP="003C1751">
            <w:pPr>
              <w:jc w:val="center"/>
              <w:rPr>
                <w:rFonts w:ascii="Arial" w:eastAsia="Times New Roman" w:hAnsi="Arial" w:cs="Arial"/>
                <w:color w:val="000000"/>
                <w:sz w:val="18"/>
                <w:szCs w:val="18"/>
                <w:lang w:eastAsia="en-GB"/>
              </w:rPr>
            </w:pPr>
            <w:r w:rsidRPr="005207AA">
              <w:rPr>
                <w:rFonts w:ascii="Arial" w:eastAsia="Times New Roman" w:hAnsi="Arial" w:cs="Arial"/>
                <w:color w:val="000000"/>
                <w:sz w:val="18"/>
                <w:szCs w:val="18"/>
                <w:lang w:eastAsia="en-GB"/>
              </w:rPr>
              <w:t>3 x 3mm2</w:t>
            </w:r>
          </w:p>
        </w:tc>
        <w:tc>
          <w:tcPr>
            <w:tcW w:w="1534" w:type="dxa"/>
            <w:tcBorders>
              <w:top w:val="nil"/>
              <w:left w:val="nil"/>
              <w:bottom w:val="single" w:sz="4" w:space="0" w:color="auto"/>
              <w:right w:val="single" w:sz="4" w:space="0" w:color="auto"/>
            </w:tcBorders>
            <w:shd w:val="clear" w:color="auto" w:fill="auto"/>
            <w:noWrap/>
            <w:vAlign w:val="bottom"/>
          </w:tcPr>
          <w:p w14:paraId="588B943A"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r>
      <w:tr w:rsidR="00845B3C" w:rsidRPr="001E30AA" w14:paraId="09A54FE1"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26596447"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Farci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{"citationItems":[{"id":"ITEM-1","itemData":{"DOI":"10.1371/journal.pone.0236090","ISSN":"1932-6203 (Electronic)","PMID":"32702050","abstract":"OBJECTIVES: To evaluate retinal axonal density and retinal capillary flow density  (CFD) variations in patients affected by multiple sclerosis (MS) as documented by Optical Coherence Tomography Angiography (OCT-A). MATERIAL AND METHODS: A cross-sectional study was performed in a tertiary university eye hospital on 94 eyes from 48 MS patients compared to 37 eyes from 23 matched controls. MS patients were divided in two groups: those with previous episodes of optic neuritis (MS ON+, 71.4%) and those without any previous visual complaint (no optic neuritis group, MS ON, 28.6%). Patients underwent macular and optic nerve head OCT-A with Optovue XR Avanti (Optovue, Freemont, California) after that preliminary evaluation of the ganglion cell complex (GCC) and of the retinal nerve fiber layer (RNFL) was achieved for each single eye by SD-OCT. CFD was evaluated in three different retinal layers of MS patients and controls: superficial capillary plexus (SCP), deep capillary plexus (DCP) and the choriocapillaris layer (CL). Each layer was analyzed in 18 preset subregions automatically detected by the system. CFD values were then correlated to the RNFL thickness and GCC thickness in the groups: p values were computed by t-tests between each group of MS patients and controls. A p-value of &lt;0.05 was considered significant. RESULTS: A significant difference in the overall CFD values was found between ON+ and ON- patients when compared to controls in 18 subregions of SCP. Furthermore, a significant difference was found between MS patients and controls in 16 subregions analyzed corresponding to the CL layer without difference between the two MS subgroups (ON+ and ON-). CONCLUSIONS: OCT-A when performed at the optic nerve head level and at the macular region is characterized by a reduction of retinal perfusion in a significant portion of MS patients independently if they had a previous history of optic nerve inflammation or not.","author":[{"dropping-particle":"","family":"Farci","given":"Roberta","non-dropping-particle":"","parse-names":false,"suffix":""},{"dropping-particle":"","family":"Carta","given":"Arturo","non-dropping-particle":"","parse-names":false,"suffix":""},{"dropping-particle":"","family":"Cocco","given":"Eleonora","non-dropping-particle":"","parse-names":false,"suffix":""},{"dropping-particle":"","family":"Frau","given":"Jessica","non-dropping-particle":"","parse-names":false,"suffix":""},{"dropping-particle":"","family":"Fossarello","given":"Maurizio","non-dropping-particle":"","parse-names":false,"suffix":""},{"dropping-particle":"","family":"Diaz","given":"Giacom","non-dropping-particle":"","parse-names":false,"suffix":""}],"container-title":"PloS one","id":"ITEM-1","issue":"7","issued":{"date-parts":[["2020"]]},"language":"eng","page":"e0236090","title":"Optical coherence tomography angiography in multiple sclerosis: A cross-sectional  study.","type":"article-journal","volume":"15"},"uris":["http://www.mendeley.com/documents/?uuid=f6f0401b-0c3b-49fd-a758-d128e5584eb2"]}],"mendeley":{"formattedCitation":"[52]","plainTextFormattedCitation":"[52]","previouslyFormattedCitation":"(52)"},"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[52]</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4E68C80A"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6 x 6mm2</w:t>
            </w:r>
          </w:p>
        </w:tc>
        <w:tc>
          <w:tcPr>
            <w:tcW w:w="907" w:type="dxa"/>
            <w:tcBorders>
              <w:top w:val="nil"/>
              <w:left w:val="nil"/>
              <w:bottom w:val="single" w:sz="4" w:space="0" w:color="auto"/>
              <w:right w:val="single" w:sz="4" w:space="0" w:color="auto"/>
            </w:tcBorders>
            <w:shd w:val="clear" w:color="auto" w:fill="auto"/>
            <w:noWrap/>
          </w:tcPr>
          <w:p w14:paraId="24CF1614"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717" w:type="dxa"/>
            <w:tcBorders>
              <w:top w:val="nil"/>
              <w:left w:val="nil"/>
              <w:bottom w:val="single" w:sz="4" w:space="0" w:color="auto"/>
              <w:right w:val="single" w:sz="4" w:space="0" w:color="auto"/>
            </w:tcBorders>
            <w:shd w:val="clear" w:color="auto" w:fill="auto"/>
            <w:noWrap/>
          </w:tcPr>
          <w:p w14:paraId="378ECD11"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1037" w:type="dxa"/>
            <w:tcBorders>
              <w:top w:val="nil"/>
              <w:left w:val="nil"/>
              <w:bottom w:val="single" w:sz="4" w:space="0" w:color="auto"/>
              <w:right w:val="single" w:sz="4" w:space="0" w:color="auto"/>
            </w:tcBorders>
            <w:shd w:val="clear" w:color="auto" w:fill="auto"/>
            <w:noWrap/>
          </w:tcPr>
          <w:p w14:paraId="7C5DC9CF" w14:textId="77777777" w:rsidR="00845B3C" w:rsidRPr="001E30AA" w:rsidRDefault="00845B3C" w:rsidP="003C1751">
            <w:pPr>
              <w:jc w:val="center"/>
              <w:rPr>
                <w:rFonts w:ascii="Arial" w:eastAsia="Times New Roman" w:hAnsi="Arial" w:cs="Arial"/>
                <w:i/>
                <w:iCs/>
                <w:color w:val="000000"/>
                <w:sz w:val="18"/>
                <w:szCs w:val="18"/>
                <w:lang w:eastAsia="en-GB"/>
              </w:rPr>
            </w:pPr>
            <w:r w:rsidRPr="007905E0">
              <w:rPr>
                <w:rFonts w:ascii="Arial" w:eastAsia="Times New Roman" w:hAnsi="Arial" w:cs="Arial"/>
                <w:color w:val="000000"/>
                <w:sz w:val="18"/>
                <w:szCs w:val="18"/>
                <w:lang w:eastAsia="en-GB"/>
              </w:rPr>
              <w:t>6 x 6mm2</w:t>
            </w:r>
          </w:p>
        </w:tc>
        <w:tc>
          <w:tcPr>
            <w:tcW w:w="977" w:type="dxa"/>
            <w:tcBorders>
              <w:top w:val="nil"/>
              <w:left w:val="nil"/>
              <w:bottom w:val="single" w:sz="4" w:space="0" w:color="auto"/>
              <w:right w:val="single" w:sz="4" w:space="0" w:color="auto"/>
            </w:tcBorders>
            <w:shd w:val="clear" w:color="auto" w:fill="auto"/>
            <w:noWrap/>
          </w:tcPr>
          <w:p w14:paraId="3513F2BA" w14:textId="77777777" w:rsidR="00845B3C" w:rsidRPr="001E30AA" w:rsidRDefault="00845B3C" w:rsidP="003C1751">
            <w:pPr>
              <w:jc w:val="center"/>
              <w:rPr>
                <w:rFonts w:ascii="Arial" w:eastAsia="Times New Roman" w:hAnsi="Arial" w:cs="Arial"/>
                <w:i/>
                <w:iCs/>
                <w:color w:val="000000"/>
                <w:sz w:val="18"/>
                <w:szCs w:val="18"/>
                <w:lang w:eastAsia="en-GB"/>
              </w:rPr>
            </w:pPr>
            <w:r w:rsidRPr="007905E0">
              <w:rPr>
                <w:rFonts w:ascii="Arial" w:eastAsia="Times New Roman" w:hAnsi="Arial" w:cs="Arial"/>
                <w:color w:val="000000"/>
                <w:sz w:val="18"/>
                <w:szCs w:val="18"/>
                <w:lang w:eastAsia="en-GB"/>
              </w:rPr>
              <w:t>6 x 6mm2</w:t>
            </w:r>
          </w:p>
        </w:tc>
        <w:tc>
          <w:tcPr>
            <w:tcW w:w="907" w:type="dxa"/>
            <w:tcBorders>
              <w:top w:val="nil"/>
              <w:left w:val="nil"/>
              <w:bottom w:val="single" w:sz="4" w:space="0" w:color="auto"/>
              <w:right w:val="single" w:sz="4" w:space="0" w:color="auto"/>
            </w:tcBorders>
            <w:shd w:val="clear" w:color="auto" w:fill="auto"/>
            <w:noWrap/>
          </w:tcPr>
          <w:p w14:paraId="59538C08"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717" w:type="dxa"/>
            <w:tcBorders>
              <w:top w:val="nil"/>
              <w:left w:val="nil"/>
              <w:bottom w:val="single" w:sz="4" w:space="0" w:color="auto"/>
              <w:right w:val="single" w:sz="4" w:space="0" w:color="auto"/>
            </w:tcBorders>
            <w:shd w:val="clear" w:color="auto" w:fill="auto"/>
            <w:noWrap/>
          </w:tcPr>
          <w:p w14:paraId="752FED2A"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1037" w:type="dxa"/>
            <w:tcBorders>
              <w:top w:val="nil"/>
              <w:left w:val="nil"/>
              <w:bottom w:val="single" w:sz="4" w:space="0" w:color="auto"/>
              <w:right w:val="single" w:sz="4" w:space="0" w:color="auto"/>
            </w:tcBorders>
            <w:shd w:val="clear" w:color="auto" w:fill="auto"/>
            <w:noWrap/>
          </w:tcPr>
          <w:p w14:paraId="4AAA516E"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977" w:type="dxa"/>
            <w:tcBorders>
              <w:top w:val="nil"/>
              <w:left w:val="nil"/>
              <w:bottom w:val="single" w:sz="4" w:space="0" w:color="auto"/>
              <w:right w:val="single" w:sz="4" w:space="0" w:color="auto"/>
            </w:tcBorders>
            <w:shd w:val="clear" w:color="auto" w:fill="auto"/>
            <w:noWrap/>
          </w:tcPr>
          <w:p w14:paraId="0302B577"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1207" w:type="dxa"/>
            <w:tcBorders>
              <w:top w:val="nil"/>
              <w:left w:val="nil"/>
              <w:bottom w:val="single" w:sz="4" w:space="0" w:color="auto"/>
              <w:right w:val="single" w:sz="4" w:space="0" w:color="auto"/>
            </w:tcBorders>
            <w:shd w:val="clear" w:color="000000" w:fill="F2F2F2"/>
          </w:tcPr>
          <w:p w14:paraId="19F85B2B" w14:textId="77777777" w:rsidR="00845B3C" w:rsidRPr="001E30AA" w:rsidRDefault="00845B3C" w:rsidP="003C1751">
            <w:pPr>
              <w:jc w:val="center"/>
              <w:rPr>
                <w:rFonts w:ascii="Arial" w:eastAsia="Times New Roman" w:hAnsi="Arial" w:cs="Arial"/>
                <w:color w:val="000000"/>
                <w:sz w:val="18"/>
                <w:szCs w:val="18"/>
                <w:lang w:eastAsia="en-GB"/>
              </w:rPr>
            </w:pPr>
            <w:r w:rsidRPr="007905E0">
              <w:rPr>
                <w:rFonts w:ascii="Arial" w:eastAsia="Times New Roman" w:hAnsi="Arial" w:cs="Arial"/>
                <w:color w:val="000000"/>
                <w:sz w:val="18"/>
                <w:szCs w:val="18"/>
                <w:lang w:eastAsia="en-GB"/>
              </w:rPr>
              <w:t>6 x 6mm2</w:t>
            </w:r>
          </w:p>
        </w:tc>
        <w:tc>
          <w:tcPr>
            <w:tcW w:w="1207" w:type="dxa"/>
            <w:tcBorders>
              <w:top w:val="nil"/>
              <w:left w:val="nil"/>
              <w:bottom w:val="single" w:sz="4" w:space="0" w:color="auto"/>
              <w:right w:val="single" w:sz="4" w:space="0" w:color="auto"/>
            </w:tcBorders>
            <w:shd w:val="clear" w:color="auto" w:fill="auto"/>
            <w:noWrap/>
          </w:tcPr>
          <w:p w14:paraId="67CE384B" w14:textId="77777777" w:rsidR="00845B3C" w:rsidRPr="001E30AA" w:rsidRDefault="00845B3C" w:rsidP="003C1751">
            <w:pPr>
              <w:jc w:val="center"/>
              <w:rPr>
                <w:rFonts w:ascii="Arial" w:eastAsia="Times New Roman" w:hAnsi="Arial" w:cs="Arial"/>
                <w:color w:val="000000"/>
                <w:sz w:val="18"/>
                <w:szCs w:val="18"/>
                <w:lang w:eastAsia="en-GB"/>
              </w:rPr>
            </w:pPr>
            <w:r w:rsidRPr="00461CDC">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6D528483" w14:textId="77777777" w:rsidR="00845B3C" w:rsidRPr="001E30AA" w:rsidRDefault="00845B3C" w:rsidP="003C1751">
            <w:pPr>
              <w:jc w:val="center"/>
              <w:rPr>
                <w:rFonts w:ascii="Arial" w:eastAsia="Times New Roman" w:hAnsi="Arial" w:cs="Arial"/>
                <w:color w:val="000000"/>
                <w:sz w:val="18"/>
                <w:szCs w:val="18"/>
                <w:lang w:eastAsia="en-GB"/>
              </w:rPr>
            </w:pPr>
            <w:r w:rsidRPr="00461CDC">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11B28BAE" w14:textId="77777777" w:rsidR="00845B3C" w:rsidRPr="001E30AA" w:rsidRDefault="00845B3C" w:rsidP="003C1751">
            <w:pPr>
              <w:jc w:val="center"/>
              <w:rPr>
                <w:rFonts w:ascii="Arial" w:eastAsia="Times New Roman" w:hAnsi="Arial" w:cs="Arial"/>
                <w:color w:val="000000"/>
                <w:sz w:val="18"/>
                <w:szCs w:val="18"/>
                <w:lang w:eastAsia="en-GB"/>
              </w:rPr>
            </w:pPr>
            <w:r w:rsidRPr="00461CDC">
              <w:rPr>
                <w:rFonts w:ascii="Arial" w:eastAsia="Times New Roman" w:hAnsi="Arial" w:cs="Arial"/>
                <w:b/>
                <w:bCs/>
                <w:color w:val="000000"/>
                <w:sz w:val="18"/>
                <w:szCs w:val="18"/>
                <w:lang w:eastAsia="en-GB"/>
              </w:rPr>
              <w:t>-</w:t>
            </w:r>
          </w:p>
        </w:tc>
      </w:tr>
      <w:tr w:rsidR="00845B3C" w:rsidRPr="001E30AA" w14:paraId="0C8B20A8"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25F63106"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Cordon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{"citationItems":[{"id":"ITEM-1","itemData":{"DOI":"10.1371/journal.pone.0243236","ISSN":"1932-6203 (Electronic)","PMID":"33290417","abstract":"PURPOSE: To investigate superficial retinal microvascular plexuses detected by  optical coherence tomography angiography (OCT-A) in multiple sclerosis (MS) subjects and compare them with healthy controls. METHODS: A total of 92 eyes from 92 patients with relapsing-remitting MS and 149 control eyes were included in this prospective observational study. OCT-A imaging was performed using Triton Swept-Source OCT (Topcon Corporation, Japan). The vessel density (VD) percentage in the superficial retinal plexus and optic disc area (6 x 6 mm grid) was measured and compared between groups. RESULTS: MS patients showed a significant decrease VD in the superior (p = 0.005), nasal (p = 0.029) and inferior (p = 0.040) parafoveal retina compared with healthy subjects. Patients with disease durations of more than 5 years presented lower VD in the superior (p = 0.002), nasal (p = 0.017) and inferior (p = 0.022) parafoveal areas compared with healthy subjects. Patients with past optic neuritis episodes did not show retinal microvasculature alterations, but patients with an EDSS score of less than 3 showed a significant decrease in nasal (p = 0.024) and superior (p = 0.006) perifoveal VD when compared with healthy subjects. CONCLUSIONS: MS produces a decrease in retinal vascularization density in the superficial plexus of the parafoveal retina. Alterations in retinal vascularization observed in MS patients are independent of the presence of optic nerve inflammation. OCT-A has the ability to detect subclinical vascular changes and is a potential biomarker for diagnosing the presence and progression of MS.","author":[{"dropping-particle":"","family":"Cordon","given":"Beatriz","non-dropping-particle":"","parse-names":false,"suffix":""},{"dropping-particle":"","family":"Vilades","given":"Elisa","non-dropping-particle":"","parse-names":false,"suffix":""},{"dropping-particle":"","family":"Orduna","given":"Elvira","non-dropping-particle":"","parse-names":false,"suffix":""},{"dropping-particle":"","family":"Satue","given":"María","non-dropping-particle":"","parse-names":false,"suffix":""},{"dropping-particle":"","family":"Perez-Velilla","given":"Javier","non-dropping-particle":"","parse-names":false,"suffix":""},{"dropping-particle":"","family":"Sebastian","given":"Berta","non-dropping-particle":"","parse-names":false,"suffix":""},{"dropping-particle":"","family":"Polo","given":"Vicente","non-dropping-particle":"","parse-names":false,"suffix":""},{"dropping-particle":"","family":"Larrosa","given":"Jose Manuel","non-dropping-particle":"","parse-names":false,"suffix":""},{"dropping-particle":"","family":"Pablo","given":"Luis Emilio","non-dropping-particle":"","parse-names":false,"suffix":""},{"dropping-particle":"","family":"Garcia-Martin","given":"Elena","non-dropping-particle":"","parse-names":false,"suffix":""}],"container-title":"PloS one","id":"ITEM-1","issue":"12","issued":{"date-parts":[["2020"]]},"language":"eng","page":"e0243236","title":"Angiography with optical coherence tomography as a biomarker in multiple sclerosis.","type":"article-journal","volume":"15"},"uris":["http://www.mendeley.com/documents/?uuid=b6bffcf4-c072-416b-bf62-3dfa5f6d10e6"]}],"mendeley":{"formattedCitation":"[53]","plainTextFormattedCitation":"[53]","previouslyFormattedCitation":"(53)"},"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[53]</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tcPr>
          <w:p w14:paraId="70C37530" w14:textId="77777777" w:rsidR="00845B3C" w:rsidRPr="001E30AA" w:rsidRDefault="00845B3C" w:rsidP="003C1751">
            <w:pPr>
              <w:jc w:val="center"/>
              <w:rPr>
                <w:rFonts w:ascii="Arial" w:eastAsia="Times New Roman" w:hAnsi="Arial" w:cs="Arial"/>
                <w:color w:val="000000"/>
                <w:sz w:val="18"/>
                <w:szCs w:val="18"/>
                <w:lang w:eastAsia="en-GB"/>
              </w:rPr>
            </w:pPr>
            <w:r w:rsidRPr="001A7D63">
              <w:rPr>
                <w:rFonts w:ascii="Arial" w:eastAsia="Times New Roman" w:hAnsi="Arial" w:cs="Arial"/>
                <w:color w:val="000000"/>
                <w:sz w:val="18"/>
                <w:szCs w:val="18"/>
                <w:lang w:eastAsia="en-GB"/>
              </w:rPr>
              <w:t>6 x 6mm2</w:t>
            </w:r>
          </w:p>
        </w:tc>
        <w:tc>
          <w:tcPr>
            <w:tcW w:w="907" w:type="dxa"/>
            <w:tcBorders>
              <w:top w:val="nil"/>
              <w:left w:val="nil"/>
              <w:bottom w:val="single" w:sz="4" w:space="0" w:color="auto"/>
              <w:right w:val="single" w:sz="4" w:space="0" w:color="auto"/>
            </w:tcBorders>
            <w:shd w:val="clear" w:color="auto" w:fill="auto"/>
            <w:noWrap/>
          </w:tcPr>
          <w:p w14:paraId="1573B39E" w14:textId="77777777" w:rsidR="00845B3C" w:rsidRPr="001E30AA" w:rsidRDefault="00845B3C" w:rsidP="003C1751">
            <w:pPr>
              <w:jc w:val="center"/>
              <w:rPr>
                <w:rFonts w:ascii="Arial" w:eastAsia="Times New Roman" w:hAnsi="Arial" w:cs="Arial"/>
                <w:color w:val="000000"/>
                <w:sz w:val="18"/>
                <w:szCs w:val="18"/>
                <w:lang w:eastAsia="en-GB"/>
              </w:rPr>
            </w:pPr>
            <w:r w:rsidRPr="001A7D63">
              <w:rPr>
                <w:rFonts w:ascii="Arial" w:eastAsia="Times New Roman" w:hAnsi="Arial" w:cs="Arial"/>
                <w:color w:val="000000"/>
                <w:sz w:val="18"/>
                <w:szCs w:val="18"/>
                <w:lang w:eastAsia="en-GB"/>
              </w:rPr>
              <w:t>6 x 6mm2</w:t>
            </w:r>
          </w:p>
        </w:tc>
        <w:tc>
          <w:tcPr>
            <w:tcW w:w="717" w:type="dxa"/>
            <w:tcBorders>
              <w:top w:val="nil"/>
              <w:left w:val="nil"/>
              <w:bottom w:val="single" w:sz="4" w:space="0" w:color="auto"/>
              <w:right w:val="single" w:sz="4" w:space="0" w:color="auto"/>
            </w:tcBorders>
            <w:shd w:val="clear" w:color="auto" w:fill="auto"/>
            <w:noWrap/>
          </w:tcPr>
          <w:p w14:paraId="12BE6D92" w14:textId="77777777" w:rsidR="00845B3C" w:rsidRPr="001E30AA" w:rsidRDefault="00845B3C" w:rsidP="003C1751">
            <w:pPr>
              <w:jc w:val="center"/>
              <w:rPr>
                <w:rFonts w:ascii="Arial" w:eastAsia="Times New Roman" w:hAnsi="Arial" w:cs="Arial"/>
                <w:color w:val="000000"/>
                <w:sz w:val="18"/>
                <w:szCs w:val="18"/>
                <w:lang w:eastAsia="en-GB"/>
              </w:rPr>
            </w:pPr>
            <w:r w:rsidRPr="001A7D63">
              <w:rPr>
                <w:rFonts w:ascii="Arial" w:eastAsia="Times New Roman" w:hAnsi="Arial" w:cs="Arial"/>
                <w:color w:val="000000"/>
                <w:sz w:val="18"/>
                <w:szCs w:val="18"/>
                <w:lang w:eastAsia="en-GB"/>
              </w:rPr>
              <w:t>6 x 6mm2</w:t>
            </w:r>
          </w:p>
        </w:tc>
        <w:tc>
          <w:tcPr>
            <w:tcW w:w="1037" w:type="dxa"/>
            <w:tcBorders>
              <w:top w:val="nil"/>
              <w:left w:val="nil"/>
              <w:bottom w:val="single" w:sz="4" w:space="0" w:color="auto"/>
              <w:right w:val="single" w:sz="4" w:space="0" w:color="auto"/>
            </w:tcBorders>
            <w:shd w:val="clear" w:color="auto" w:fill="auto"/>
            <w:noWrap/>
          </w:tcPr>
          <w:p w14:paraId="2E7E4438" w14:textId="77777777" w:rsidR="00845B3C" w:rsidRPr="001E30AA" w:rsidRDefault="00845B3C" w:rsidP="003C1751">
            <w:pPr>
              <w:jc w:val="center"/>
              <w:rPr>
                <w:rFonts w:ascii="Arial" w:eastAsia="Times New Roman" w:hAnsi="Arial" w:cs="Arial"/>
                <w:color w:val="000000"/>
                <w:sz w:val="18"/>
                <w:szCs w:val="18"/>
                <w:lang w:eastAsia="en-GB"/>
              </w:rPr>
            </w:pPr>
            <w:r w:rsidRPr="001A7D63">
              <w:rPr>
                <w:rFonts w:ascii="Arial" w:eastAsia="Times New Roman" w:hAnsi="Arial" w:cs="Arial"/>
                <w:color w:val="000000"/>
                <w:sz w:val="18"/>
                <w:szCs w:val="18"/>
                <w:lang w:eastAsia="en-GB"/>
              </w:rPr>
              <w:t>6 x 6mm2</w:t>
            </w:r>
          </w:p>
        </w:tc>
        <w:tc>
          <w:tcPr>
            <w:tcW w:w="977" w:type="dxa"/>
            <w:tcBorders>
              <w:top w:val="nil"/>
              <w:left w:val="nil"/>
              <w:bottom w:val="single" w:sz="4" w:space="0" w:color="auto"/>
              <w:right w:val="single" w:sz="4" w:space="0" w:color="auto"/>
            </w:tcBorders>
            <w:shd w:val="clear" w:color="auto" w:fill="auto"/>
            <w:noWrap/>
          </w:tcPr>
          <w:p w14:paraId="3D0BEB71" w14:textId="77777777" w:rsidR="00845B3C" w:rsidRPr="001E30AA" w:rsidRDefault="00845B3C" w:rsidP="003C1751">
            <w:pPr>
              <w:jc w:val="center"/>
              <w:rPr>
                <w:rFonts w:ascii="Arial" w:eastAsia="Times New Roman" w:hAnsi="Arial" w:cs="Arial"/>
                <w:color w:val="000000"/>
                <w:sz w:val="18"/>
                <w:szCs w:val="18"/>
                <w:lang w:eastAsia="en-GB"/>
              </w:rPr>
            </w:pPr>
            <w:r w:rsidRPr="001A7D63">
              <w:rPr>
                <w:rFonts w:ascii="Arial" w:eastAsia="Times New Roman" w:hAnsi="Arial" w:cs="Arial"/>
                <w:color w:val="000000"/>
                <w:sz w:val="18"/>
                <w:szCs w:val="18"/>
                <w:lang w:eastAsia="en-GB"/>
              </w:rPr>
              <w:t>6 x 6mm2</w:t>
            </w:r>
          </w:p>
        </w:tc>
        <w:tc>
          <w:tcPr>
            <w:tcW w:w="907" w:type="dxa"/>
            <w:tcBorders>
              <w:top w:val="nil"/>
              <w:left w:val="nil"/>
              <w:bottom w:val="single" w:sz="4" w:space="0" w:color="auto"/>
              <w:right w:val="single" w:sz="4" w:space="0" w:color="auto"/>
            </w:tcBorders>
            <w:shd w:val="clear" w:color="auto" w:fill="auto"/>
            <w:noWrap/>
          </w:tcPr>
          <w:p w14:paraId="0D541264" w14:textId="77777777" w:rsidR="00845B3C" w:rsidRPr="001E30AA" w:rsidRDefault="00845B3C" w:rsidP="003C1751">
            <w:pPr>
              <w:jc w:val="center"/>
              <w:rPr>
                <w:rFonts w:ascii="Arial" w:eastAsia="Times New Roman" w:hAnsi="Arial" w:cs="Arial"/>
                <w:color w:val="000000"/>
                <w:sz w:val="18"/>
                <w:szCs w:val="18"/>
                <w:lang w:eastAsia="en-GB"/>
              </w:rPr>
            </w:pPr>
            <w:r w:rsidRPr="00DB2C19">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6D522C9D" w14:textId="77777777" w:rsidR="00845B3C" w:rsidRPr="001E30AA" w:rsidRDefault="00845B3C" w:rsidP="003C1751">
            <w:pPr>
              <w:jc w:val="center"/>
              <w:rPr>
                <w:rFonts w:ascii="Arial" w:eastAsia="Times New Roman" w:hAnsi="Arial" w:cs="Arial"/>
                <w:color w:val="000000"/>
                <w:sz w:val="18"/>
                <w:szCs w:val="18"/>
                <w:lang w:eastAsia="en-GB"/>
              </w:rPr>
            </w:pPr>
            <w:r w:rsidRPr="00DB2C19">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04867C46" w14:textId="77777777" w:rsidR="00845B3C" w:rsidRPr="001E30AA" w:rsidRDefault="00845B3C" w:rsidP="003C1751">
            <w:pPr>
              <w:jc w:val="center"/>
              <w:rPr>
                <w:rFonts w:ascii="Arial" w:eastAsia="Times New Roman" w:hAnsi="Arial" w:cs="Arial"/>
                <w:color w:val="000000"/>
                <w:sz w:val="18"/>
                <w:szCs w:val="18"/>
                <w:lang w:eastAsia="en-GB"/>
              </w:rPr>
            </w:pPr>
            <w:r w:rsidRPr="00DB2C19">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365A3903" w14:textId="77777777" w:rsidR="00845B3C" w:rsidRPr="001E30AA" w:rsidRDefault="00845B3C" w:rsidP="003C1751">
            <w:pPr>
              <w:jc w:val="center"/>
              <w:rPr>
                <w:rFonts w:ascii="Arial" w:eastAsia="Times New Roman" w:hAnsi="Arial" w:cs="Arial"/>
                <w:color w:val="000000"/>
                <w:sz w:val="18"/>
                <w:szCs w:val="18"/>
                <w:lang w:eastAsia="en-GB"/>
              </w:rPr>
            </w:pPr>
            <w:r w:rsidRPr="00DB2C19">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3E49E8AE"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6 x 6mm2</w:t>
            </w:r>
          </w:p>
        </w:tc>
        <w:tc>
          <w:tcPr>
            <w:tcW w:w="1207" w:type="dxa"/>
            <w:tcBorders>
              <w:top w:val="nil"/>
              <w:left w:val="nil"/>
              <w:bottom w:val="single" w:sz="4" w:space="0" w:color="auto"/>
              <w:right w:val="single" w:sz="4" w:space="0" w:color="auto"/>
            </w:tcBorders>
            <w:shd w:val="clear" w:color="auto" w:fill="auto"/>
            <w:noWrap/>
            <w:vAlign w:val="bottom"/>
          </w:tcPr>
          <w:p w14:paraId="347024B7"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vAlign w:val="bottom"/>
          </w:tcPr>
          <w:p w14:paraId="4D3D6196" w14:textId="77777777" w:rsidR="00845B3C" w:rsidRPr="001E30AA" w:rsidRDefault="00845B3C" w:rsidP="003C1751">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6 x 6mm2</w:t>
            </w:r>
          </w:p>
        </w:tc>
        <w:tc>
          <w:tcPr>
            <w:tcW w:w="1534" w:type="dxa"/>
            <w:tcBorders>
              <w:top w:val="nil"/>
              <w:left w:val="nil"/>
              <w:bottom w:val="single" w:sz="4" w:space="0" w:color="auto"/>
              <w:right w:val="single" w:sz="4" w:space="0" w:color="auto"/>
            </w:tcBorders>
            <w:shd w:val="clear" w:color="auto" w:fill="auto"/>
            <w:noWrap/>
            <w:vAlign w:val="bottom"/>
          </w:tcPr>
          <w:p w14:paraId="46D5A0EB"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r>
      <w:tr w:rsidR="00845B3C" w:rsidRPr="001E30AA" w14:paraId="174A4E3D"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507072DF" w14:textId="77777777" w:rsidR="00845B3C" w:rsidRPr="001E30AA" w:rsidRDefault="00845B3C" w:rsidP="003C1751">
            <w:pPr>
              <w:jc w:val="center"/>
              <w:rPr>
                <w:rFonts w:ascii="Arial" w:eastAsia="Times New Roman" w:hAnsi="Arial" w:cs="Arial"/>
                <w:color w:val="000000"/>
                <w:sz w:val="18"/>
                <w:szCs w:val="18"/>
                <w:lang w:eastAsia="en-GB"/>
              </w:rPr>
            </w:pPr>
            <w:proofErr w:type="spellStart"/>
            <w:r w:rsidRPr="0050412D">
              <w:rPr>
                <w:rFonts w:ascii="Arial" w:eastAsia="Times New Roman" w:hAnsi="Arial" w:cs="Arial"/>
                <w:color w:val="000000"/>
                <w:sz w:val="15"/>
                <w:szCs w:val="15"/>
                <w:lang w:eastAsia="en-GB"/>
              </w:rPr>
              <w:t>Cennamo</w:t>
            </w:r>
            <w:proofErr w:type="spellEnd"/>
            <w:r w:rsidRPr="0050412D">
              <w:rPr>
                <w:rFonts w:ascii="Arial" w:eastAsia="Times New Roman" w:hAnsi="Arial" w:cs="Arial"/>
                <w:color w:val="000000"/>
                <w:sz w:val="15"/>
                <w:szCs w:val="15"/>
                <w:lang w:eastAsia="en-GB"/>
              </w:rPr>
              <w:t xml:space="preserve"> 2020</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{"citationItems":[{"id":"ITEM-1","itemData":{"DOI":"10.3389/fneur.2020.00542","ISSN":"1664-2295 (Print)","PMID":"32625163","abstract":"Background: To evaluate retinal vessel density (VD) in macular and in peripapillary  regions in patients with recent onset of multiple sclerosis, at initial demyelinating event (IDE) and in matched relapsing-remitting multiple sclerosis (RRMS) patients. Methods: We evaluated VD in superficial capillary plexus, deep capillary plexus, choriocapillaris and radial peripapillary capillary plexus in IDE, RRMS patients and in matched healthy controls (HCs) through Optical Coherence Tomography Angiography (OCT-A). Clinical history, including history of optic neuritis, Expanded Disability Status scale and disease duration of patients were collected. Results: Thirty patients (20 with IDE and 10 with RRMS) and 15 HCs were enrolled. IDE patients showed a lower VD in radial peripapillary capillary plexus compared with controls (coeff. β = -3.578; p = 0.002). RRMS patients displayed a lower VD in both superficial capillary plexus and radial peripapillary capillary plexus compared with HCs (coeff. β = -4.955; p = 0.002, and coeff. β = -7.446; p &lt; 0.001, respectively). Furthermore, RRMS patients showed a decreased VD in radial peripapillary capillary plexus compared with IDE patients (coeff. β = -3.868; p = 0.003). Conclusions: Peripapillary region vessel density reduction, revealed through OCT-A, might be considered as an early event in MS, and might be relevant as a biomarker of disease pathology.","author":[{"dropping-particle":"","family":"Cennamo","given":"Gilda","non-dropping-particle":"","parse-names":false,"suffix":""},{"dropping-particle":"","family":"Carotenuto","given":"Antonio","non-dropping-particle":"","parse-names":false,"suffix":""},{"dropping-particle":"","family":"Montorio","given":"Daniela","non-dropping-particle":"","parse-names":false,"suffix":""},{"dropping-particle":"","family":"Petracca","given":"Maria","non-dropping-particle":"","parse-names":false,"suffix":""},{"dropping-particle":"","family":"Moccia","given":"Marcello","non-dropping-particle":"","parse-names":false,"suffix":""},{"dropping-particle":"","family":"Melenzane","given":"Antonietta","non-dropping-particle":"","parse-names":false,"suffix":""},{"dropping-particle":"","family":"Tranfa","given":"Fausto","non-dropping-particle":"","parse-names":false,"suffix":""},{"dropping-particle":"","family":"Lamberti","given":"Anna","non-dropping-particle":"","parse-names":false,"suffix":""},{"dropping-particle":"","family":"Spiezia","given":"Antonio L","non-dropping-particle":"","parse-names":false,"suffix":""},{"dropping-particle":"","family":"Servillo","given":"Giuseppe","non-dropping-particle":"","parse-names":false,"suffix":""},{"dropping-particle":"","family":"Angelis","given":"Marcello","non-dropping-particle":"De","parse-names":false,"suffix":""},{"dropping-particle":"","family":"Petruzzo","given":"Martina","non-dropping-particle":"","parse-names":false,"suffix":""},{"dropping-particle":"","family":"Criscuolo","given":"Chiara","non-dropping-particle":"","parse-names":false,"suffix":""},{"dropping-particle":"","family":"Lanzillo","given":"Roberta","non-dropping-particle":"","parse-names":false,"suffix":""},{"dropping-particle":"","family":"Brescia Morra","given":"Vincenzo","non-dropping-particle":"","parse-names":false,"suffix":""}],"container-title":"Frontiers in neurology","id":"ITEM-1","issued":{"date-parts":[["2020"]]},"language":"eng","page":"542","title":"Peripapillary Vessel Density as Early Biomarker in Multiple Sclerosis.","type":"article-journal","volume":"11"},"uris":["http://www.mendeley.com/documents/?uuid=3dbcf788-9e33-4965-9f29-7511038d8eb3"]}],"mendeley":{"formattedCitation":"[54]","plainTextFormattedCitation":"[54]","previouslyFormattedCitation":"(54)"},"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[54]</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04F3A471"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6x6mm2</w:t>
            </w:r>
          </w:p>
        </w:tc>
        <w:tc>
          <w:tcPr>
            <w:tcW w:w="907" w:type="dxa"/>
            <w:tcBorders>
              <w:top w:val="nil"/>
              <w:left w:val="nil"/>
              <w:bottom w:val="single" w:sz="4" w:space="0" w:color="auto"/>
              <w:right w:val="single" w:sz="4" w:space="0" w:color="auto"/>
            </w:tcBorders>
            <w:shd w:val="clear" w:color="auto" w:fill="auto"/>
            <w:noWrap/>
            <w:vAlign w:val="bottom"/>
          </w:tcPr>
          <w:p w14:paraId="11F824D9"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6x6mm2</w:t>
            </w:r>
          </w:p>
        </w:tc>
        <w:tc>
          <w:tcPr>
            <w:tcW w:w="717" w:type="dxa"/>
            <w:tcBorders>
              <w:top w:val="nil"/>
              <w:left w:val="nil"/>
              <w:bottom w:val="single" w:sz="4" w:space="0" w:color="auto"/>
              <w:right w:val="single" w:sz="4" w:space="0" w:color="auto"/>
            </w:tcBorders>
            <w:shd w:val="clear" w:color="auto" w:fill="auto"/>
            <w:noWrap/>
          </w:tcPr>
          <w:p w14:paraId="77AA493C" w14:textId="77777777" w:rsidR="00845B3C" w:rsidRPr="001E30AA" w:rsidRDefault="00845B3C" w:rsidP="003C1751">
            <w:pPr>
              <w:jc w:val="center"/>
              <w:rPr>
                <w:rFonts w:ascii="Arial" w:eastAsia="Times New Roman" w:hAnsi="Arial" w:cs="Arial"/>
                <w:color w:val="000000"/>
                <w:sz w:val="18"/>
                <w:szCs w:val="18"/>
                <w:lang w:eastAsia="en-GB"/>
              </w:rPr>
            </w:pPr>
            <w:r w:rsidRPr="001526F3">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5AC869AC" w14:textId="77777777" w:rsidR="00845B3C" w:rsidRPr="001E30AA" w:rsidRDefault="00845B3C" w:rsidP="003C1751">
            <w:pPr>
              <w:jc w:val="center"/>
              <w:rPr>
                <w:rFonts w:ascii="Arial" w:eastAsia="Times New Roman" w:hAnsi="Arial" w:cs="Arial"/>
                <w:i/>
                <w:iCs/>
                <w:color w:val="000000"/>
                <w:sz w:val="18"/>
                <w:szCs w:val="18"/>
                <w:lang w:eastAsia="en-GB"/>
              </w:rPr>
            </w:pPr>
            <w:r w:rsidRPr="001526F3">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58AD475" w14:textId="77777777" w:rsidR="00845B3C" w:rsidRPr="001E30AA" w:rsidRDefault="00845B3C" w:rsidP="003C1751">
            <w:pPr>
              <w:jc w:val="center"/>
              <w:rPr>
                <w:rFonts w:ascii="Arial" w:eastAsia="Times New Roman" w:hAnsi="Arial" w:cs="Arial"/>
                <w:i/>
                <w:iCs/>
                <w:color w:val="000000"/>
                <w:sz w:val="18"/>
                <w:szCs w:val="18"/>
                <w:lang w:eastAsia="en-GB"/>
              </w:rPr>
            </w:pPr>
            <w:r w:rsidRPr="001526F3">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vAlign w:val="bottom"/>
          </w:tcPr>
          <w:p w14:paraId="4A0578B3"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6x6mm2</w:t>
            </w:r>
          </w:p>
        </w:tc>
        <w:tc>
          <w:tcPr>
            <w:tcW w:w="717" w:type="dxa"/>
            <w:tcBorders>
              <w:top w:val="nil"/>
              <w:left w:val="nil"/>
              <w:bottom w:val="single" w:sz="4" w:space="0" w:color="auto"/>
              <w:right w:val="single" w:sz="4" w:space="0" w:color="auto"/>
            </w:tcBorders>
            <w:shd w:val="clear" w:color="auto" w:fill="auto"/>
            <w:noWrap/>
          </w:tcPr>
          <w:p w14:paraId="4EF44FF5" w14:textId="77777777" w:rsidR="00845B3C" w:rsidRPr="001E30AA" w:rsidRDefault="00845B3C" w:rsidP="003C1751">
            <w:pPr>
              <w:jc w:val="center"/>
              <w:rPr>
                <w:rFonts w:ascii="Arial" w:eastAsia="Times New Roman" w:hAnsi="Arial" w:cs="Arial"/>
                <w:color w:val="000000"/>
                <w:sz w:val="18"/>
                <w:szCs w:val="18"/>
                <w:lang w:eastAsia="en-GB"/>
              </w:rPr>
            </w:pPr>
            <w:r w:rsidRPr="000C2225">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0DAC372F" w14:textId="77777777" w:rsidR="00845B3C" w:rsidRPr="001E30AA" w:rsidRDefault="00845B3C" w:rsidP="003C1751">
            <w:pPr>
              <w:jc w:val="center"/>
              <w:rPr>
                <w:rFonts w:ascii="Arial" w:eastAsia="Times New Roman" w:hAnsi="Arial" w:cs="Arial"/>
                <w:color w:val="000000"/>
                <w:sz w:val="18"/>
                <w:szCs w:val="18"/>
                <w:lang w:eastAsia="en-GB"/>
              </w:rPr>
            </w:pPr>
            <w:r w:rsidRPr="000C2225">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22CDBD00" w14:textId="77777777" w:rsidR="00845B3C" w:rsidRPr="001E30AA" w:rsidRDefault="00845B3C" w:rsidP="003C1751">
            <w:pPr>
              <w:jc w:val="center"/>
              <w:rPr>
                <w:rFonts w:ascii="Arial" w:eastAsia="Times New Roman" w:hAnsi="Arial" w:cs="Arial"/>
                <w:color w:val="000000"/>
                <w:sz w:val="18"/>
                <w:szCs w:val="18"/>
                <w:lang w:eastAsia="en-GB"/>
              </w:rPr>
            </w:pPr>
            <w:r w:rsidRPr="000C2225">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49D861F2"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4.5x4.5mm2</w:t>
            </w:r>
          </w:p>
        </w:tc>
        <w:tc>
          <w:tcPr>
            <w:tcW w:w="1207" w:type="dxa"/>
            <w:tcBorders>
              <w:top w:val="nil"/>
              <w:left w:val="nil"/>
              <w:bottom w:val="single" w:sz="4" w:space="0" w:color="auto"/>
              <w:right w:val="single" w:sz="4" w:space="0" w:color="auto"/>
            </w:tcBorders>
            <w:shd w:val="clear" w:color="auto" w:fill="auto"/>
            <w:noWrap/>
            <w:vAlign w:val="bottom"/>
          </w:tcPr>
          <w:p w14:paraId="0D325C8E" w14:textId="77777777" w:rsidR="00845B3C" w:rsidRPr="001E30AA" w:rsidRDefault="00845B3C" w:rsidP="003C1751">
            <w:pPr>
              <w:jc w:val="center"/>
              <w:rPr>
                <w:rFonts w:ascii="Arial" w:eastAsia="Times New Roman" w:hAnsi="Arial" w:cs="Arial"/>
                <w:i/>
                <w:iCs/>
                <w:color w:val="000000"/>
                <w:sz w:val="18"/>
                <w:szCs w:val="18"/>
                <w:lang w:eastAsia="en-GB"/>
              </w:rPr>
            </w:pPr>
            <w:r w:rsidRPr="005A3155">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vAlign w:val="bottom"/>
          </w:tcPr>
          <w:p w14:paraId="60156CAE"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4.5x4.5mm2</w:t>
            </w:r>
          </w:p>
        </w:tc>
        <w:tc>
          <w:tcPr>
            <w:tcW w:w="1534" w:type="dxa"/>
            <w:tcBorders>
              <w:top w:val="nil"/>
              <w:left w:val="nil"/>
              <w:bottom w:val="single" w:sz="4" w:space="0" w:color="auto"/>
              <w:right w:val="single" w:sz="4" w:space="0" w:color="auto"/>
            </w:tcBorders>
            <w:shd w:val="clear" w:color="auto" w:fill="auto"/>
            <w:noWrap/>
            <w:vAlign w:val="bottom"/>
          </w:tcPr>
          <w:p w14:paraId="30F738C9"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r>
      <w:tr w:rsidR="00845B3C" w:rsidRPr="001E30AA" w14:paraId="4FE6E83A"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18A83E1F" w14:textId="77777777" w:rsidR="00845B3C" w:rsidRPr="001E30AA" w:rsidRDefault="00845B3C" w:rsidP="003C1751">
            <w:pPr>
              <w:jc w:val="center"/>
              <w:rPr>
                <w:rFonts w:ascii="Arial" w:eastAsia="Times New Roman" w:hAnsi="Arial" w:cs="Arial"/>
                <w:color w:val="000000"/>
                <w:sz w:val="18"/>
                <w:szCs w:val="18"/>
                <w:lang w:eastAsia="en-GB"/>
              </w:rPr>
            </w:pPr>
            <w:r w:rsidRPr="0050412D">
              <w:rPr>
                <w:rFonts w:ascii="Arial" w:eastAsia="Times New Roman" w:hAnsi="Arial" w:cs="Arial"/>
                <w:color w:val="000000"/>
                <w:sz w:val="15"/>
                <w:szCs w:val="15"/>
                <w:lang w:eastAsia="en-GB"/>
              </w:rPr>
              <w:t>Spain 2018</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{"citationItems":[{"id":"ITEM-1","itemData":{"DOI":"10.1136/bjophthalmol-2017-310477","ISSN":"1468-2079 (Electronic)","PMID":"28814415","abstract":"BACKGROUND: Quantitative assessment of optic nerve damage is important in the  evaluation of optic neuritis (ON) and multiple sclerosis (MS). OBJECTIVE: To detect optic nerve damage using optical coherence tomography (OCT) and OCT angiography in MS. METHODS: Peripapillary retinal nerve fibre layer (NFL) thickness, macular ganglion cell complex (GCC) thickness and Optic Nerve Head Flow Index (ONH-FI) were measured. The ONH-FI was defined as flow signal averaged over the optic disc. Diagnostic accuracy was evaluated by the area under the receiver-operating characteristics curve (AROC). RESULTS: Sixty-eight eyes of 45 MS participants and 55 eyes of 32 healthy controls (HCs) were analysed. Of MS eyes, 25 had a history of ON (MS+ON) and 43 didn't (MS-ON). MS-ON and MS+ON eyes had reductions in ONH-FI (p=0.031 and p=0.001, respectively), GCC thickness (p=0.245 and p&lt;0.001, respectively), and NFL thickness (p=0.003 and p=0.024, respectively), compared with HCs. The highest AROC (0.940) was achieved by the logistic regression combination of all three variables, which was significantly higher than other variables (p=0.018). CONCLUSION: MS produces both retinal structural loss and decreased ONH perfusion in MS eyes with and without history of ON. The combination of perfusion and structural measurements enhances detection of optic nerve damage in MS. OCT angiography may be a useful additional retinal marker in evaluation of ON in MS.","author":[{"dropping-particle":"","family":"Spain","given":"Rebecca I","non-dropping-particle":"","parse-names":false,"suffix":""},{"dropping-particle":"","family":"Liu","given":"Liang","non-dropping-particle":"","parse-names":false,"suffix":""},{"dropping-particle":"","family":"Zhang","given":"Xinbo","non-dropping-particle":"","parse-names":false,"suffix":""},{"dropping-particle":"","family":"Jia","given":"Yali","non-dropping-particle":"","parse-names":false,"suffix":""},{"dropping-particle":"","family":"Tan","given":"Ou","non-dropping-particle":"","parse-names":false,"suffix":""},{"dropping-particle":"","family":"Bourdette","given":"Dennis","non-dropping-particle":"","parse-names":false,"suffix":""},{"dropping-particle":"","family":"Huang","given":"David","non-dropping-particle":"","parse-names":false,"suffix":""}],"container-title":"The British journal of ophthalmology","id":"ITEM-1","issue":"4","issued":{"date-parts":[["2018","4"]]},"language":"eng","page":"520-524","title":"Optical coherence tomography angiography enhances the detection of optic nerve  damage in multiple sclerosis.","type":"article-journal","volume":"102"},"uris":["http://www.mendeley.com/documents/?uuid=fe27d00c-432a-4be1-a302-116b1eb3cfe8"]}],"mendeley":{"formattedCitation":"[48]","plainTextFormattedCitation":"[48]","previouslyFormattedCitation":"(48)"},"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[48]</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0963FB70"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3x3x3 mm3</w:t>
            </w:r>
          </w:p>
        </w:tc>
        <w:tc>
          <w:tcPr>
            <w:tcW w:w="907" w:type="dxa"/>
            <w:tcBorders>
              <w:top w:val="nil"/>
              <w:left w:val="nil"/>
              <w:bottom w:val="single" w:sz="4" w:space="0" w:color="auto"/>
              <w:right w:val="single" w:sz="4" w:space="0" w:color="auto"/>
            </w:tcBorders>
            <w:shd w:val="clear" w:color="auto" w:fill="auto"/>
            <w:noWrap/>
          </w:tcPr>
          <w:p w14:paraId="5BB1B8CC"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4C0B6464"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6C173AF3"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23D6853"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18D80F4C"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33CF939A"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3D5E4F3D"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6612BE42" w14:textId="77777777" w:rsidR="00845B3C" w:rsidRPr="001E30AA" w:rsidRDefault="00845B3C" w:rsidP="003C1751">
            <w:pPr>
              <w:jc w:val="center"/>
              <w:rPr>
                <w:rFonts w:ascii="Arial" w:eastAsia="Times New Roman" w:hAnsi="Arial" w:cs="Arial"/>
                <w:color w:val="000000"/>
                <w:sz w:val="18"/>
                <w:szCs w:val="18"/>
                <w:lang w:eastAsia="en-GB"/>
              </w:rPr>
            </w:pPr>
            <w:r w:rsidRPr="00400CCB">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7819E7C7"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3x3x3 mm3</w:t>
            </w:r>
          </w:p>
        </w:tc>
        <w:tc>
          <w:tcPr>
            <w:tcW w:w="1207" w:type="dxa"/>
            <w:tcBorders>
              <w:top w:val="nil"/>
              <w:left w:val="nil"/>
              <w:bottom w:val="single" w:sz="4" w:space="0" w:color="auto"/>
              <w:right w:val="single" w:sz="4" w:space="0" w:color="auto"/>
            </w:tcBorders>
            <w:shd w:val="clear" w:color="auto" w:fill="auto"/>
            <w:noWrap/>
          </w:tcPr>
          <w:p w14:paraId="14DDBC86" w14:textId="77777777" w:rsidR="00845B3C" w:rsidRPr="001E30AA" w:rsidRDefault="00845B3C" w:rsidP="003C1751">
            <w:pPr>
              <w:jc w:val="center"/>
              <w:rPr>
                <w:rFonts w:ascii="Arial" w:eastAsia="Times New Roman" w:hAnsi="Arial" w:cs="Arial"/>
                <w:color w:val="000000"/>
                <w:sz w:val="18"/>
                <w:szCs w:val="18"/>
                <w:lang w:eastAsia="en-GB"/>
              </w:rPr>
            </w:pPr>
            <w:r w:rsidRPr="003C7A28">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199624A4" w14:textId="77777777" w:rsidR="00845B3C" w:rsidRPr="001E30AA" w:rsidRDefault="00845B3C" w:rsidP="003C1751">
            <w:pPr>
              <w:jc w:val="center"/>
              <w:rPr>
                <w:rFonts w:ascii="Arial" w:eastAsia="Times New Roman" w:hAnsi="Arial" w:cs="Arial"/>
                <w:color w:val="000000"/>
                <w:sz w:val="18"/>
                <w:szCs w:val="18"/>
                <w:lang w:eastAsia="en-GB"/>
              </w:rPr>
            </w:pPr>
            <w:r w:rsidRPr="003C7A28">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300877C1" w14:textId="77777777" w:rsidR="00845B3C" w:rsidRPr="001E30AA" w:rsidRDefault="00845B3C" w:rsidP="003C1751">
            <w:pPr>
              <w:jc w:val="center"/>
              <w:rPr>
                <w:rFonts w:ascii="Arial" w:eastAsia="Times New Roman" w:hAnsi="Arial" w:cs="Arial"/>
                <w:color w:val="000000"/>
                <w:sz w:val="18"/>
                <w:szCs w:val="18"/>
                <w:lang w:eastAsia="en-GB"/>
              </w:rPr>
            </w:pPr>
            <w:r w:rsidRPr="003C7A28">
              <w:rPr>
                <w:rFonts w:ascii="Arial" w:eastAsia="Times New Roman" w:hAnsi="Arial" w:cs="Arial"/>
                <w:b/>
                <w:bCs/>
                <w:color w:val="000000"/>
                <w:sz w:val="18"/>
                <w:szCs w:val="18"/>
                <w:lang w:eastAsia="en-GB"/>
              </w:rPr>
              <w:t>-</w:t>
            </w:r>
          </w:p>
        </w:tc>
      </w:tr>
      <w:tr w:rsidR="00845B3C" w:rsidRPr="001E30AA" w14:paraId="09A9A582"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6867CCFD" w14:textId="77777777" w:rsidR="00845B3C" w:rsidRPr="001E30AA" w:rsidRDefault="00845B3C" w:rsidP="003C1751">
            <w:pPr>
              <w:jc w:val="center"/>
              <w:rPr>
                <w:rFonts w:ascii="Arial" w:eastAsia="Times New Roman" w:hAnsi="Arial" w:cs="Arial"/>
                <w:color w:val="000000"/>
                <w:sz w:val="18"/>
                <w:szCs w:val="18"/>
                <w:lang w:eastAsia="en-GB"/>
              </w:rPr>
            </w:pPr>
            <w:proofErr w:type="spellStart"/>
            <w:r w:rsidRPr="0050412D">
              <w:rPr>
                <w:rFonts w:ascii="Arial" w:eastAsia="Times New Roman" w:hAnsi="Arial" w:cs="Arial"/>
                <w:color w:val="000000"/>
                <w:sz w:val="15"/>
                <w:szCs w:val="15"/>
                <w:lang w:eastAsia="en-GB"/>
              </w:rPr>
              <w:t>Lanzillo</w:t>
            </w:r>
            <w:proofErr w:type="spellEnd"/>
            <w:r w:rsidRPr="0050412D">
              <w:rPr>
                <w:rFonts w:ascii="Arial" w:eastAsia="Times New Roman" w:hAnsi="Arial" w:cs="Arial"/>
                <w:color w:val="000000"/>
                <w:sz w:val="15"/>
                <w:szCs w:val="15"/>
                <w:lang w:eastAsia="en-GB"/>
              </w:rPr>
              <w:t xml:space="preserve"> 2018</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{"citationItems":[{"id":"ITEM-1","itemData":{"DOI":"10.1177/1352458517729463","ISSN":"1477-0970 (Electronic)","PMID":"28933233","abstract":"BACKGROUND: Optical coherence tomography (OCT) angiography is a new method to assess  the density of the vascular networks. Vascular abnormalities are considered involved in multiple sclerosis (MS) pathology. OBJECTIVE: To assess the presence of vascular abnormalities in MS and to evaluate their correlation to disease features. METHODS: A total of 50 MS patients with and without history of optic neuritis (ON) and 46 healthy subjects were included. All underwent spectral domain (SD)-OCT and OCT angiography. Clinical history, Expanded Disability Status Scale (EDSS), Multiple Sclerosis Severity Score (MSSS) and disease duration were collected. RESULTS: Angio-OCT showed a vessel density reduction in eyes of MS patients when compared to controls. A statistically significant reduction in all SD-OCT and OCT angiography parameters was noticed both in eyes with and without ON when compared with control eyes. We found an inverse correlation between SD-OCT parameters and MSSS ( p = 0.003) and between vessel density parameters and EDSS ( p = 0.007). CONCLUSION: We report a vessel density reduction in retina of MS patients. We highlight the clinical correlation between vessel density and EDSS, suggesting that angio-OCT could be a good marker of disease and of disability in MS.","author":[{"dropping-particle":"","family":"Lanzillo","given":"Roberta","non-dropping-particle":"","parse-names":false,"suffix":""},{"dropping-particle":"","family":"Cennamo","given":"Gilda","non-dropping-particle":"","parse-names":false,"suffix":""},{"dropping-particle":"","family":"Criscuolo","given":"Chiara","non-dropping-particle":"","parse-names":false,"suffix":""},{"dropping-particle":"","family":"Carotenuto","given":"Antonio","non-dropping-particle":"","parse-names":false,"suffix":""},{"dropping-particle":"","family":"Velotti","given":"Nunzio","non-dropping-particle":"","parse-names":false,"suffix":""},{"dropping-particle":"","family":"Sparnelli","given":"Federica","non-dropping-particle":"","parse-names":false,"suffix":""},{"dropping-particle":"","family":"Cianflone","given":"Alessandra","non-dropping-particle":"","parse-names":false,"suffix":""},{"dropping-particle":"","family":"Moccia","given":"Marcello","non-dropping-particle":"","parse-names":false,"suffix":""},{"dropping-particle":"","family":"Brescia Morra","given":"Vincenzo","non-dropping-particle":"","parse-names":false,"suffix":""}],"container-title":"Multiple sclerosis (Houndmills, Basingstoke, England)","id":"ITEM-1","issue":"13","issued":{"date-parts":[["2018","11"]]},"language":"eng","page":"1706-1714","publisher-place":"England","title":"Optical coherence tomography angiography retinal vascular network assessment in  multiple sclerosis.","type":"article-journal","volume":"24"},"uris":["http://www.mendeley.com/documents/?uuid=42c9c0a3-78ca-4a9e-a1cd-fe8a1ef03c8b"]}],"mendeley":{"formattedCitation":"[31]","plainTextFormattedCitation":"[31]","previouslyFormattedCitation":"(31)"},"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[31]</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712FF088"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 mm2</w:t>
            </w:r>
          </w:p>
        </w:tc>
        <w:tc>
          <w:tcPr>
            <w:tcW w:w="907" w:type="dxa"/>
            <w:tcBorders>
              <w:top w:val="nil"/>
              <w:left w:val="nil"/>
              <w:bottom w:val="single" w:sz="4" w:space="0" w:color="auto"/>
              <w:right w:val="single" w:sz="4" w:space="0" w:color="auto"/>
            </w:tcBorders>
            <w:shd w:val="clear" w:color="auto" w:fill="auto"/>
            <w:noWrap/>
            <w:vAlign w:val="bottom"/>
          </w:tcPr>
          <w:p w14:paraId="572B7D74"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vAlign w:val="bottom"/>
          </w:tcPr>
          <w:p w14:paraId="3A78A248"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 mm2</w:t>
            </w:r>
          </w:p>
        </w:tc>
        <w:tc>
          <w:tcPr>
            <w:tcW w:w="1037" w:type="dxa"/>
            <w:tcBorders>
              <w:top w:val="nil"/>
              <w:left w:val="nil"/>
              <w:bottom w:val="single" w:sz="4" w:space="0" w:color="auto"/>
              <w:right w:val="single" w:sz="4" w:space="0" w:color="auto"/>
            </w:tcBorders>
            <w:shd w:val="clear" w:color="auto" w:fill="auto"/>
            <w:noWrap/>
            <w:vAlign w:val="bottom"/>
          </w:tcPr>
          <w:p w14:paraId="40F68783"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6x6 mm2</w:t>
            </w:r>
          </w:p>
        </w:tc>
        <w:tc>
          <w:tcPr>
            <w:tcW w:w="977" w:type="dxa"/>
            <w:tcBorders>
              <w:top w:val="nil"/>
              <w:left w:val="nil"/>
              <w:bottom w:val="single" w:sz="4" w:space="0" w:color="auto"/>
              <w:right w:val="single" w:sz="4" w:space="0" w:color="auto"/>
            </w:tcBorders>
            <w:shd w:val="clear" w:color="auto" w:fill="auto"/>
            <w:noWrap/>
          </w:tcPr>
          <w:p w14:paraId="4CB980E2"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03924535"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1D75B356"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tcPr>
          <w:p w14:paraId="476D9CBE"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977" w:type="dxa"/>
            <w:tcBorders>
              <w:top w:val="nil"/>
              <w:left w:val="nil"/>
              <w:bottom w:val="single" w:sz="4" w:space="0" w:color="auto"/>
              <w:right w:val="single" w:sz="4" w:space="0" w:color="auto"/>
            </w:tcBorders>
            <w:shd w:val="clear" w:color="auto" w:fill="auto"/>
            <w:noWrap/>
          </w:tcPr>
          <w:p w14:paraId="53230F32"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tcPr>
          <w:p w14:paraId="030AD9C5"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auto" w:fill="auto"/>
            <w:noWrap/>
          </w:tcPr>
          <w:p w14:paraId="5250FD8F"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081C2A20"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3B88C991" w14:textId="77777777" w:rsidR="00845B3C" w:rsidRPr="001E30AA" w:rsidRDefault="00845B3C" w:rsidP="003C1751">
            <w:pPr>
              <w:jc w:val="center"/>
              <w:rPr>
                <w:rFonts w:ascii="Arial" w:eastAsia="Times New Roman" w:hAnsi="Arial" w:cs="Arial"/>
                <w:color w:val="000000"/>
                <w:sz w:val="18"/>
                <w:szCs w:val="18"/>
                <w:lang w:eastAsia="en-GB"/>
              </w:rPr>
            </w:pPr>
            <w:r w:rsidRPr="00061D3F">
              <w:rPr>
                <w:rFonts w:ascii="Arial" w:eastAsia="Times New Roman" w:hAnsi="Arial" w:cs="Arial"/>
                <w:b/>
                <w:bCs/>
                <w:color w:val="000000"/>
                <w:sz w:val="18"/>
                <w:szCs w:val="18"/>
                <w:lang w:eastAsia="en-GB"/>
              </w:rPr>
              <w:t>-</w:t>
            </w:r>
          </w:p>
        </w:tc>
      </w:tr>
      <w:tr w:rsidR="00845B3C" w:rsidRPr="001E30AA" w14:paraId="775C0485" w14:textId="77777777" w:rsidTr="003C1751">
        <w:trPr>
          <w:trHeight w:val="340"/>
        </w:trPr>
        <w:tc>
          <w:tcPr>
            <w:tcW w:w="1462" w:type="dxa"/>
            <w:tcBorders>
              <w:top w:val="nil"/>
              <w:left w:val="single" w:sz="4" w:space="0" w:color="auto"/>
              <w:bottom w:val="single" w:sz="4" w:space="0" w:color="auto"/>
              <w:right w:val="single" w:sz="4" w:space="0" w:color="auto"/>
            </w:tcBorders>
            <w:shd w:val="clear" w:color="auto" w:fill="auto"/>
            <w:vAlign w:val="center"/>
          </w:tcPr>
          <w:p w14:paraId="4C3F19EF" w14:textId="77777777" w:rsidR="00845B3C" w:rsidRPr="0050412D" w:rsidRDefault="00845B3C" w:rsidP="003C1751">
            <w:pPr>
              <w:jc w:val="center"/>
              <w:rPr>
                <w:rFonts w:ascii="Arial" w:eastAsia="Times New Roman" w:hAnsi="Arial" w:cs="Arial"/>
                <w:color w:val="000000"/>
                <w:sz w:val="15"/>
                <w:szCs w:val="15"/>
                <w:lang w:eastAsia="en-GB"/>
              </w:rPr>
            </w:pPr>
            <w:r w:rsidRPr="0050412D">
              <w:rPr>
                <w:rFonts w:ascii="Arial" w:eastAsia="Times New Roman" w:hAnsi="Arial" w:cs="Arial"/>
                <w:color w:val="000000"/>
                <w:sz w:val="15"/>
                <w:szCs w:val="15"/>
                <w:lang w:eastAsia="en-GB"/>
              </w:rPr>
              <w:t>Wang 2014</w:t>
            </w:r>
            <w:r>
              <w:rPr>
                <w:rFonts w:ascii="Arial" w:eastAsia="Times New Roman" w:hAnsi="Arial" w:cs="Arial"/>
                <w:color w:val="000000"/>
                <w:sz w:val="15"/>
                <w:szCs w:val="15"/>
                <w:lang w:eastAsia="en-GB"/>
              </w:rPr>
              <w:t xml:space="preserve">*** </w:t>
            </w:r>
            <w:r w:rsidRPr="0050412D">
              <w:rPr>
                <w:rFonts w:ascii="Arial" w:eastAsia="Times New Roman" w:hAnsi="Arial" w:cs="Arial"/>
                <w:color w:val="000000"/>
                <w:sz w:val="15"/>
                <w:szCs w:val="15"/>
                <w:lang w:eastAsia="en-GB"/>
              </w:rPr>
              <w:fldChar w:fldCharType="begin" w:fldLock="1"/>
            </w:r>
            <w:r>
              <w:rPr>
                <w:rFonts w:ascii="Arial" w:eastAsia="Times New Roman" w:hAnsi="Arial" w:cs="Arial"/>
                <w:color w:val="000000"/>
                <w:sz w:val="15"/>
                <w:szCs w:val="15"/>
                <w:lang w:eastAsia="en-GB"/>
              </w:rPr>
              <w:instrText>ADDIN CSL_CITATION {"citationItems":[{"id":"ITEM-1","itemData":{"DOI":"10.1136/bjophthalmol-2013-304547","ISSN":"1468-2079 (Electronic)","PMID":"24831719","abstract":"AIMS: To investigate swept-source optical coherence tomography (OCT) angiography in  the optic nerve head (ONH) and parafoveal regions in patients with multiple sclerosis (MS). METHODS: Fifty-two MS eyes and 21 healthy control (HC) eyes were included. There were two MS subgroups: 38 MS eyes without an optic neuritis (ON) history (MS -ON), and 14 MS eyes with an ON history (MS +ON). The OCT images were captured by high-speed 1050 nm swept-source OCT. The ONH flow index (FI) and parafoveal FI were quantified from OCT angiograms. RESULTS: The mean ONH FI was 0.160 ± 0.010 for the HC group, 0.156 ± 0.017 for the MS-ON group, and 0.140 ± 0.020 for the MS+ON group. The ONH FI of the MS+ON group was reduced by 12.5% compared to HC eyes (p=0.004). A higher percentage of MS+ON eyes had abnormal ONH FI compared to HC patients (43% vs 5%, p=0.01). Mean parafoveal FIs were 0.126 ± 0.007, 0.127 ± 0.010, and 0.129 ± 0.005 for the HC, MS-ON, and MS +ON groups, respectively, and did not differ significantly among them. The coefficient of variation (CV) of intravisit repeatability and intervisit reproducibility were 1.03% and 4.53% for ONH FI, and 1.65% and 3.55% for parafoveal FI. CONCLUSIONS: Based on OCT angiography, the FI measurement is feasible, highly repeatable and reproducible, and it is suitable for clinical measurement of ONH and parafoveal perfusion. The ONH FI may be useful in detecting damage from ON and quantifying its severity.","author":[{"dropping-particle":"","family":"Wang","given":"Xiaogang","non-dropping-particle":"","parse-names":false,"suffix":""},{"dropping-particle":"","family":"Jia","given":"Yali","non-dropping-particle":"","parse-names":false,"suffix":""},{"dropping-particle":"","family":"Spain","given":"Rebecca","non-dropping-particle":"","parse-names":false,"suffix":""},{"dropping-particle":"","family":"Potsaid","given":"Benjamin","non-dropping-particle":"","parse-names":false,"suffix":""},{"dropping-particle":"","family":"Liu","given":"Jonathan J","non-dropping-particle":"","parse-names":false,"suffix":""},{"dropping-particle":"","family":"Baumann","given":"Bernhard","non-dropping-particle":"","parse-names":false,"suffix":""},{"dropping-particle":"","family":"Hornegger","given":"Joachim","non-dropping-particle":"","parse-names":false,"suffix":""},{"dropping-particle":"","family":"Fujimoto","given":"James G","non-dropping-particle":"","parse-names":false,"suffix":""},{"dropping-particle":"","family":"Wu","given":"Qiang","non-dropping-particle":"","parse-names":false,"suffix":""},{"dropping-particle":"","family":"Huang","given":"David","non-dropping-particle":"","parse-names":false,"suffix":""}],"container-title":"The British journal of ophthalmology","id":"ITEM-1","issue":"10","issued":{"date-parts":[["2014","10"]]},"language":"eng","page":"1368-1373","title":"Optical coherence tomography angiography of optic nerve head and parafovea in  multiple sclerosis.","type":"article-journal","volume":"98"},"uris":["http://www.mendeley.com/documents/?uuid=c345bde1-7afd-4736-8d67-12dc5be52954"]}],"mendeley":{"formattedCitation":"[46]","plainTextFormattedCitation":"[46]","previouslyFormattedCitation":"(46)"},"properties":{"noteIndex":0},"schema":"https://github.com/citation-style-language/schema/raw/master/csl-citation.json"}</w:instrText>
            </w:r>
            <w:r w:rsidRPr="0050412D">
              <w:rPr>
                <w:rFonts w:ascii="Arial" w:eastAsia="Times New Roman" w:hAnsi="Arial" w:cs="Arial"/>
                <w:color w:val="000000"/>
                <w:sz w:val="15"/>
                <w:szCs w:val="15"/>
                <w:lang w:eastAsia="en-GB"/>
              </w:rPr>
              <w:fldChar w:fldCharType="separate"/>
            </w:r>
            <w:r w:rsidRPr="0082789E">
              <w:rPr>
                <w:rFonts w:ascii="Arial" w:eastAsia="Times New Roman" w:hAnsi="Arial" w:cs="Arial"/>
                <w:noProof/>
                <w:color w:val="000000"/>
                <w:sz w:val="15"/>
                <w:szCs w:val="15"/>
                <w:lang w:eastAsia="en-GB"/>
              </w:rPr>
              <w:t>[46]</w:t>
            </w:r>
            <w:r w:rsidRPr="0050412D">
              <w:rPr>
                <w:rFonts w:ascii="Arial" w:eastAsia="Times New Roman" w:hAnsi="Arial" w:cs="Arial"/>
                <w:color w:val="000000"/>
                <w:sz w:val="15"/>
                <w:szCs w:val="15"/>
                <w:lang w:eastAsia="en-GB"/>
              </w:rPr>
              <w:fldChar w:fldCharType="end"/>
            </w:r>
          </w:p>
        </w:tc>
        <w:tc>
          <w:tcPr>
            <w:tcW w:w="907" w:type="dxa"/>
            <w:tcBorders>
              <w:top w:val="nil"/>
              <w:left w:val="nil"/>
              <w:bottom w:val="single" w:sz="4" w:space="0" w:color="auto"/>
              <w:right w:val="single" w:sz="4" w:space="0" w:color="auto"/>
            </w:tcBorders>
            <w:shd w:val="clear" w:color="000000" w:fill="F2F2F2"/>
            <w:vAlign w:val="bottom"/>
          </w:tcPr>
          <w:p w14:paraId="2BD2B806" w14:textId="77777777" w:rsidR="00845B3C" w:rsidRPr="001E30AA" w:rsidRDefault="00845B3C" w:rsidP="003C1751">
            <w:pPr>
              <w:jc w:val="center"/>
              <w:rPr>
                <w:rFonts w:ascii="Arial" w:eastAsia="Times New Roman" w:hAnsi="Arial" w:cs="Arial"/>
                <w:color w:val="000000"/>
                <w:sz w:val="18"/>
                <w:szCs w:val="18"/>
                <w:lang w:eastAsia="en-GB"/>
              </w:rPr>
            </w:pPr>
            <w:r w:rsidRPr="00624EDB">
              <w:rPr>
                <w:rFonts w:ascii="Arial" w:eastAsia="Times New Roman" w:hAnsi="Arial" w:cs="Arial"/>
                <w:color w:val="000000"/>
                <w:sz w:val="18"/>
                <w:szCs w:val="18"/>
                <w:lang w:eastAsia="en-GB"/>
              </w:rPr>
              <w:t>3x3x3 mm3</w:t>
            </w:r>
          </w:p>
        </w:tc>
        <w:tc>
          <w:tcPr>
            <w:tcW w:w="907" w:type="dxa"/>
            <w:tcBorders>
              <w:top w:val="nil"/>
              <w:left w:val="nil"/>
              <w:bottom w:val="single" w:sz="4" w:space="0" w:color="auto"/>
              <w:right w:val="single" w:sz="4" w:space="0" w:color="auto"/>
            </w:tcBorders>
            <w:shd w:val="clear" w:color="auto" w:fill="auto"/>
            <w:noWrap/>
          </w:tcPr>
          <w:p w14:paraId="4DEA7B9F" w14:textId="77777777" w:rsidR="00845B3C" w:rsidRPr="001E30AA" w:rsidRDefault="00845B3C" w:rsidP="003C1751">
            <w:pPr>
              <w:jc w:val="center"/>
              <w:rPr>
                <w:rFonts w:ascii="Arial" w:eastAsia="Times New Roman" w:hAnsi="Arial" w:cs="Arial"/>
                <w:color w:val="000000"/>
                <w:sz w:val="18"/>
                <w:szCs w:val="18"/>
                <w:lang w:eastAsia="en-GB"/>
              </w:rPr>
            </w:pPr>
            <w:r w:rsidRPr="00F87FDE">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37955A81" w14:textId="77777777" w:rsidR="00845B3C" w:rsidRPr="001E30AA" w:rsidRDefault="00845B3C" w:rsidP="003C1751">
            <w:pPr>
              <w:jc w:val="center"/>
              <w:rPr>
                <w:rFonts w:ascii="Arial" w:eastAsia="Times New Roman" w:hAnsi="Arial" w:cs="Arial"/>
                <w:color w:val="000000"/>
                <w:sz w:val="18"/>
                <w:szCs w:val="18"/>
                <w:lang w:eastAsia="en-GB"/>
              </w:rPr>
            </w:pPr>
            <w:r w:rsidRPr="00F87FDE">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vAlign w:val="bottom"/>
          </w:tcPr>
          <w:p w14:paraId="77BDD53C" w14:textId="77777777" w:rsidR="00845B3C" w:rsidRPr="001E30AA" w:rsidRDefault="00845B3C" w:rsidP="003C1751">
            <w:pPr>
              <w:jc w:val="center"/>
              <w:rPr>
                <w:rFonts w:ascii="Arial" w:eastAsia="Times New Roman" w:hAnsi="Arial" w:cs="Arial"/>
                <w:color w:val="000000"/>
                <w:sz w:val="18"/>
                <w:szCs w:val="18"/>
                <w:lang w:eastAsia="en-GB"/>
              </w:rPr>
            </w:pPr>
            <w:r w:rsidRPr="00D62D74">
              <w:rPr>
                <w:rFonts w:ascii="Arial" w:eastAsia="Times New Roman" w:hAnsi="Arial" w:cs="Arial"/>
                <w:color w:val="000000"/>
                <w:sz w:val="18"/>
                <w:szCs w:val="18"/>
                <w:lang w:eastAsia="en-GB"/>
              </w:rPr>
              <w:t>3x3x3 mm3</w:t>
            </w:r>
          </w:p>
        </w:tc>
        <w:tc>
          <w:tcPr>
            <w:tcW w:w="977" w:type="dxa"/>
            <w:tcBorders>
              <w:top w:val="nil"/>
              <w:left w:val="nil"/>
              <w:bottom w:val="single" w:sz="4" w:space="0" w:color="auto"/>
              <w:right w:val="single" w:sz="4" w:space="0" w:color="auto"/>
            </w:tcBorders>
            <w:shd w:val="clear" w:color="auto" w:fill="auto"/>
            <w:noWrap/>
          </w:tcPr>
          <w:p w14:paraId="48AA5ED9" w14:textId="77777777" w:rsidR="00845B3C" w:rsidRPr="001E30AA" w:rsidRDefault="00845B3C" w:rsidP="003C1751">
            <w:pPr>
              <w:jc w:val="center"/>
              <w:rPr>
                <w:rFonts w:ascii="Arial" w:eastAsia="Times New Roman" w:hAnsi="Arial" w:cs="Arial"/>
                <w:color w:val="000000"/>
                <w:sz w:val="18"/>
                <w:szCs w:val="18"/>
                <w:lang w:eastAsia="en-GB"/>
              </w:rPr>
            </w:pPr>
            <w:r w:rsidRPr="00A020DF">
              <w:rPr>
                <w:rFonts w:ascii="Arial" w:eastAsia="Times New Roman" w:hAnsi="Arial" w:cs="Arial"/>
                <w:b/>
                <w:bCs/>
                <w:color w:val="000000"/>
                <w:sz w:val="18"/>
                <w:szCs w:val="18"/>
                <w:lang w:eastAsia="en-GB"/>
              </w:rPr>
              <w:t>-</w:t>
            </w:r>
          </w:p>
        </w:tc>
        <w:tc>
          <w:tcPr>
            <w:tcW w:w="907" w:type="dxa"/>
            <w:tcBorders>
              <w:top w:val="nil"/>
              <w:left w:val="nil"/>
              <w:bottom w:val="single" w:sz="4" w:space="0" w:color="auto"/>
              <w:right w:val="single" w:sz="4" w:space="0" w:color="auto"/>
            </w:tcBorders>
            <w:shd w:val="clear" w:color="auto" w:fill="auto"/>
            <w:noWrap/>
          </w:tcPr>
          <w:p w14:paraId="4B059501" w14:textId="77777777" w:rsidR="00845B3C" w:rsidRPr="001E30AA" w:rsidRDefault="00845B3C" w:rsidP="003C1751">
            <w:pPr>
              <w:jc w:val="center"/>
              <w:rPr>
                <w:rFonts w:ascii="Arial" w:eastAsia="Times New Roman" w:hAnsi="Arial" w:cs="Arial"/>
                <w:color w:val="000000"/>
                <w:sz w:val="18"/>
                <w:szCs w:val="18"/>
                <w:lang w:eastAsia="en-GB"/>
              </w:rPr>
            </w:pPr>
            <w:r w:rsidRPr="00A020DF">
              <w:rPr>
                <w:rFonts w:ascii="Arial" w:eastAsia="Times New Roman" w:hAnsi="Arial" w:cs="Arial"/>
                <w:b/>
                <w:bCs/>
                <w:color w:val="000000"/>
                <w:sz w:val="18"/>
                <w:szCs w:val="18"/>
                <w:lang w:eastAsia="en-GB"/>
              </w:rPr>
              <w:t>-</w:t>
            </w:r>
          </w:p>
        </w:tc>
        <w:tc>
          <w:tcPr>
            <w:tcW w:w="717" w:type="dxa"/>
            <w:tcBorders>
              <w:top w:val="nil"/>
              <w:left w:val="nil"/>
              <w:bottom w:val="single" w:sz="4" w:space="0" w:color="auto"/>
              <w:right w:val="single" w:sz="4" w:space="0" w:color="auto"/>
            </w:tcBorders>
            <w:shd w:val="clear" w:color="auto" w:fill="auto"/>
            <w:noWrap/>
          </w:tcPr>
          <w:p w14:paraId="30322FF7" w14:textId="77777777" w:rsidR="00845B3C" w:rsidRPr="001E30AA" w:rsidRDefault="00845B3C" w:rsidP="003C1751">
            <w:pPr>
              <w:jc w:val="center"/>
              <w:rPr>
                <w:rFonts w:ascii="Arial" w:eastAsia="Times New Roman" w:hAnsi="Arial" w:cs="Arial"/>
                <w:color w:val="000000"/>
                <w:sz w:val="18"/>
                <w:szCs w:val="18"/>
                <w:lang w:eastAsia="en-GB"/>
              </w:rPr>
            </w:pPr>
            <w:r w:rsidRPr="00A020DF">
              <w:rPr>
                <w:rFonts w:ascii="Arial" w:eastAsia="Times New Roman" w:hAnsi="Arial" w:cs="Arial"/>
                <w:b/>
                <w:bCs/>
                <w:color w:val="000000"/>
                <w:sz w:val="18"/>
                <w:szCs w:val="18"/>
                <w:lang w:eastAsia="en-GB"/>
              </w:rPr>
              <w:t>-</w:t>
            </w:r>
          </w:p>
        </w:tc>
        <w:tc>
          <w:tcPr>
            <w:tcW w:w="1037" w:type="dxa"/>
            <w:tcBorders>
              <w:top w:val="nil"/>
              <w:left w:val="nil"/>
              <w:bottom w:val="single" w:sz="4" w:space="0" w:color="auto"/>
              <w:right w:val="single" w:sz="4" w:space="0" w:color="auto"/>
            </w:tcBorders>
            <w:shd w:val="clear" w:color="auto" w:fill="auto"/>
            <w:noWrap/>
            <w:vAlign w:val="bottom"/>
          </w:tcPr>
          <w:p w14:paraId="1066E017" w14:textId="77777777" w:rsidR="00845B3C" w:rsidRPr="001E30AA" w:rsidRDefault="00845B3C" w:rsidP="003C1751">
            <w:pPr>
              <w:jc w:val="center"/>
              <w:rPr>
                <w:rFonts w:ascii="Arial" w:eastAsia="Times New Roman" w:hAnsi="Arial" w:cs="Arial"/>
                <w:color w:val="000000"/>
                <w:sz w:val="18"/>
                <w:szCs w:val="18"/>
                <w:lang w:eastAsia="en-GB"/>
              </w:rPr>
            </w:pPr>
            <w:r w:rsidRPr="00D62D74">
              <w:rPr>
                <w:rFonts w:ascii="Arial" w:eastAsia="Times New Roman" w:hAnsi="Arial" w:cs="Arial"/>
                <w:color w:val="000000"/>
                <w:sz w:val="18"/>
                <w:szCs w:val="18"/>
                <w:lang w:eastAsia="en-GB"/>
              </w:rPr>
              <w:t>3x3x3 mm3</w:t>
            </w:r>
          </w:p>
        </w:tc>
        <w:tc>
          <w:tcPr>
            <w:tcW w:w="977" w:type="dxa"/>
            <w:tcBorders>
              <w:top w:val="nil"/>
              <w:left w:val="nil"/>
              <w:bottom w:val="single" w:sz="4" w:space="0" w:color="auto"/>
              <w:right w:val="single" w:sz="4" w:space="0" w:color="auto"/>
            </w:tcBorders>
            <w:shd w:val="clear" w:color="auto" w:fill="auto"/>
            <w:noWrap/>
            <w:vAlign w:val="bottom"/>
          </w:tcPr>
          <w:p w14:paraId="55AF7F29" w14:textId="77777777" w:rsidR="00845B3C" w:rsidRPr="001E30AA" w:rsidRDefault="00845B3C" w:rsidP="003C1751">
            <w:pPr>
              <w:jc w:val="center"/>
              <w:rPr>
                <w:rFonts w:ascii="Arial" w:eastAsia="Times New Roman" w:hAnsi="Arial" w:cs="Arial"/>
                <w:color w:val="000000"/>
                <w:sz w:val="18"/>
                <w:szCs w:val="18"/>
                <w:lang w:eastAsia="en-GB"/>
              </w:rPr>
            </w:pPr>
            <w:r w:rsidRPr="005A3155">
              <w:rPr>
                <w:rFonts w:ascii="Arial" w:eastAsia="Times New Roman" w:hAnsi="Arial" w:cs="Arial"/>
                <w:b/>
                <w:bCs/>
                <w:color w:val="000000"/>
                <w:sz w:val="18"/>
                <w:szCs w:val="18"/>
                <w:lang w:eastAsia="en-GB"/>
              </w:rPr>
              <w:t>-</w:t>
            </w:r>
          </w:p>
        </w:tc>
        <w:tc>
          <w:tcPr>
            <w:tcW w:w="1207" w:type="dxa"/>
            <w:tcBorders>
              <w:top w:val="nil"/>
              <w:left w:val="nil"/>
              <w:bottom w:val="single" w:sz="4" w:space="0" w:color="auto"/>
              <w:right w:val="single" w:sz="4" w:space="0" w:color="auto"/>
            </w:tcBorders>
            <w:shd w:val="clear" w:color="000000" w:fill="F2F2F2"/>
            <w:vAlign w:val="bottom"/>
          </w:tcPr>
          <w:p w14:paraId="48AE398F" w14:textId="77777777" w:rsidR="00845B3C" w:rsidRPr="001E30AA" w:rsidRDefault="00845B3C" w:rsidP="003C1751">
            <w:pPr>
              <w:jc w:val="center"/>
              <w:rPr>
                <w:rFonts w:ascii="Arial" w:eastAsia="Times New Roman" w:hAnsi="Arial" w:cs="Arial"/>
                <w:color w:val="000000"/>
                <w:sz w:val="18"/>
                <w:szCs w:val="18"/>
                <w:lang w:eastAsia="en-GB"/>
              </w:rPr>
            </w:pPr>
            <w:r w:rsidRPr="00D62D74">
              <w:rPr>
                <w:rFonts w:ascii="Arial" w:eastAsia="Times New Roman" w:hAnsi="Arial" w:cs="Arial"/>
                <w:color w:val="000000"/>
                <w:sz w:val="18"/>
                <w:szCs w:val="18"/>
                <w:lang w:eastAsia="en-GB"/>
              </w:rPr>
              <w:t>3x3x3 mm3</w:t>
            </w:r>
          </w:p>
        </w:tc>
        <w:tc>
          <w:tcPr>
            <w:tcW w:w="1207" w:type="dxa"/>
            <w:tcBorders>
              <w:top w:val="nil"/>
              <w:left w:val="nil"/>
              <w:bottom w:val="single" w:sz="4" w:space="0" w:color="auto"/>
              <w:right w:val="single" w:sz="4" w:space="0" w:color="auto"/>
            </w:tcBorders>
            <w:shd w:val="clear" w:color="auto" w:fill="auto"/>
            <w:noWrap/>
          </w:tcPr>
          <w:p w14:paraId="5EE311D7" w14:textId="77777777" w:rsidR="00845B3C" w:rsidRPr="001E30AA" w:rsidRDefault="00845B3C" w:rsidP="003C1751">
            <w:pPr>
              <w:jc w:val="center"/>
              <w:rPr>
                <w:rFonts w:ascii="Arial" w:eastAsia="Times New Roman" w:hAnsi="Arial" w:cs="Arial"/>
                <w:color w:val="000000"/>
                <w:sz w:val="18"/>
                <w:szCs w:val="18"/>
                <w:lang w:eastAsia="en-GB"/>
              </w:rPr>
            </w:pPr>
            <w:r w:rsidRPr="00306B1C">
              <w:rPr>
                <w:rFonts w:ascii="Arial" w:eastAsia="Times New Roman" w:hAnsi="Arial" w:cs="Arial"/>
                <w:b/>
                <w:bCs/>
                <w:color w:val="000000"/>
                <w:sz w:val="18"/>
                <w:szCs w:val="18"/>
                <w:lang w:eastAsia="en-GB"/>
              </w:rPr>
              <w:t>-</w:t>
            </w:r>
          </w:p>
        </w:tc>
        <w:tc>
          <w:tcPr>
            <w:tcW w:w="1451" w:type="dxa"/>
            <w:tcBorders>
              <w:top w:val="nil"/>
              <w:left w:val="nil"/>
              <w:bottom w:val="single" w:sz="4" w:space="0" w:color="auto"/>
              <w:right w:val="single" w:sz="4" w:space="0" w:color="auto"/>
            </w:tcBorders>
            <w:shd w:val="clear" w:color="auto" w:fill="auto"/>
            <w:noWrap/>
          </w:tcPr>
          <w:p w14:paraId="48305EB7" w14:textId="77777777" w:rsidR="00845B3C" w:rsidRPr="001E30AA" w:rsidRDefault="00845B3C" w:rsidP="003C1751">
            <w:pPr>
              <w:jc w:val="center"/>
              <w:rPr>
                <w:rFonts w:ascii="Arial" w:eastAsia="Times New Roman" w:hAnsi="Arial" w:cs="Arial"/>
                <w:color w:val="000000"/>
                <w:sz w:val="18"/>
                <w:szCs w:val="18"/>
                <w:lang w:eastAsia="en-GB"/>
              </w:rPr>
            </w:pPr>
            <w:r w:rsidRPr="00306B1C">
              <w:rPr>
                <w:rFonts w:ascii="Arial" w:eastAsia="Times New Roman" w:hAnsi="Arial" w:cs="Arial"/>
                <w:b/>
                <w:bCs/>
                <w:color w:val="000000"/>
                <w:sz w:val="18"/>
                <w:szCs w:val="18"/>
                <w:lang w:eastAsia="en-GB"/>
              </w:rPr>
              <w:t>-</w:t>
            </w:r>
          </w:p>
        </w:tc>
        <w:tc>
          <w:tcPr>
            <w:tcW w:w="1534" w:type="dxa"/>
            <w:tcBorders>
              <w:top w:val="nil"/>
              <w:left w:val="nil"/>
              <w:bottom w:val="single" w:sz="4" w:space="0" w:color="auto"/>
              <w:right w:val="single" w:sz="4" w:space="0" w:color="auto"/>
            </w:tcBorders>
            <w:shd w:val="clear" w:color="auto" w:fill="auto"/>
            <w:noWrap/>
          </w:tcPr>
          <w:p w14:paraId="02AE64C1" w14:textId="77777777" w:rsidR="00845B3C" w:rsidRPr="001E30AA" w:rsidRDefault="00845B3C" w:rsidP="003C1751">
            <w:pPr>
              <w:jc w:val="center"/>
              <w:rPr>
                <w:rFonts w:ascii="Arial" w:eastAsia="Times New Roman" w:hAnsi="Arial" w:cs="Arial"/>
                <w:color w:val="000000"/>
                <w:sz w:val="18"/>
                <w:szCs w:val="18"/>
                <w:lang w:eastAsia="en-GB"/>
              </w:rPr>
            </w:pPr>
            <w:r w:rsidRPr="00306B1C">
              <w:rPr>
                <w:rFonts w:ascii="Arial" w:eastAsia="Times New Roman" w:hAnsi="Arial" w:cs="Arial"/>
                <w:b/>
                <w:bCs/>
                <w:color w:val="000000"/>
                <w:sz w:val="18"/>
                <w:szCs w:val="18"/>
                <w:lang w:eastAsia="en-GB"/>
              </w:rPr>
              <w:t>-</w:t>
            </w:r>
          </w:p>
        </w:tc>
      </w:tr>
    </w:tbl>
    <w:p w14:paraId="1A33F0D4" w14:textId="55AAB05C" w:rsidR="001E30AA" w:rsidRPr="001E30AA" w:rsidRDefault="001E30AA" w:rsidP="001E30AA">
      <w:pPr>
        <w:spacing w:line="480" w:lineRule="auto"/>
        <w:rPr>
          <w:color w:val="000000" w:themeColor="text1"/>
        </w:rPr>
      </w:pPr>
    </w:p>
    <w:p w14:paraId="10CD015A" w14:textId="15B12308" w:rsidR="004D209D" w:rsidRPr="00112256" w:rsidRDefault="00845B3C" w:rsidP="004D209D">
      <w:pPr>
        <w:rPr>
          <w:rFonts w:ascii="Times New Roman" w:hAnsi="Times New Roman" w:cs="Times New Roman"/>
          <w:color w:val="000000" w:themeColor="text1"/>
        </w:rPr>
      </w:pPr>
      <w:r w:rsidRPr="00845B3C">
        <w:rPr>
          <w:rFonts w:ascii="Times New Roman" w:hAnsi="Times New Roman" w:cs="Times New Roman"/>
          <w:color w:val="000000" w:themeColor="text1"/>
        </w:rPr>
        <w:lastRenderedPageBreak/>
        <w:t xml:space="preserve">* Indicates studies using an </w:t>
      </w:r>
      <w:proofErr w:type="spellStart"/>
      <w:r w:rsidRPr="00845B3C">
        <w:rPr>
          <w:rFonts w:ascii="Times New Roman" w:hAnsi="Times New Roman" w:cs="Times New Roman"/>
          <w:color w:val="000000" w:themeColor="text1"/>
        </w:rPr>
        <w:t>Optovue</w:t>
      </w:r>
      <w:proofErr w:type="spellEnd"/>
      <w:r w:rsidRPr="00845B3C">
        <w:rPr>
          <w:rFonts w:ascii="Times New Roman" w:hAnsi="Times New Roman" w:cs="Times New Roman"/>
          <w:color w:val="000000" w:themeColor="text1"/>
        </w:rPr>
        <w:t xml:space="preserve"> machine, ** indicates studies using a Zeiss machine. *** indicates studies using a prototype </w:t>
      </w:r>
      <w:proofErr w:type="spellStart"/>
      <w:r w:rsidRPr="00845B3C">
        <w:rPr>
          <w:rFonts w:ascii="Times New Roman" w:hAnsi="Times New Roman" w:cs="Times New Roman"/>
          <w:color w:val="000000" w:themeColor="text1"/>
        </w:rPr>
        <w:t>Axsun</w:t>
      </w:r>
      <w:proofErr w:type="spellEnd"/>
      <w:r w:rsidRPr="00845B3C">
        <w:rPr>
          <w:rFonts w:ascii="Times New Roman" w:hAnsi="Times New Roman" w:cs="Times New Roman"/>
          <w:color w:val="000000" w:themeColor="text1"/>
        </w:rPr>
        <w:t xml:space="preserve"> SS-OCT machine, **** indicates studies using a </w:t>
      </w:r>
      <w:proofErr w:type="spellStart"/>
      <w:r w:rsidRPr="00845B3C">
        <w:rPr>
          <w:rFonts w:ascii="Times New Roman" w:hAnsi="Times New Roman" w:cs="Times New Roman"/>
          <w:color w:val="000000" w:themeColor="text1"/>
        </w:rPr>
        <w:t>Nidek</w:t>
      </w:r>
      <w:proofErr w:type="spellEnd"/>
      <w:r w:rsidRPr="00845B3C">
        <w:rPr>
          <w:rFonts w:ascii="Times New Roman" w:hAnsi="Times New Roman" w:cs="Times New Roman"/>
          <w:color w:val="000000" w:themeColor="text1"/>
        </w:rPr>
        <w:t xml:space="preserve"> machine, ***** indicates studies using a Heidelberg machine, and ****** indicates studies using a Topcon machine</w:t>
      </w:r>
    </w:p>
    <w:p w14:paraId="23B9963D" w14:textId="77777777" w:rsidR="004D209D" w:rsidRPr="00112256" w:rsidRDefault="004D209D" w:rsidP="004D209D">
      <w:pPr>
        <w:rPr>
          <w:rFonts w:ascii="Times New Roman" w:hAnsi="Times New Roman" w:cs="Times New Roman"/>
          <w:color w:val="000000" w:themeColor="text1"/>
        </w:rPr>
      </w:pPr>
      <w:r w:rsidRPr="00112256">
        <w:rPr>
          <w:rFonts w:ascii="Times New Roman" w:hAnsi="Times New Roman" w:cs="Times New Roman"/>
          <w:color w:val="000000" w:themeColor="text1"/>
        </w:rPr>
        <w:t>–: Data not reported.</w:t>
      </w:r>
    </w:p>
    <w:p w14:paraId="103C8DDF" w14:textId="58FF914E" w:rsidR="001E30AA" w:rsidRPr="001E30AA" w:rsidRDefault="001E30AA" w:rsidP="005207AA">
      <w:pPr>
        <w:spacing w:line="480" w:lineRule="auto"/>
        <w:jc w:val="both"/>
        <w:rPr>
          <w:sz w:val="18"/>
          <w:szCs w:val="18"/>
        </w:rPr>
      </w:pPr>
    </w:p>
    <w:sectPr w:rsidR="001E30AA" w:rsidRPr="001E30AA" w:rsidSect="00845B3C">
      <w:headerReference w:type="default" r:id="rId6"/>
      <w:pgSz w:w="16840" w:h="11900"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4D84E" w14:textId="77777777" w:rsidR="00CE704A" w:rsidRDefault="00CE704A" w:rsidP="007A03A3">
      <w:r>
        <w:separator/>
      </w:r>
    </w:p>
  </w:endnote>
  <w:endnote w:type="continuationSeparator" w:id="0">
    <w:p w14:paraId="572ADE4E" w14:textId="77777777" w:rsidR="00CE704A" w:rsidRDefault="00CE704A" w:rsidP="007A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E451B" w14:textId="77777777" w:rsidR="00CE704A" w:rsidRDefault="00CE704A" w:rsidP="007A03A3">
      <w:r>
        <w:separator/>
      </w:r>
    </w:p>
  </w:footnote>
  <w:footnote w:type="continuationSeparator" w:id="0">
    <w:p w14:paraId="13E07BB1" w14:textId="77777777" w:rsidR="00CE704A" w:rsidRDefault="00CE704A" w:rsidP="007A0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FE34" w14:textId="56764276" w:rsidR="007A03A3" w:rsidRDefault="007A03A3" w:rsidP="00E8450A">
    <w:pPr>
      <w:spacing w:line="480" w:lineRule="auto"/>
      <w:rPr>
        <w:rFonts w:ascii="Times New Roman" w:hAnsi="Times New Roman" w:cs="Times New Roman"/>
        <w:color w:val="000000" w:themeColor="text1"/>
      </w:rPr>
    </w:pPr>
    <w:r w:rsidRPr="007A03A3">
      <w:rPr>
        <w:rFonts w:ascii="Times New Roman" w:hAnsi="Times New Roman" w:cs="Times New Roman"/>
        <w:color w:val="000000" w:themeColor="text1"/>
      </w:rPr>
      <w:t xml:space="preserve">Table </w:t>
    </w:r>
    <w:r w:rsidR="0059119F">
      <w:rPr>
        <w:rFonts w:ascii="Times New Roman" w:hAnsi="Times New Roman" w:cs="Times New Roman"/>
        <w:color w:val="000000" w:themeColor="text1"/>
      </w:rPr>
      <w:t>S</w:t>
    </w:r>
    <w:r w:rsidR="00845B3C">
      <w:rPr>
        <w:rFonts w:ascii="Times New Roman" w:hAnsi="Times New Roman" w:cs="Times New Roman"/>
        <w:color w:val="000000" w:themeColor="text1"/>
      </w:rPr>
      <w:t>2</w:t>
    </w:r>
    <w:r w:rsidRPr="007A03A3">
      <w:rPr>
        <w:rFonts w:ascii="Times New Roman" w:hAnsi="Times New Roman" w:cs="Times New Roman"/>
        <w:color w:val="000000" w:themeColor="text1"/>
      </w:rPr>
      <w:t xml:space="preserve">. </w:t>
    </w:r>
    <w:r w:rsidRPr="001E30AA">
      <w:rPr>
        <w:rFonts w:ascii="Times New Roman" w:hAnsi="Times New Roman" w:cs="Times New Roman"/>
        <w:color w:val="000000" w:themeColor="text1"/>
      </w:rPr>
      <w:t xml:space="preserve">Summary of fields of view and dimensions used to define retinal regions in included studies. </w:t>
    </w:r>
  </w:p>
  <w:p w14:paraId="5E161470" w14:textId="14C58BAC" w:rsidR="007A03A3" w:rsidRPr="007A03A3" w:rsidRDefault="007A03A3">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1MzcxMzUwszA1MTdS0lEKTi0uzszPAykwrAUAmc/32iwAAAA="/>
  </w:docVars>
  <w:rsids>
    <w:rsidRoot w:val="001E30AA"/>
    <w:rsid w:val="000747F9"/>
    <w:rsid w:val="000D2274"/>
    <w:rsid w:val="00103A23"/>
    <w:rsid w:val="001E30AA"/>
    <w:rsid w:val="00237488"/>
    <w:rsid w:val="00270B3B"/>
    <w:rsid w:val="00401BB6"/>
    <w:rsid w:val="004A4A9B"/>
    <w:rsid w:val="004A74F1"/>
    <w:rsid w:val="004D209D"/>
    <w:rsid w:val="005207AA"/>
    <w:rsid w:val="0059119F"/>
    <w:rsid w:val="005978A3"/>
    <w:rsid w:val="005A3155"/>
    <w:rsid w:val="005E3F88"/>
    <w:rsid w:val="006100BC"/>
    <w:rsid w:val="00624EDB"/>
    <w:rsid w:val="00715AE1"/>
    <w:rsid w:val="007A03A3"/>
    <w:rsid w:val="007C4D68"/>
    <w:rsid w:val="007D7521"/>
    <w:rsid w:val="00845B3C"/>
    <w:rsid w:val="0092771A"/>
    <w:rsid w:val="00B43B06"/>
    <w:rsid w:val="00CE704A"/>
    <w:rsid w:val="00D223DC"/>
    <w:rsid w:val="00D62D74"/>
    <w:rsid w:val="00DA0829"/>
    <w:rsid w:val="00DE01F1"/>
    <w:rsid w:val="00E5497B"/>
    <w:rsid w:val="00E8450A"/>
    <w:rsid w:val="00EC4B01"/>
    <w:rsid w:val="00F05FEC"/>
    <w:rsid w:val="00F824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02E7"/>
  <w15:chartTrackingRefBased/>
  <w15:docId w15:val="{D6981FC8-B7B4-164D-A292-F85C3B38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207AA"/>
    <w:rPr>
      <w:sz w:val="16"/>
      <w:szCs w:val="16"/>
    </w:rPr>
  </w:style>
  <w:style w:type="paragraph" w:styleId="CommentText">
    <w:name w:val="annotation text"/>
    <w:basedOn w:val="Normal"/>
    <w:link w:val="CommentTextChar"/>
    <w:uiPriority w:val="99"/>
    <w:semiHidden/>
    <w:unhideWhenUsed/>
    <w:rsid w:val="005207AA"/>
    <w:rPr>
      <w:sz w:val="20"/>
      <w:szCs w:val="20"/>
    </w:rPr>
  </w:style>
  <w:style w:type="character" w:customStyle="1" w:styleId="CommentTextChar">
    <w:name w:val="Comment Text Char"/>
    <w:basedOn w:val="DefaultParagraphFont"/>
    <w:link w:val="CommentText"/>
    <w:uiPriority w:val="99"/>
    <w:semiHidden/>
    <w:rsid w:val="005207AA"/>
    <w:rPr>
      <w:sz w:val="20"/>
      <w:szCs w:val="20"/>
    </w:rPr>
  </w:style>
  <w:style w:type="paragraph" w:styleId="CommentSubject">
    <w:name w:val="annotation subject"/>
    <w:basedOn w:val="CommentText"/>
    <w:next w:val="CommentText"/>
    <w:link w:val="CommentSubjectChar"/>
    <w:uiPriority w:val="99"/>
    <w:semiHidden/>
    <w:unhideWhenUsed/>
    <w:rsid w:val="005207AA"/>
    <w:rPr>
      <w:b/>
      <w:bCs/>
    </w:rPr>
  </w:style>
  <w:style w:type="character" w:customStyle="1" w:styleId="CommentSubjectChar">
    <w:name w:val="Comment Subject Char"/>
    <w:basedOn w:val="CommentTextChar"/>
    <w:link w:val="CommentSubject"/>
    <w:uiPriority w:val="99"/>
    <w:semiHidden/>
    <w:rsid w:val="005207AA"/>
    <w:rPr>
      <w:b/>
      <w:bCs/>
      <w:sz w:val="20"/>
      <w:szCs w:val="20"/>
    </w:rPr>
  </w:style>
  <w:style w:type="paragraph" w:styleId="BalloonText">
    <w:name w:val="Balloon Text"/>
    <w:basedOn w:val="Normal"/>
    <w:link w:val="BalloonTextChar"/>
    <w:uiPriority w:val="99"/>
    <w:semiHidden/>
    <w:unhideWhenUsed/>
    <w:rsid w:val="005207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7AA"/>
    <w:rPr>
      <w:rFonts w:ascii="Segoe UI" w:hAnsi="Segoe UI" w:cs="Segoe UI"/>
      <w:sz w:val="18"/>
      <w:szCs w:val="18"/>
    </w:rPr>
  </w:style>
  <w:style w:type="paragraph" w:styleId="Header">
    <w:name w:val="header"/>
    <w:basedOn w:val="Normal"/>
    <w:link w:val="HeaderChar"/>
    <w:uiPriority w:val="99"/>
    <w:unhideWhenUsed/>
    <w:rsid w:val="007A03A3"/>
    <w:pPr>
      <w:tabs>
        <w:tab w:val="center" w:pos="4680"/>
        <w:tab w:val="right" w:pos="9360"/>
      </w:tabs>
    </w:pPr>
  </w:style>
  <w:style w:type="character" w:customStyle="1" w:styleId="HeaderChar">
    <w:name w:val="Header Char"/>
    <w:basedOn w:val="DefaultParagraphFont"/>
    <w:link w:val="Header"/>
    <w:uiPriority w:val="99"/>
    <w:rsid w:val="007A03A3"/>
  </w:style>
  <w:style w:type="paragraph" w:styleId="Footer">
    <w:name w:val="footer"/>
    <w:basedOn w:val="Normal"/>
    <w:link w:val="FooterChar"/>
    <w:uiPriority w:val="99"/>
    <w:unhideWhenUsed/>
    <w:rsid w:val="007A03A3"/>
    <w:pPr>
      <w:tabs>
        <w:tab w:val="center" w:pos="4680"/>
        <w:tab w:val="right" w:pos="9360"/>
      </w:tabs>
    </w:pPr>
  </w:style>
  <w:style w:type="character" w:customStyle="1" w:styleId="FooterChar">
    <w:name w:val="Footer Char"/>
    <w:basedOn w:val="DefaultParagraphFont"/>
    <w:link w:val="Footer"/>
    <w:uiPriority w:val="99"/>
    <w:rsid w:val="007A0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5104">
      <w:bodyDiv w:val="1"/>
      <w:marLeft w:val="0"/>
      <w:marRight w:val="0"/>
      <w:marTop w:val="0"/>
      <w:marBottom w:val="0"/>
      <w:divBdr>
        <w:top w:val="none" w:sz="0" w:space="0" w:color="auto"/>
        <w:left w:val="none" w:sz="0" w:space="0" w:color="auto"/>
        <w:bottom w:val="none" w:sz="0" w:space="0" w:color="auto"/>
        <w:right w:val="none" w:sz="0" w:space="0" w:color="auto"/>
      </w:divBdr>
    </w:div>
    <w:div w:id="108738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9542</Words>
  <Characters>54396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RIFAI Olivia</dc:creator>
  <cp:keywords/>
  <dc:description/>
  <cp:lastModifiedBy>Jini Mol</cp:lastModifiedBy>
  <cp:revision>4</cp:revision>
  <dcterms:created xsi:type="dcterms:W3CDTF">2023-02-04T18:26:00Z</dcterms:created>
  <dcterms:modified xsi:type="dcterms:W3CDTF">2023-03-16T06:53:00Z</dcterms:modified>
</cp:coreProperties>
</file>