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BE20" w14:textId="77777777" w:rsidR="00DE4FD8" w:rsidRPr="008E4A2D" w:rsidRDefault="00DE4FD8" w:rsidP="00DE4FD8">
      <w:pPr>
        <w:spacing w:line="360" w:lineRule="auto"/>
        <w:jc w:val="center"/>
        <w:rPr>
          <w:rFonts w:ascii="Times New Roman" w:hAnsi="Times New Roman" w:cs="Times New Roman"/>
          <w:b/>
          <w:bCs/>
        </w:rPr>
      </w:pPr>
      <w:r>
        <w:rPr>
          <w:rFonts w:ascii="Times New Roman" w:hAnsi="Times New Roman" w:cs="Times New Roman"/>
          <w:b/>
          <w:bCs/>
          <w:noProof/>
          <w:sz w:val="20"/>
          <w:szCs w:val="20"/>
        </w:rPr>
        <w:drawing>
          <wp:inline distT="0" distB="0" distL="0" distR="0" wp14:anchorId="42646D58" wp14:editId="21C390E7">
            <wp:extent cx="5474810" cy="8171727"/>
            <wp:effectExtent l="0" t="0" r="0" b="0"/>
            <wp:docPr id="555775543" name="Picture 1" descr="A picture containing tex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75543" name="Picture 1" descr="A picture containing text, art&#10;&#10;Description automatically generated"/>
                    <pic:cNvPicPr/>
                  </pic:nvPicPr>
                  <pic:blipFill rotWithShape="1">
                    <a:blip r:embed="rId4" cstate="print">
                      <a:extLst>
                        <a:ext uri="{28A0092B-C50C-407E-A947-70E740481C1C}">
                          <a14:useLocalDpi xmlns:a14="http://schemas.microsoft.com/office/drawing/2010/main" val="0"/>
                        </a:ext>
                      </a:extLst>
                    </a:blip>
                    <a:srcRect l="21422" t="4479" r="24433" b="14703"/>
                    <a:stretch/>
                  </pic:blipFill>
                  <pic:spPr bwMode="auto">
                    <a:xfrm>
                      <a:off x="0" y="0"/>
                      <a:ext cx="5486055" cy="8188511"/>
                    </a:xfrm>
                    <a:prstGeom prst="rect">
                      <a:avLst/>
                    </a:prstGeom>
                    <a:ln>
                      <a:noFill/>
                    </a:ln>
                    <a:extLst>
                      <a:ext uri="{53640926-AAD7-44D8-BBD7-CCE9431645EC}">
                        <a14:shadowObscured xmlns:a14="http://schemas.microsoft.com/office/drawing/2010/main"/>
                      </a:ext>
                    </a:extLst>
                  </pic:spPr>
                </pic:pic>
              </a:graphicData>
            </a:graphic>
          </wp:inline>
        </w:drawing>
      </w:r>
    </w:p>
    <w:p w14:paraId="0A04A8EC" w14:textId="2E87A607" w:rsidR="00DE4FD8" w:rsidRPr="008E4A2D" w:rsidRDefault="003121AA" w:rsidP="00DE4FD8">
      <w:pPr>
        <w:spacing w:line="360" w:lineRule="auto"/>
        <w:rPr>
          <w:rFonts w:ascii="Times New Roman" w:hAnsi="Times New Roman" w:cs="Times New Roman"/>
          <w:b/>
          <w:bCs/>
        </w:rPr>
      </w:pPr>
      <w:r>
        <w:rPr>
          <w:rFonts w:ascii="Times New Roman" w:hAnsi="Times New Roman" w:cs="Times New Roman"/>
          <w:b/>
          <w:bCs/>
        </w:rPr>
        <w:lastRenderedPageBreak/>
        <w:t>Fig.</w:t>
      </w:r>
      <w:r w:rsidR="00DE4FD8" w:rsidRPr="008E4A2D">
        <w:rPr>
          <w:rFonts w:ascii="Times New Roman" w:hAnsi="Times New Roman" w:cs="Times New Roman"/>
          <w:b/>
          <w:bCs/>
        </w:rPr>
        <w:t xml:space="preserve"> </w:t>
      </w:r>
      <w:r>
        <w:rPr>
          <w:rFonts w:ascii="Times New Roman" w:hAnsi="Times New Roman" w:cs="Times New Roman"/>
          <w:b/>
          <w:bCs/>
        </w:rPr>
        <w:t>S</w:t>
      </w:r>
      <w:r w:rsidR="00DE4FD8" w:rsidRPr="008E4A2D">
        <w:rPr>
          <w:rFonts w:ascii="Times New Roman" w:hAnsi="Times New Roman" w:cs="Times New Roman"/>
          <w:b/>
          <w:bCs/>
        </w:rPr>
        <w:t>3</w:t>
      </w:r>
    </w:p>
    <w:p w14:paraId="6FD10A4C" w14:textId="77777777" w:rsidR="00DE4FD8" w:rsidRPr="008E4A2D" w:rsidRDefault="00DE4FD8" w:rsidP="00DE4FD8">
      <w:pPr>
        <w:spacing w:line="360" w:lineRule="auto"/>
        <w:rPr>
          <w:rFonts w:ascii="Times New Roman" w:hAnsi="Times New Roman" w:cs="Times New Roman"/>
          <w:b/>
          <w:bCs/>
        </w:rPr>
      </w:pPr>
      <w:r w:rsidRPr="008E4A2D">
        <w:rPr>
          <w:rFonts w:ascii="Times New Roman" w:hAnsi="Times New Roman" w:cs="Times New Roman"/>
          <w:b/>
          <w:bCs/>
        </w:rPr>
        <w:t xml:space="preserve">GFAP-positive and CD68-positive cell density vs. iron density in sections with macrohemorrhages. </w:t>
      </w:r>
    </w:p>
    <w:p w14:paraId="4184F806" w14:textId="77777777" w:rsidR="00DE4FD8" w:rsidRDefault="00DE4FD8" w:rsidP="00DE4FD8">
      <w:pPr>
        <w:spacing w:line="360" w:lineRule="auto"/>
      </w:pPr>
      <w:r w:rsidRPr="008E4A2D">
        <w:rPr>
          <w:rFonts w:ascii="Times New Roman" w:hAnsi="Times New Roman" w:cs="Times New Roman"/>
        </w:rPr>
        <w:t xml:space="preserve"> </w:t>
      </w:r>
      <w:r w:rsidRPr="008E4A2D">
        <w:rPr>
          <w:rFonts w:ascii="Times New Roman" w:hAnsi="Times New Roman" w:cs="Times New Roman"/>
          <w:b/>
          <w:bCs/>
        </w:rPr>
        <w:t>(A)</w:t>
      </w:r>
      <w:r w:rsidRPr="008E4A2D">
        <w:rPr>
          <w:rFonts w:ascii="Times New Roman" w:hAnsi="Times New Roman" w:cs="Times New Roman"/>
        </w:rPr>
        <w:t xml:space="preserve"> Example section from the temporal lobe in an area with macrohemorrhage, stained with hematoxylin and eosin. (</w:t>
      </w:r>
      <w:r w:rsidRPr="008E4A2D">
        <w:rPr>
          <w:rFonts w:ascii="Times New Roman" w:hAnsi="Times New Roman" w:cs="Times New Roman"/>
          <w:b/>
          <w:bCs/>
        </w:rPr>
        <w:t>B, C, D, E)</w:t>
      </w:r>
      <w:r w:rsidRPr="008E4A2D">
        <w:rPr>
          <w:rFonts w:ascii="Times New Roman" w:hAnsi="Times New Roman" w:cs="Times New Roman"/>
        </w:rPr>
        <w:t xml:space="preserve"> Serial sections from the inset region in the slide above, stained with </w:t>
      </w:r>
      <w:r w:rsidRPr="008E4A2D">
        <w:rPr>
          <w:rFonts w:ascii="Times New Roman" w:hAnsi="Times New Roman" w:cs="Times New Roman"/>
          <w:b/>
          <w:bCs/>
        </w:rPr>
        <w:t>(B)</w:t>
      </w:r>
      <w:r w:rsidRPr="008E4A2D">
        <w:rPr>
          <w:rFonts w:ascii="Times New Roman" w:hAnsi="Times New Roman" w:cs="Times New Roman"/>
        </w:rPr>
        <w:t xml:space="preserve"> hematoxylin and eosin to visualize hemosiderin deposits (in hemorrhagic region indicated by red asterisk), </w:t>
      </w:r>
      <w:r w:rsidRPr="008E4A2D">
        <w:rPr>
          <w:rFonts w:ascii="Times New Roman" w:hAnsi="Times New Roman" w:cs="Times New Roman"/>
          <w:b/>
          <w:bCs/>
        </w:rPr>
        <w:t xml:space="preserve">(C) </w:t>
      </w:r>
      <w:r w:rsidRPr="008E4A2D">
        <w:rPr>
          <w:rFonts w:ascii="Times New Roman" w:hAnsi="Times New Roman" w:cs="Times New Roman"/>
        </w:rPr>
        <w:t xml:space="preserve">Perls’ Prussian blue, and immunohistochemistry against </w:t>
      </w:r>
      <w:r w:rsidRPr="008E4A2D">
        <w:rPr>
          <w:rFonts w:ascii="Times New Roman" w:hAnsi="Times New Roman" w:cs="Times New Roman"/>
          <w:b/>
          <w:bCs/>
        </w:rPr>
        <w:t>(D)</w:t>
      </w:r>
      <w:r w:rsidRPr="008E4A2D">
        <w:rPr>
          <w:rFonts w:ascii="Times New Roman" w:hAnsi="Times New Roman" w:cs="Times New Roman"/>
        </w:rPr>
        <w:t xml:space="preserve"> GFAP and </w:t>
      </w:r>
      <w:r w:rsidRPr="008E4A2D">
        <w:rPr>
          <w:rFonts w:ascii="Times New Roman" w:hAnsi="Times New Roman" w:cs="Times New Roman"/>
          <w:b/>
          <w:bCs/>
        </w:rPr>
        <w:t>(E)</w:t>
      </w:r>
      <w:r w:rsidRPr="008E4A2D">
        <w:rPr>
          <w:rFonts w:ascii="Times New Roman" w:hAnsi="Times New Roman" w:cs="Times New Roman"/>
        </w:rPr>
        <w:t xml:space="preserve"> CD68. Examples of GFAP-positive and CD68-positive cells are indicated by yellow arrows. (</w:t>
      </w:r>
      <w:r w:rsidRPr="008E4A2D">
        <w:rPr>
          <w:rFonts w:ascii="Times New Roman" w:hAnsi="Times New Roman" w:cs="Times New Roman"/>
          <w:b/>
          <w:bCs/>
        </w:rPr>
        <w:t>F, G)</w:t>
      </w:r>
      <w:r w:rsidRPr="008E4A2D">
        <w:rPr>
          <w:rFonts w:ascii="Times New Roman" w:hAnsi="Times New Roman" w:cs="Times New Roman"/>
        </w:rPr>
        <w:t xml:space="preserve"> Reactive astrocytes and activated microglia/macrophages are present in the area around blood breakdown products. Plots of inflammatory cell density vs. iron deposit density in</w:t>
      </w:r>
      <w:r w:rsidRPr="008E4A2D">
        <w:rPr>
          <w:rFonts w:ascii="Times New Roman" w:hAnsi="Times New Roman" w:cs="Times New Roman"/>
          <w:color w:val="000000"/>
          <w:bdr w:val="none" w:sz="0" w:space="0" w:color="auto" w:frame="1"/>
        </w:rPr>
        <w:t xml:space="preserve"> sections with macrohemorrhage</w:t>
      </w:r>
      <w:r w:rsidRPr="008E4A2D">
        <w:rPr>
          <w:rFonts w:ascii="Times New Roman" w:hAnsi="Times New Roman" w:cs="Times New Roman"/>
        </w:rPr>
        <w:t>.</w:t>
      </w:r>
      <w:r w:rsidRPr="008E4A2D">
        <w:rPr>
          <w:rFonts w:ascii="Times New Roman" w:hAnsi="Times New Roman" w:cs="Times New Roman"/>
          <w:b/>
          <w:bCs/>
        </w:rPr>
        <w:t xml:space="preserve"> </w:t>
      </w:r>
      <w:r w:rsidRPr="008E4A2D">
        <w:rPr>
          <w:rFonts w:ascii="Times New Roman" w:hAnsi="Times New Roman" w:cs="Times New Roman"/>
        </w:rPr>
        <w:t>Each dot represents one section, and the inflammatory cell density for a section in one iron category is the mean of the inflammatory cell densities for all pixels in that brain that fall within that category. Each section may appear in each column. (</w:t>
      </w:r>
      <w:r w:rsidRPr="008E4A2D">
        <w:rPr>
          <w:rFonts w:ascii="Times New Roman" w:hAnsi="Times New Roman" w:cs="Times New Roman"/>
          <w:b/>
          <w:bCs/>
        </w:rPr>
        <w:t>F)</w:t>
      </w:r>
      <w:r w:rsidRPr="008E4A2D">
        <w:rPr>
          <w:rFonts w:ascii="Times New Roman" w:hAnsi="Times New Roman" w:cs="Times New Roman"/>
        </w:rPr>
        <w:t xml:space="preserve"> In sections with a macrohemorrhage, mean GFAP-positive cell densities trended toward being higher in pixels with higher iron burden, but there was not a significant association (Skillings-Mack χ</w:t>
      </w:r>
      <w:r w:rsidRPr="008E4A2D">
        <w:rPr>
          <w:rFonts w:ascii="Times New Roman" w:hAnsi="Times New Roman" w:cs="Times New Roman"/>
          <w:vertAlign w:val="superscript"/>
        </w:rPr>
        <w:t>2</w:t>
      </w:r>
      <w:r w:rsidRPr="008E4A2D">
        <w:rPr>
          <w:rFonts w:ascii="Times New Roman" w:hAnsi="Times New Roman" w:cs="Times New Roman"/>
        </w:rPr>
        <w:t xml:space="preserve"> (d.f. = 3) = 6.9, p = 0.0752). (</w:t>
      </w:r>
      <w:r w:rsidRPr="008E4A2D">
        <w:rPr>
          <w:rFonts w:ascii="Times New Roman" w:hAnsi="Times New Roman" w:cs="Times New Roman"/>
          <w:b/>
          <w:bCs/>
        </w:rPr>
        <w:t>G)</w:t>
      </w:r>
      <w:r w:rsidRPr="008E4A2D">
        <w:rPr>
          <w:rFonts w:ascii="Times New Roman" w:hAnsi="Times New Roman" w:cs="Times New Roman"/>
        </w:rPr>
        <w:t xml:space="preserve"> In sections with a macrohemorrhage, mean CD68-positive cell densities were higher in pixels with higher iron burden in four predefined categories (Skillings-Mack χ</w:t>
      </w:r>
      <w:r w:rsidRPr="008E4A2D">
        <w:rPr>
          <w:rFonts w:ascii="Times New Roman" w:hAnsi="Times New Roman" w:cs="Times New Roman"/>
          <w:vertAlign w:val="superscript"/>
        </w:rPr>
        <w:t>2</w:t>
      </w:r>
      <w:r w:rsidRPr="008E4A2D">
        <w:rPr>
          <w:rFonts w:ascii="Times New Roman" w:hAnsi="Times New Roman" w:cs="Times New Roman"/>
        </w:rPr>
        <w:t xml:space="preserve"> (d.f. = 3) = 8.1, p = 0.0440).</w:t>
      </w:r>
    </w:p>
    <w:p w14:paraId="252BE61B" w14:textId="77777777" w:rsidR="008458E4" w:rsidRDefault="008458E4"/>
    <w:sectPr w:rsidR="008458E4" w:rsidSect="001D3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D8"/>
    <w:rsid w:val="0004295A"/>
    <w:rsid w:val="001D37EF"/>
    <w:rsid w:val="003121AA"/>
    <w:rsid w:val="008458E4"/>
    <w:rsid w:val="00C57F71"/>
    <w:rsid w:val="00DE4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565888"/>
  <w15:chartTrackingRefBased/>
  <w15:docId w15:val="{367E24BC-E27C-DC4A-AC78-77338EF2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FD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1252</Characters>
  <Application>Microsoft Office Word</Application>
  <DocSecurity>0</DocSecurity>
  <Lines>27</Lines>
  <Paragraphs>11</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Kozberg, Mariel G.,MD, PhD</dc:creator>
  <cp:keywords/>
  <dc:description/>
  <cp:lastModifiedBy>Kozberg, Mariel G.,MD, PhD</cp:lastModifiedBy>
  <cp:revision>2</cp:revision>
  <dcterms:created xsi:type="dcterms:W3CDTF">2023-08-13T21:34:00Z</dcterms:created>
  <dcterms:modified xsi:type="dcterms:W3CDTF">2023-08-13T21:41:00Z</dcterms:modified>
</cp:coreProperties>
</file>