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609AF" w14:textId="721AD956" w:rsidR="004A798B" w:rsidRPr="0006596A" w:rsidRDefault="0023218E" w:rsidP="004541B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596A"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  <w:t xml:space="preserve">Additional file </w:t>
      </w:r>
      <w:r w:rsidR="006B2EE5" w:rsidRPr="0006596A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</w:p>
    <w:p w14:paraId="2C0BF20A" w14:textId="77777777" w:rsidR="006B2EE5" w:rsidRPr="0006596A" w:rsidRDefault="006B2EE5" w:rsidP="004541B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D99B88" w14:textId="69E60296" w:rsidR="00D05004" w:rsidRPr="0006596A" w:rsidRDefault="00312B1A" w:rsidP="004541B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96A">
        <w:rPr>
          <w:rFonts w:ascii="Times New Roman" w:hAnsi="Times New Roman" w:cs="Times New Roman"/>
          <w:b/>
          <w:bCs/>
          <w:sz w:val="24"/>
          <w:szCs w:val="24"/>
        </w:rPr>
        <w:t xml:space="preserve">M2 </w:t>
      </w:r>
      <w:r w:rsidR="00F70F01" w:rsidRPr="0006596A">
        <w:rPr>
          <w:rFonts w:ascii="Times New Roman" w:hAnsi="Times New Roman" w:cs="Times New Roman"/>
          <w:b/>
          <w:bCs/>
          <w:sz w:val="24"/>
          <w:szCs w:val="24"/>
        </w:rPr>
        <w:t xml:space="preserve">Macrophage-derived cathepsin S promotes peripheral nerve regeneration via fibroblast–Schwann cell </w:t>
      </w:r>
      <w:proofErr w:type="spellStart"/>
      <w:r w:rsidR="00F70F01" w:rsidRPr="0006596A">
        <w:rPr>
          <w:rFonts w:ascii="Times New Roman" w:hAnsi="Times New Roman" w:cs="Times New Roman"/>
          <w:b/>
          <w:bCs/>
          <w:sz w:val="24"/>
          <w:szCs w:val="24"/>
        </w:rPr>
        <w:t>signaling</w:t>
      </w:r>
      <w:proofErr w:type="spellEnd"/>
      <w:r w:rsidR="00F70F01" w:rsidRPr="0006596A">
        <w:rPr>
          <w:rFonts w:ascii="Times New Roman" w:hAnsi="Times New Roman" w:cs="Times New Roman"/>
          <w:b/>
          <w:bCs/>
          <w:sz w:val="24"/>
          <w:szCs w:val="24"/>
        </w:rPr>
        <w:t xml:space="preserve"> relay</w:t>
      </w:r>
    </w:p>
    <w:p w14:paraId="6E3914DA" w14:textId="77777777" w:rsidR="00F70F01" w:rsidRPr="0006596A" w:rsidRDefault="00F70F01" w:rsidP="004541B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AEB7F" w14:textId="231253FE" w:rsidR="00D05004" w:rsidRPr="0006596A" w:rsidRDefault="00D05004" w:rsidP="004541B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596A">
        <w:rPr>
          <w:rFonts w:ascii="Times New Roman" w:hAnsi="Times New Roman" w:cs="Times New Roman"/>
          <w:bCs/>
          <w:sz w:val="24"/>
          <w:szCs w:val="24"/>
        </w:rPr>
        <w:t xml:space="preserve">Eri </w:t>
      </w:r>
      <w:proofErr w:type="spellStart"/>
      <w:r w:rsidRPr="0006596A">
        <w:rPr>
          <w:rFonts w:ascii="Times New Roman" w:hAnsi="Times New Roman" w:cs="Times New Roman"/>
          <w:bCs/>
          <w:sz w:val="24"/>
          <w:szCs w:val="24"/>
        </w:rPr>
        <w:t>Oshima</w:t>
      </w:r>
      <w:proofErr w:type="spellEnd"/>
      <w:r w:rsidRPr="000659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596A">
        <w:rPr>
          <w:rFonts w:ascii="Times New Roman" w:hAnsi="Times New Roman" w:cs="Times New Roman"/>
          <w:bCs/>
          <w:i/>
          <w:sz w:val="24"/>
          <w:szCs w:val="24"/>
        </w:rPr>
        <w:t>et al</w:t>
      </w:r>
      <w:r w:rsidRPr="0006596A">
        <w:rPr>
          <w:rFonts w:ascii="Times New Roman" w:hAnsi="Times New Roman" w:cs="Times New Roman"/>
          <w:bCs/>
          <w:sz w:val="24"/>
          <w:szCs w:val="24"/>
        </w:rPr>
        <w:t>.</w:t>
      </w:r>
    </w:p>
    <w:p w14:paraId="00461173" w14:textId="2596A41F" w:rsidR="006B2EE5" w:rsidRPr="0006596A" w:rsidRDefault="00D05004" w:rsidP="004541B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96A">
        <w:rPr>
          <w:rFonts w:ascii="Times New Roman" w:hAnsi="Times New Roman" w:cs="Times New Roman"/>
          <w:sz w:val="24"/>
          <w:szCs w:val="24"/>
        </w:rPr>
        <w:t>Corresponding author: Yoshinori Hayashi, hayashi.yoshinori@nihon-u.ac.jp</w:t>
      </w:r>
    </w:p>
    <w:p w14:paraId="5D5B1CC9" w14:textId="2434CB11" w:rsidR="00D05004" w:rsidRPr="0006596A" w:rsidRDefault="00D05004" w:rsidP="004541B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F138F" w14:textId="0B10B500" w:rsidR="00D05004" w:rsidRPr="0006596A" w:rsidRDefault="00D05004" w:rsidP="004541B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06596A">
        <w:rPr>
          <w:rFonts w:ascii="Times New Roman" w:hAnsi="Times New Roman" w:cs="Times New Roman"/>
          <w:b/>
          <w:sz w:val="24"/>
          <w:szCs w:val="24"/>
          <w:lang w:eastAsia="ja-JP"/>
        </w:rPr>
        <w:t>The file include</w:t>
      </w:r>
      <w:r w:rsidR="00211922" w:rsidRPr="0006596A">
        <w:rPr>
          <w:rFonts w:ascii="Times New Roman" w:hAnsi="Times New Roman" w:cs="Times New Roman"/>
          <w:b/>
          <w:sz w:val="24"/>
          <w:szCs w:val="24"/>
          <w:lang w:eastAsia="ja-JP"/>
        </w:rPr>
        <w:t>s</w:t>
      </w:r>
      <w:r w:rsidR="006C178C" w:rsidRPr="0006596A">
        <w:rPr>
          <w:rFonts w:ascii="Times New Roman" w:hAnsi="Times New Roman" w:cs="Times New Roman"/>
          <w:b/>
          <w:sz w:val="24"/>
          <w:szCs w:val="24"/>
          <w:lang w:eastAsia="ja-JP"/>
        </w:rPr>
        <w:t>:</w:t>
      </w:r>
    </w:p>
    <w:p w14:paraId="5602E423" w14:textId="0DF7BCA0" w:rsidR="006C178C" w:rsidRPr="0006596A" w:rsidRDefault="00154BD3" w:rsidP="006C178C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596A">
        <w:rPr>
          <w:rFonts w:ascii="Times New Roman" w:hAnsi="Times New Roman" w:cs="Times New Roman"/>
          <w:sz w:val="24"/>
          <w:szCs w:val="24"/>
        </w:rPr>
        <w:tab/>
      </w:r>
      <w:r w:rsidRPr="0006596A">
        <w:rPr>
          <w:rFonts w:ascii="Times New Roman" w:hAnsi="Times New Roman" w:cs="Times New Roman"/>
          <w:bCs/>
          <w:sz w:val="24"/>
          <w:szCs w:val="24"/>
        </w:rPr>
        <w:t xml:space="preserve">Supplementary </w:t>
      </w:r>
      <w:r w:rsidR="006C178C" w:rsidRPr="0006596A">
        <w:rPr>
          <w:rFonts w:ascii="Times New Roman" w:hAnsi="Times New Roman" w:cs="Times New Roman"/>
          <w:bCs/>
          <w:sz w:val="24"/>
          <w:szCs w:val="24"/>
        </w:rPr>
        <w:t>figure and legends: figure S1 to S1</w:t>
      </w:r>
      <w:r w:rsidR="00B80C77" w:rsidRPr="0006596A">
        <w:rPr>
          <w:rFonts w:ascii="Times New Roman" w:hAnsi="Times New Roman" w:cs="Times New Roman"/>
          <w:bCs/>
          <w:sz w:val="24"/>
          <w:szCs w:val="24"/>
        </w:rPr>
        <w:t>4</w:t>
      </w:r>
    </w:p>
    <w:p w14:paraId="78D7E962" w14:textId="2A3D5C45" w:rsidR="00694D2A" w:rsidRPr="0006596A" w:rsidRDefault="00694D2A">
      <w:pPr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  <w:r w:rsidRPr="0006596A">
        <w:rPr>
          <w:rFonts w:ascii="Times New Roman" w:hAnsi="Times New Roman" w:cs="Times New Roman"/>
          <w:b/>
          <w:bCs/>
          <w:sz w:val="24"/>
          <w:szCs w:val="24"/>
          <w:lang w:eastAsia="ja-JP"/>
        </w:rPr>
        <w:br w:type="page"/>
      </w:r>
    </w:p>
    <w:p w14:paraId="7E334AE0" w14:textId="77777777" w:rsidR="00694D2A" w:rsidRPr="0006596A" w:rsidRDefault="00694D2A" w:rsidP="00694D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</w:p>
    <w:p w14:paraId="4F275212" w14:textId="77A7923A" w:rsidR="00694D2A" w:rsidRPr="0006596A" w:rsidRDefault="005C4425" w:rsidP="00694D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  <w:r w:rsidRPr="005C4425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drawing>
          <wp:inline distT="0" distB="0" distL="0" distR="0" wp14:anchorId="72A1A098" wp14:editId="1E5E9794">
            <wp:extent cx="5943600" cy="5549265"/>
            <wp:effectExtent l="0" t="0" r="0" b="635"/>
            <wp:docPr id="559778510" name="図 1" descr="ダイアグラム, 設計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778510" name="図 1" descr="ダイアグラム, 設計図&#10;&#10;自動的に生成された説明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FF3AA" w14:textId="77777777" w:rsidR="00694D2A" w:rsidRPr="0006596A" w:rsidRDefault="00694D2A" w:rsidP="00694D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</w:p>
    <w:p w14:paraId="2C6DC9CE" w14:textId="449434EF" w:rsidR="00694D2A" w:rsidRPr="0006596A" w:rsidRDefault="00694D2A" w:rsidP="00694D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Figure S1 </w:t>
      </w:r>
      <w:r w:rsidR="004C6D84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Schematic drawings of </w:t>
      </w:r>
      <w:r w:rsidR="000411C0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each </w:t>
      </w:r>
      <w:r w:rsidR="004C6D84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experimen</w:t>
      </w:r>
      <w:r w:rsidR="000411C0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t.</w:t>
      </w:r>
      <w:r w:rsidR="004C6D84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 </w:t>
      </w:r>
    </w:p>
    <w:p w14:paraId="0F0994BE" w14:textId="77777777" w:rsidR="00694D2A" w:rsidRPr="0006596A" w:rsidRDefault="00694D2A" w:rsidP="004541B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245F1" w14:textId="021FA98C" w:rsidR="006B2EE5" w:rsidRPr="0006596A" w:rsidRDefault="006B2EE5" w:rsidP="004541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596A">
        <w:rPr>
          <w:rFonts w:ascii="Times New Roman" w:hAnsi="Times New Roman" w:cs="Times New Roman"/>
          <w:sz w:val="24"/>
          <w:szCs w:val="24"/>
        </w:rPr>
        <w:br w:type="page"/>
      </w:r>
    </w:p>
    <w:p w14:paraId="30C519ED" w14:textId="1291D134" w:rsidR="005F22A9" w:rsidRPr="0006596A" w:rsidRDefault="005F22A9" w:rsidP="008D77D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6596A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lastRenderedPageBreak/>
        <w:drawing>
          <wp:inline distT="0" distB="0" distL="0" distR="0" wp14:anchorId="56B82C7E" wp14:editId="56BE435E">
            <wp:extent cx="5943600" cy="6344752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4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630C4" w14:textId="77777777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</w:p>
    <w:p w14:paraId="66742848" w14:textId="25C3025F" w:rsidR="008D77D6" w:rsidRPr="0006596A" w:rsidRDefault="00603BB7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Figure</w:t>
      </w:r>
      <w:r w:rsidR="008D77D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 S</w:t>
      </w:r>
      <w:r w:rsidR="00694D2A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2</w:t>
      </w:r>
      <w:r w:rsidR="008D77D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 Axon regeneration of IAN post-IANX. </w:t>
      </w:r>
      <w:r w:rsidR="00650EE6" w:rsidRPr="0006596A">
        <w:rPr>
          <w:rFonts w:ascii="Times New Roman" w:eastAsia="ＭＳ 明朝" w:hAnsi="Times New Roman" w:cs="Times New Roman"/>
          <w:b/>
          <w:kern w:val="0"/>
          <w:sz w:val="24"/>
          <w:szCs w:val="24"/>
          <w:lang w:val="en-US" w:eastAsia="ja-JP" w:bidi="ar-SA"/>
          <w14:ligatures w14:val="none"/>
        </w:rPr>
        <w:t>A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 Photographs show the site of IAN injury 14 days post-IANX. Broken lines indicate the edge of IAN. Arrows indicate the injured site. </w:t>
      </w:r>
      <w:r w:rsidR="00650EE6" w:rsidRPr="0006596A">
        <w:rPr>
          <w:rFonts w:ascii="Times New Roman" w:eastAsia="ＭＳ 明朝" w:hAnsi="Times New Roman" w:cs="Times New Roman"/>
          <w:b/>
          <w:kern w:val="0"/>
          <w:sz w:val="24"/>
          <w:szCs w:val="24"/>
          <w:lang w:val="en-US" w:eastAsia="ja-JP" w:bidi="ar-SA"/>
          <w14:ligatures w14:val="none"/>
        </w:rPr>
        <w:t>B</w:t>
      </w:r>
      <w:r w:rsidR="00650EE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Immunofluorescent images show NF200 and Hoechst at the injured site post-IANX. Arrows indicate the injured site.</w:t>
      </w:r>
    </w:p>
    <w:p w14:paraId="11C7C171" w14:textId="1E8C3C9B" w:rsidR="005F22A9" w:rsidRPr="0006596A" w:rsidRDefault="005F22A9" w:rsidP="008D77D6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</w:p>
    <w:p w14:paraId="04FDDBE1" w14:textId="25FF0DBB" w:rsidR="005F22A9" w:rsidRPr="0006596A" w:rsidRDefault="005F22A9" w:rsidP="008D77D6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lastRenderedPageBreak/>
        <w:drawing>
          <wp:inline distT="0" distB="0" distL="0" distR="0" wp14:anchorId="57D4FD43" wp14:editId="7EA39330">
            <wp:extent cx="5943600" cy="3030234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16D51" w14:textId="77777777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</w:p>
    <w:p w14:paraId="000CE36F" w14:textId="1819F352" w:rsidR="008D77D6" w:rsidRPr="0006596A" w:rsidRDefault="00603BB7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Figure S</w:t>
      </w:r>
      <w:r w:rsidR="00694D2A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3</w:t>
      </w:r>
      <w:r w:rsidR="008D77D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. c-Jun expression at the site of IAN injury 14 days post-IANX.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Images show c-Jun, I</w:t>
      </w:r>
      <w:r w:rsidR="00FD6DE2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BA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1, or αSMA immunofluorescence at the injured site. Pie charts indicate c-Jun-positive cells per I</w:t>
      </w:r>
      <w:r w:rsidR="00FD6DE2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BA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1-positive cells or c-Jun-positive cells per αSMA-positive cells. </w:t>
      </w:r>
      <w:r w:rsidR="00363130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n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=</w:t>
      </w:r>
      <w:r w:rsidR="00363130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5.</w:t>
      </w:r>
    </w:p>
    <w:p w14:paraId="470BDC67" w14:textId="27EFBF57" w:rsidR="00694D2A" w:rsidRPr="0006596A" w:rsidRDefault="00694D2A">
      <w:pPr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br w:type="page"/>
      </w:r>
    </w:p>
    <w:p w14:paraId="338C2B8C" w14:textId="10D9EB3C" w:rsidR="00694D2A" w:rsidRPr="0006596A" w:rsidRDefault="00283AE3" w:rsidP="00C41C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noProof/>
          <w:kern w:val="0"/>
          <w:sz w:val="24"/>
          <w:szCs w:val="24"/>
          <w:lang w:eastAsia="en-IN" w:bidi="ar-SA"/>
          <w14:ligatures w14:val="none"/>
        </w:rPr>
        <w:lastRenderedPageBreak/>
        <w:drawing>
          <wp:inline distT="0" distB="0" distL="0" distR="0" wp14:anchorId="482DCCD1" wp14:editId="17760B64">
            <wp:extent cx="5943600" cy="5523865"/>
            <wp:effectExtent l="0" t="0" r="0" b="635"/>
            <wp:docPr id="28668045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8045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0A3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694D2A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Figure S4.</w:t>
      </w:r>
      <w:r w:rsidR="006213EB" w:rsidRPr="0006596A">
        <w:rPr>
          <w:rFonts w:ascii="Times New Roman" w:hAnsi="Times New Roman" w:cs="Times New Roman"/>
          <w:sz w:val="24"/>
          <w:szCs w:val="24"/>
        </w:rPr>
        <w:t xml:space="preserve"> </w:t>
      </w:r>
      <w:r w:rsidR="000411C0" w:rsidRPr="0006596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Differentially expressed genes in the IAN after its injury.</w:t>
      </w:r>
      <w:r w:rsidR="000411C0" w:rsidRPr="0006596A">
        <w:rPr>
          <w:rStyle w:val="apple-converted-space"/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 </w:t>
      </w:r>
      <w:r w:rsidR="000411C0" w:rsidRPr="0006596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Hierarchical clustering of three IAN</w:t>
      </w:r>
      <w:r w:rsidR="00363130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s</w:t>
      </w:r>
      <w:r w:rsidR="000411C0" w:rsidRPr="0006596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from sham and IANX rats based on differentially expressed RNA transcripts. Each column represents a sample and each row represents a transcript. The expression level of each gene in a single sample is depicted according to the </w:t>
      </w:r>
      <w:proofErr w:type="spellStart"/>
      <w:r w:rsidR="000411C0" w:rsidRPr="0006596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color</w:t>
      </w:r>
      <w:proofErr w:type="spellEnd"/>
      <w:r w:rsidR="000411C0" w:rsidRPr="0006596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scale.</w:t>
      </w:r>
      <w:r w:rsidR="006213EB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</w:t>
      </w:r>
    </w:p>
    <w:p w14:paraId="097DC3D0" w14:textId="31323965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br w:type="page"/>
      </w:r>
    </w:p>
    <w:p w14:paraId="6ED0A218" w14:textId="31DC8246" w:rsidR="008D77D6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lastRenderedPageBreak/>
        <w:drawing>
          <wp:inline distT="0" distB="0" distL="0" distR="0" wp14:anchorId="60F2D92A" wp14:editId="3314AB54">
            <wp:extent cx="5943600" cy="3109458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C062C" w14:textId="77777777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</w:p>
    <w:p w14:paraId="38CDB5AA" w14:textId="2BC7B34D" w:rsidR="008D77D6" w:rsidRPr="0006596A" w:rsidRDefault="00603BB7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Figure S</w:t>
      </w:r>
      <w:r w:rsidR="00694D2A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5</w:t>
      </w:r>
      <w:r w:rsidR="008D77D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.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 xml:space="preserve"> </w:t>
      </w:r>
      <w:proofErr w:type="spellStart"/>
      <w:r w:rsidR="008D77D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Metascape</w:t>
      </w:r>
      <w:proofErr w:type="spellEnd"/>
      <w:r w:rsidR="008D77D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 xml:space="preserve"> bar graph for viewing top enrichment clusters.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 xml:space="preserve"> Macrophage-selective genes were picked up from IAN DEGs data using the </w:t>
      </w:r>
      <w:proofErr w:type="spellStart"/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Harmonizome</w:t>
      </w:r>
      <w:proofErr w:type="spellEnd"/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 xml:space="preserve"> database, and these were bar-plotted using </w:t>
      </w:r>
      <w:proofErr w:type="spellStart"/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Metascape</w:t>
      </w:r>
      <w:proofErr w:type="spellEnd"/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. The length of each bar represents –log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vertAlign w:val="subscript"/>
          <w:lang w:val="en-US" w:eastAsia="ja-JP" w:bidi="ar-SA"/>
          <w14:ligatures w14:val="none"/>
        </w:rPr>
        <w:t xml:space="preserve">10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(</w:t>
      </w:r>
      <w:r w:rsidR="008D77D6" w:rsidRPr="0006596A">
        <w:rPr>
          <w:rFonts w:ascii="Times New Roman" w:eastAsia="ＭＳ 明朝" w:hAnsi="Times New Roman" w:cs="Times New Roman"/>
          <w:i/>
          <w:iCs/>
          <w:kern w:val="0"/>
          <w:sz w:val="24"/>
          <w:szCs w:val="24"/>
          <w:lang w:val="en-US" w:eastAsia="ja-JP" w:bidi="ar-SA"/>
          <w14:ligatures w14:val="none"/>
        </w:rPr>
        <w:t>P-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value). The left shows GO terms.</w:t>
      </w:r>
    </w:p>
    <w:p w14:paraId="46BF1D9B" w14:textId="39C0B811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br w:type="page"/>
      </w:r>
    </w:p>
    <w:p w14:paraId="316231BA" w14:textId="4955982B" w:rsidR="008D77D6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lastRenderedPageBreak/>
        <w:drawing>
          <wp:anchor distT="0" distB="0" distL="114300" distR="114300" simplePos="0" relativeHeight="251658240" behindDoc="0" locked="0" layoutInCell="1" allowOverlap="1" wp14:anchorId="677F3AFD" wp14:editId="194924F2">
            <wp:simplePos x="0" y="0"/>
            <wp:positionH relativeFrom="column">
              <wp:posOffset>2164080</wp:posOffset>
            </wp:positionH>
            <wp:positionV relativeFrom="paragraph">
              <wp:posOffset>95453</wp:posOffset>
            </wp:positionV>
            <wp:extent cx="1609725" cy="2714625"/>
            <wp:effectExtent l="0" t="0" r="3175" b="3175"/>
            <wp:wrapTopAndBottom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B7991" w14:textId="77777777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</w:p>
    <w:p w14:paraId="2CDFABAF" w14:textId="19876CC4" w:rsidR="008D77D6" w:rsidRPr="0006596A" w:rsidRDefault="00603BB7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Figure S</w:t>
      </w:r>
      <w:r w:rsidR="00694D2A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6</w:t>
      </w:r>
      <w:r w:rsidR="008D77D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. Knockdown efficacy of CTSS after siRNA administration at the site of IAN injury post-IANX.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Blot of CTSS at the injured site 14 days post-IANX. </w:t>
      </w:r>
      <w:proofErr w:type="spellStart"/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siCont</w:t>
      </w:r>
      <w:proofErr w:type="spellEnd"/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and </w:t>
      </w:r>
      <w:proofErr w:type="spellStart"/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siCtss</w:t>
      </w:r>
      <w:proofErr w:type="spellEnd"/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indicate negative control siRNA and </w:t>
      </w:r>
      <w:proofErr w:type="spellStart"/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Ctss</w:t>
      </w:r>
      <w:proofErr w:type="spellEnd"/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siRNA, respectively. The column represents the average values of CTSS/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β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-actin. </w:t>
      </w:r>
      <w:r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n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=</w:t>
      </w:r>
      <w:r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5 in each, unpaired </w:t>
      </w:r>
      <w:r w:rsidR="008D77D6" w:rsidRPr="0006596A">
        <w:rPr>
          <w:rFonts w:ascii="Times New Roman" w:eastAsia="ＭＳ 明朝" w:hAnsi="Times New Roman" w:cs="Times New Roman"/>
          <w:i/>
          <w:iCs/>
          <w:kern w:val="0"/>
          <w:sz w:val="24"/>
          <w:szCs w:val="24"/>
          <w:lang w:val="en-US" w:eastAsia="ja-JP" w:bidi="ar-SA"/>
          <w14:ligatures w14:val="none"/>
        </w:rPr>
        <w:t>t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-test, *</w:t>
      </w:r>
      <w:r w:rsidR="008D77D6" w:rsidRPr="0006596A">
        <w:rPr>
          <w:rFonts w:ascii="Times New Roman" w:eastAsia="ＭＳ 明朝" w:hAnsi="Times New Roman" w:cs="Times New Roman"/>
          <w:i/>
          <w:kern w:val="0"/>
          <w:sz w:val="24"/>
          <w:szCs w:val="24"/>
          <w:lang w:val="en-US" w:eastAsia="ja-JP" w:bidi="ar-SA"/>
          <w14:ligatures w14:val="none"/>
        </w:rPr>
        <w:t>P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&lt;</w:t>
      </w:r>
      <w:r w:rsidR="00650EE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0.05. Data represent the mean ± SEM.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All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 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data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 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points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 are shown in open circles.</w:t>
      </w:r>
    </w:p>
    <w:p w14:paraId="1BCA3364" w14:textId="4B60CACF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br w:type="page"/>
      </w:r>
    </w:p>
    <w:p w14:paraId="5B5131E7" w14:textId="1A362856" w:rsidR="008D77D6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lastRenderedPageBreak/>
        <w:drawing>
          <wp:inline distT="0" distB="0" distL="0" distR="0" wp14:anchorId="33705ED7" wp14:editId="41A624FA">
            <wp:extent cx="5326533" cy="6553200"/>
            <wp:effectExtent l="0" t="0" r="762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455" cy="656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E93DD" w14:textId="77777777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</w:p>
    <w:p w14:paraId="37223C80" w14:textId="1A575AA3" w:rsidR="008D77D6" w:rsidRPr="0006596A" w:rsidRDefault="00603BB7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Figure S</w:t>
      </w:r>
      <w:r w:rsidR="00694D2A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7</w:t>
      </w:r>
      <w:r w:rsidR="008D77D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. Macrophage phenotype at the site of IAN injury. </w:t>
      </w:r>
      <w:r w:rsidR="00650EE6" w:rsidRPr="0006596A">
        <w:rPr>
          <w:rFonts w:ascii="Times New Roman" w:eastAsia="ＭＳ 明朝" w:hAnsi="Times New Roman" w:cs="Times New Roman"/>
          <w:b/>
          <w:kern w:val="0"/>
          <w:sz w:val="24"/>
          <w:szCs w:val="24"/>
          <w:lang w:val="en-US" w:eastAsia="ja-JP" w:bidi="ar-SA"/>
          <w14:ligatures w14:val="none"/>
        </w:rPr>
        <w:t xml:space="preserve">A, B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Images show CD206, CD11c, or I</w:t>
      </w:r>
      <w:r w:rsidR="00FD6DE2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BA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1 at the injured site 14 days post-IANX. Arrowheads indicate CD206 and I</w:t>
      </w:r>
      <w:r w:rsidR="00FD6DE2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BA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1 double-positive cells. </w:t>
      </w:r>
      <w:r w:rsidR="00650EE6" w:rsidRPr="0006596A">
        <w:rPr>
          <w:rFonts w:ascii="Times New Roman" w:eastAsia="ＭＳ 明朝" w:hAnsi="Times New Roman" w:cs="Times New Roman"/>
          <w:b/>
          <w:kern w:val="0"/>
          <w:sz w:val="24"/>
          <w:szCs w:val="24"/>
          <w:lang w:val="en-US" w:eastAsia="ja-JP" w:bidi="ar-SA"/>
          <w14:ligatures w14:val="none"/>
        </w:rPr>
        <w:t>C, D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 Blots show CD206 </w:t>
      </w:r>
      <w:r w:rsidR="00FD6DE2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(C)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 and CD11c (D) at the injured site 14 days post-surgery. The column represents CD206/β-act</w:t>
      </w:r>
      <w:r w:rsidR="00FD6DE2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in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(C) or CD11c/β-actin (D). CD11c expression was undetectable at the injured site. n</w:t>
      </w:r>
      <w:r w:rsidR="00363130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=</w:t>
      </w:r>
      <w:r w:rsidR="00363130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8 in each, Mann–Whitney U test, *</w:t>
      </w:r>
      <w:r w:rsidR="008D77D6" w:rsidRPr="0006596A">
        <w:rPr>
          <w:rFonts w:ascii="Times New Roman" w:eastAsia="ＭＳ 明朝" w:hAnsi="Times New Roman" w:cs="Times New Roman"/>
          <w:bCs/>
          <w:i/>
          <w:kern w:val="0"/>
          <w:sz w:val="24"/>
          <w:szCs w:val="24"/>
          <w:lang w:val="en-US" w:eastAsia="ja-JP" w:bidi="ar-SA"/>
          <w14:ligatures w14:val="none"/>
        </w:rPr>
        <w:t>P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 &lt;</w:t>
      </w:r>
      <w:r w:rsidR="00650EE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0.05. Boxes show the 25th–75th percentiles with the median value as a line within each box,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and whiskers indicate the 10th and 90th percentiles of the data in (C).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All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 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data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 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points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 are shown in open circles.</w:t>
      </w:r>
    </w:p>
    <w:p w14:paraId="3777C4AE" w14:textId="1393100B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br w:type="page"/>
      </w:r>
    </w:p>
    <w:p w14:paraId="0BDB2D72" w14:textId="44FB1ABA" w:rsidR="008D77D6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lastRenderedPageBreak/>
        <w:drawing>
          <wp:inline distT="0" distB="0" distL="0" distR="0" wp14:anchorId="3640B498" wp14:editId="73A5C5B6">
            <wp:extent cx="5943600" cy="4747404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43EFF" w14:textId="77777777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</w:p>
    <w:p w14:paraId="08C11A4F" w14:textId="758AFBF8" w:rsidR="008D77D6" w:rsidRPr="0006596A" w:rsidRDefault="00603BB7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Figure S</w:t>
      </w:r>
      <w:r w:rsidR="00694D2A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8</w:t>
      </w:r>
      <w:r w:rsidR="008D77D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. Polarization of peritoneal macrophages. </w:t>
      </w:r>
      <w:proofErr w:type="gramStart"/>
      <w:r w:rsidR="00650EE6" w:rsidRPr="0006596A">
        <w:rPr>
          <w:rFonts w:ascii="Times New Roman" w:eastAsia="ＭＳ 明朝" w:hAnsi="Times New Roman" w:cs="Times New Roman"/>
          <w:b/>
          <w:kern w:val="0"/>
          <w:sz w:val="24"/>
          <w:szCs w:val="24"/>
          <w:lang w:val="en-US" w:eastAsia="ja-JP" w:bidi="ar-SA"/>
          <w14:ligatures w14:val="none"/>
        </w:rPr>
        <w:t>A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 Peritoneal macrophages</w:t>
      </w:r>
      <w:proofErr w:type="gramEnd"/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 were seeded on the plate and then non-adhesive cells were washed out. The images show I</w:t>
      </w:r>
      <w:r w:rsidR="00FD6DE2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BA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1 and Hoechst of the adhesive cells in the culture plate. The pie chart indicates I</w:t>
      </w:r>
      <w:r w:rsidR="00FD6DE2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BA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-positive cells per Hoechst-positive cells. </w:t>
      </w:r>
      <w:r w:rsidR="00363130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N</w:t>
      </w:r>
      <w:r w:rsidR="00363130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=</w:t>
      </w:r>
      <w:r w:rsidR="00363130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10 independent culture. </w:t>
      </w:r>
      <w:r w:rsidR="00650EE6" w:rsidRPr="0006596A">
        <w:rPr>
          <w:rFonts w:ascii="Times New Roman" w:eastAsia="ＭＳ 明朝" w:hAnsi="Times New Roman" w:cs="Times New Roman"/>
          <w:b/>
          <w:kern w:val="0"/>
          <w:sz w:val="24"/>
          <w:szCs w:val="24"/>
          <w:lang w:val="en-US" w:eastAsia="ja-JP" w:bidi="ar-SA"/>
          <w14:ligatures w14:val="none"/>
        </w:rPr>
        <w:t>B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 Macrophages were stimulated with IL-4 and IL-13 or LPS and </w:t>
      </w:r>
      <w:proofErr w:type="spellStart"/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IFNγ</w:t>
      </w:r>
      <w:proofErr w:type="spellEnd"/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. The images show CD206 and differential interference contrast of macrophages.</w:t>
      </w:r>
    </w:p>
    <w:p w14:paraId="731B0D08" w14:textId="1E5F45FA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br w:type="page"/>
      </w:r>
    </w:p>
    <w:p w14:paraId="480C5466" w14:textId="4D00A016" w:rsidR="008D77D6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lastRenderedPageBreak/>
        <w:drawing>
          <wp:inline distT="0" distB="0" distL="0" distR="0" wp14:anchorId="4E8ABA13" wp14:editId="0C58FD78">
            <wp:extent cx="4886325" cy="3305175"/>
            <wp:effectExtent l="0" t="0" r="9525" b="952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3815C" w14:textId="77777777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</w:p>
    <w:p w14:paraId="6FCFDEEB" w14:textId="334AA087" w:rsidR="008D77D6" w:rsidRPr="0006596A" w:rsidRDefault="009225A9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Figure S</w:t>
      </w:r>
      <w:r w:rsidR="00694D2A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9</w:t>
      </w:r>
      <w:r w:rsidR="008D77D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. Expression of Ephrin-B2 or EphB2 at the site of IAN injury 14 days post-IANX.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Images show Ephrin-B2, αSMA, EphB2, or S100β immunofluorescence at the injured site. Arrowheads indicate Ephrin-B2 and αSMA double-positive cells or EphB2 and S100β double-positive cells.</w:t>
      </w:r>
    </w:p>
    <w:p w14:paraId="14A7D6AF" w14:textId="59B10096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br w:type="page"/>
      </w:r>
    </w:p>
    <w:p w14:paraId="76705168" w14:textId="69AD89C7" w:rsidR="008D77D6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lastRenderedPageBreak/>
        <w:drawing>
          <wp:inline distT="0" distB="0" distL="0" distR="0" wp14:anchorId="077305F4" wp14:editId="0642A204">
            <wp:extent cx="5431753" cy="6334125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137" cy="634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4F9D9" w14:textId="77777777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</w:p>
    <w:p w14:paraId="05E3AE0D" w14:textId="1BB74BED" w:rsidR="008D77D6" w:rsidRPr="0006596A" w:rsidRDefault="00E72BD9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Figure S</w:t>
      </w:r>
      <w:r w:rsidR="00694D2A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10</w:t>
      </w:r>
      <w:r w:rsidR="008D77D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. Effects of </w:t>
      </w:r>
      <w:proofErr w:type="spellStart"/>
      <w:r w:rsidR="008D77D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rhCTSS</w:t>
      </w:r>
      <w:proofErr w:type="spellEnd"/>
      <w:r w:rsidR="008D77D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 on axon outgrowth in primary trigeminal ganglion (TG) neurons.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650EE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A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Schematic illustration of a chamber of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 xml:space="preserve">compartmentalized neuronal cultures and time course of the preparation. </w:t>
      </w:r>
      <w:r w:rsidR="00650EE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B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 xml:space="preserve"> Images show β3-Tublin immunofluorescence in primary TG neurons. 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The column represents the average length of axons after treatment with saline or </w:t>
      </w:r>
      <w:proofErr w:type="spellStart"/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rhCTSS</w:t>
      </w:r>
      <w:proofErr w:type="spellEnd"/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. </w:t>
      </w:r>
      <w:r w:rsidR="00363130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n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=</w:t>
      </w:r>
      <w:r w:rsidR="00363130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13 independent cultures, Mann–Whitney U test, </w:t>
      </w:r>
      <w:r w:rsidR="008D77D6" w:rsidRPr="0006596A">
        <w:rPr>
          <w:rFonts w:ascii="Times New Roman" w:eastAsia="ＭＳ 明朝" w:hAnsi="Times New Roman" w:cs="Times New Roman"/>
          <w:i/>
          <w:kern w:val="0"/>
          <w:sz w:val="24"/>
          <w:szCs w:val="24"/>
          <w:lang w:val="en-US" w:eastAsia="ja-JP" w:bidi="ar-SA"/>
          <w14:ligatures w14:val="none"/>
        </w:rPr>
        <w:t>P</w:t>
      </w:r>
      <w:r w:rsidR="00363130">
        <w:rPr>
          <w:rFonts w:ascii="Times New Roman" w:eastAsia="ＭＳ 明朝" w:hAnsi="Times New Roman" w:cs="Times New Roman"/>
          <w:i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=</w:t>
      </w:r>
      <w:r w:rsidR="00363130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0.1534. Boxes show the 25th–75th percentiles with the median value as a line within each box, and whiskers indicate the 10th and 90th percentiles of the data.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All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 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data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 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points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 are shown in open circles.</w:t>
      </w:r>
    </w:p>
    <w:p w14:paraId="0A98DE3A" w14:textId="15E6C905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br w:type="page"/>
      </w:r>
    </w:p>
    <w:p w14:paraId="51BA8E66" w14:textId="7FE64BB9" w:rsidR="008D77D6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lastRenderedPageBreak/>
        <w:drawing>
          <wp:inline distT="0" distB="0" distL="0" distR="0" wp14:anchorId="687EE832" wp14:editId="2527B8B9">
            <wp:extent cx="5753100" cy="257175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1FEB6" w14:textId="0374CC66" w:rsidR="008D77D6" w:rsidRPr="0006596A" w:rsidRDefault="00CE7C14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Figure S</w:t>
      </w:r>
      <w:r w:rsidR="00694D2A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11</w:t>
      </w:r>
      <w:r w:rsidR="008D77D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. Effects of Ephrin-B2 blocking peptide (EBP) on macrophage expression at the site of IAN injury </w:t>
      </w:r>
      <w:r w:rsidR="00363130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8</w:t>
      </w:r>
      <w:r w:rsidR="008D77D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 days post-IANX.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Images show I</w:t>
      </w:r>
      <w:r w:rsidR="00FD6DE2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>BA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lang w:val="en-US" w:eastAsia="ja-JP" w:bidi="ar-SA"/>
          <w14:ligatures w14:val="none"/>
        </w:rPr>
        <w:t xml:space="preserve">1-positive cells at the injured site.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The column represents the average values of the area occupied by I</w:t>
      </w:r>
      <w:r w:rsidR="00FD6DE2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BA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1 immunofluorescence at the injured site. </w:t>
      </w:r>
      <w:r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n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=</w:t>
      </w:r>
      <w:r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5 in each, unpaired </w:t>
      </w:r>
      <w:r w:rsidR="008D77D6" w:rsidRPr="0006596A">
        <w:rPr>
          <w:rFonts w:ascii="Times New Roman" w:eastAsia="ＭＳ 明朝" w:hAnsi="Times New Roman" w:cs="Times New Roman"/>
          <w:i/>
          <w:kern w:val="0"/>
          <w:sz w:val="24"/>
          <w:szCs w:val="24"/>
          <w:lang w:val="en-US" w:eastAsia="ja-JP" w:bidi="ar-SA"/>
          <w14:ligatures w14:val="none"/>
        </w:rPr>
        <w:t>t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-test, </w:t>
      </w:r>
      <w:r w:rsidR="008D77D6" w:rsidRPr="0006596A">
        <w:rPr>
          <w:rFonts w:ascii="Times New Roman" w:eastAsia="ＭＳ 明朝" w:hAnsi="Times New Roman" w:cs="Times New Roman"/>
          <w:i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P</w:t>
      </w:r>
      <w:r w:rsidR="00363130">
        <w:rPr>
          <w:rFonts w:ascii="Times New Roman" w:eastAsia="ＭＳ 明朝" w:hAnsi="Times New Roman" w:cs="Times New Roman"/>
          <w:i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 xml:space="preserve">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=</w:t>
      </w:r>
      <w:r w:rsidR="00363130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0.248. 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All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 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data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 </w:t>
      </w:r>
      <w:r w:rsidR="008D77D6" w:rsidRPr="0006596A">
        <w:rPr>
          <w:rFonts w:ascii="Times New Roman" w:eastAsia="ＭＳ 明朝" w:hAnsi="Times New Roman" w:cs="Times New Roman"/>
          <w:bCs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points</w:t>
      </w:r>
      <w:r w:rsidR="008D77D6" w:rsidRPr="0006596A">
        <w:rPr>
          <w:rFonts w:ascii="Times New Roman" w:eastAsia="ＭＳ 明朝" w:hAnsi="Times New Roman" w:cs="Times New Roman"/>
          <w:kern w:val="0"/>
          <w:sz w:val="24"/>
          <w:szCs w:val="24"/>
          <w:shd w:val="clear" w:color="auto" w:fill="FFFFFF"/>
          <w:lang w:val="en-US" w:eastAsia="ja-JP" w:bidi="ar-SA"/>
          <w14:ligatures w14:val="none"/>
        </w:rPr>
        <w:t> are shown in open circles.</w:t>
      </w:r>
    </w:p>
    <w:p w14:paraId="6CE542F6" w14:textId="04678D5F" w:rsidR="009B1A31" w:rsidRPr="0006596A" w:rsidRDefault="009B1A31" w:rsidP="005F2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br w:type="page"/>
      </w:r>
    </w:p>
    <w:p w14:paraId="29140F15" w14:textId="77777777" w:rsidR="00323FCB" w:rsidRPr="0006596A" w:rsidRDefault="00323FCB" w:rsidP="00DC214A">
      <w:pPr>
        <w:spacing w:line="480" w:lineRule="auto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noProof/>
          <w:kern w:val="0"/>
          <w:sz w:val="24"/>
          <w:szCs w:val="24"/>
          <w:lang w:eastAsia="en-IN" w:bidi="ar-SA"/>
          <w14:ligatures w14:val="none"/>
        </w:rPr>
        <w:lastRenderedPageBreak/>
        <w:drawing>
          <wp:inline distT="0" distB="0" distL="0" distR="0" wp14:anchorId="3D5A2A54" wp14:editId="15EFFCF5">
            <wp:extent cx="4455268" cy="5466271"/>
            <wp:effectExtent l="0" t="0" r="2540" b="0"/>
            <wp:docPr id="1084858756" name="図 1" descr="白い背景に黒い文字が書かれた紙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858756" name="図 1" descr="白い背景に黒い文字が書かれた紙&#10;&#10;中程度の精度で自動的に生成された説明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57773" cy="546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 </w:t>
      </w:r>
    </w:p>
    <w:p w14:paraId="39C60A43" w14:textId="34DE956E" w:rsidR="00AB44E6" w:rsidRPr="0006596A" w:rsidRDefault="00CE7C14" w:rsidP="00DC214A">
      <w:pPr>
        <w:spacing w:line="480" w:lineRule="auto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Figure S</w:t>
      </w:r>
      <w:r w:rsidR="00694D2A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12</w:t>
      </w:r>
      <w:r w:rsidR="00AB44E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AB44E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Original blot for </w:t>
      </w:r>
      <w:proofErr w:type="spellStart"/>
      <w:r w:rsidR="00AB44E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Figuer</w:t>
      </w:r>
      <w:proofErr w:type="spellEnd"/>
      <w:r w:rsidR="00AB44E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2D (A), </w:t>
      </w:r>
      <w:proofErr w:type="spellStart"/>
      <w:r w:rsidR="00AB44E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Figuer</w:t>
      </w:r>
      <w:proofErr w:type="spellEnd"/>
      <w:r w:rsidR="00AB44E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3B (B), and Figure 3C (C). The area enclosed by the red broken line is the image used in the figure.</w:t>
      </w:r>
    </w:p>
    <w:p w14:paraId="4741A907" w14:textId="77777777" w:rsidR="00323FCB" w:rsidRPr="0006596A" w:rsidRDefault="00323FCB" w:rsidP="00DC214A">
      <w:pPr>
        <w:spacing w:line="480" w:lineRule="auto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</w:p>
    <w:p w14:paraId="52CF08CE" w14:textId="66079F9D" w:rsidR="00323FCB" w:rsidRPr="0006596A" w:rsidRDefault="00323FCB" w:rsidP="00DC21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596A">
        <w:rPr>
          <w:rFonts w:ascii="Times New Roman" w:hAnsi="Times New Roman" w:cs="Times New Roman"/>
          <w:b/>
          <w:bCs/>
          <w:noProof/>
          <w:sz w:val="24"/>
          <w:szCs w:val="24"/>
          <w:lang w:eastAsia="en-IN" w:bidi="ar-SA"/>
        </w:rPr>
        <w:lastRenderedPageBreak/>
        <w:drawing>
          <wp:inline distT="0" distB="0" distL="0" distR="0" wp14:anchorId="4D832A18" wp14:editId="4E2DB35B">
            <wp:extent cx="4416357" cy="6866120"/>
            <wp:effectExtent l="0" t="0" r="3810" b="5080"/>
            <wp:docPr id="21231360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13601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29392" cy="68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2A7ED" w14:textId="136BF48E" w:rsidR="00323FCB" w:rsidRPr="0006596A" w:rsidRDefault="00323FCB" w:rsidP="00323FCB">
      <w:pPr>
        <w:spacing w:line="480" w:lineRule="auto"/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Figure S1</w:t>
      </w:r>
      <w:r w:rsidR="00694D2A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3</w:t>
      </w:r>
      <w:r w:rsidR="00AB44E6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AB44E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Original blot for </w:t>
      </w:r>
      <w:proofErr w:type="spellStart"/>
      <w:r w:rsidR="00AB44E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Figuer</w:t>
      </w:r>
      <w:proofErr w:type="spellEnd"/>
      <w:r w:rsidR="00AB44E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D26B58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4A</w:t>
      </w:r>
      <w:r w:rsidR="00AB44E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(A), </w:t>
      </w:r>
      <w:proofErr w:type="spellStart"/>
      <w:r w:rsidR="00AB44E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Figuer</w:t>
      </w:r>
      <w:proofErr w:type="spellEnd"/>
      <w:r w:rsidR="00AB44E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D26B58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4D</w:t>
      </w:r>
      <w:r w:rsidR="00AB44E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(B), and Figure </w:t>
      </w:r>
      <w:r w:rsidR="00D26B58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5B </w:t>
      </w:r>
      <w:r w:rsidR="00AB44E6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(C). The area enclosed by the red broken line is the image used in the figure.</w:t>
      </w:r>
    </w:p>
    <w:p w14:paraId="3FB875B5" w14:textId="77777777" w:rsidR="00323FCB" w:rsidRPr="0006596A" w:rsidRDefault="00323FCB" w:rsidP="00DC21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2C7D585" w14:textId="74C495DC" w:rsidR="00323FCB" w:rsidRPr="0006596A" w:rsidRDefault="00323FCB" w:rsidP="00DC21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596A">
        <w:rPr>
          <w:rFonts w:ascii="Times New Roman" w:hAnsi="Times New Roman" w:cs="Times New Roman"/>
          <w:b/>
          <w:bCs/>
          <w:noProof/>
          <w:sz w:val="24"/>
          <w:szCs w:val="24"/>
          <w:lang w:eastAsia="en-IN" w:bidi="ar-SA"/>
        </w:rPr>
        <w:lastRenderedPageBreak/>
        <w:drawing>
          <wp:inline distT="0" distB="0" distL="0" distR="0" wp14:anchorId="34B60C8A" wp14:editId="0E69CC6B">
            <wp:extent cx="5175115" cy="6620942"/>
            <wp:effectExtent l="0" t="0" r="0" b="0"/>
            <wp:docPr id="226253511" name="図 1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253511" name="図 1" descr="ダイアグラム&#10;&#10;自動的に生成された説明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02284" cy="665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02A80" w14:textId="39749D0B" w:rsidR="00323FCB" w:rsidRPr="00650EE6" w:rsidRDefault="00323FCB" w:rsidP="00DC214A">
      <w:pPr>
        <w:spacing w:line="480" w:lineRule="auto"/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</w:pPr>
      <w:r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Figure S1</w:t>
      </w:r>
      <w:r w:rsidR="00694D2A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>4</w:t>
      </w:r>
      <w:r w:rsidR="00D26B58" w:rsidRPr="0006596A">
        <w:rPr>
          <w:rFonts w:ascii="Times New Roman" w:eastAsia="ＭＳ 明朝" w:hAnsi="Times New Roman" w:cs="Times New Roman"/>
          <w:b/>
          <w:bCs/>
          <w:kern w:val="0"/>
          <w:sz w:val="24"/>
          <w:szCs w:val="24"/>
          <w:lang w:val="en-US" w:eastAsia="ja-JP" w:bidi="ar-SA"/>
          <w14:ligatures w14:val="none"/>
        </w:rPr>
        <w:t xml:space="preserve"> </w:t>
      </w:r>
      <w:r w:rsidR="00D26B58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Original blot for </w:t>
      </w:r>
      <w:proofErr w:type="spellStart"/>
      <w:r w:rsidR="002167C7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F</w:t>
      </w:r>
      <w:r w:rsidR="00D26B58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iguer</w:t>
      </w:r>
      <w:proofErr w:type="spellEnd"/>
      <w:r w:rsidR="00D26B58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S</w:t>
      </w:r>
      <w:r w:rsidR="00B80C77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6</w:t>
      </w:r>
      <w:r w:rsidR="00D26B58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(A), </w:t>
      </w:r>
      <w:proofErr w:type="spellStart"/>
      <w:r w:rsidR="002167C7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F</w:t>
      </w:r>
      <w:r w:rsidR="00D26B58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iguer</w:t>
      </w:r>
      <w:proofErr w:type="spellEnd"/>
      <w:r w:rsidR="00D26B58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 S</w:t>
      </w:r>
      <w:r w:rsidR="00B80C77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7</w:t>
      </w:r>
      <w:r w:rsidR="00D26B58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 xml:space="preserve">C (B), and </w:t>
      </w:r>
      <w:r w:rsidR="002167C7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F</w:t>
      </w:r>
      <w:r w:rsidR="00D26B58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igure S</w:t>
      </w:r>
      <w:r w:rsidR="00B80C77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7</w:t>
      </w:r>
      <w:r w:rsidR="00D26B58" w:rsidRPr="0006596A">
        <w:rPr>
          <w:rFonts w:ascii="Times New Roman" w:eastAsia="ＭＳ 明朝" w:hAnsi="Times New Roman" w:cs="Times New Roman"/>
          <w:kern w:val="0"/>
          <w:sz w:val="24"/>
          <w:szCs w:val="24"/>
          <w:lang w:val="en-US" w:eastAsia="ja-JP" w:bidi="ar-SA"/>
          <w14:ligatures w14:val="none"/>
        </w:rPr>
        <w:t>D (C). The area enclosed by the red broken line is the image used in the figure.</w:t>
      </w:r>
    </w:p>
    <w:sectPr w:rsidR="00323FCB" w:rsidRPr="00650EE6" w:rsidSect="0006596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3FDAE" w14:textId="77777777" w:rsidR="008D5A1C" w:rsidRDefault="008D5A1C" w:rsidP="00FD6DE2">
      <w:pPr>
        <w:spacing w:after="0" w:line="240" w:lineRule="auto"/>
      </w:pPr>
      <w:r>
        <w:separator/>
      </w:r>
    </w:p>
  </w:endnote>
  <w:endnote w:type="continuationSeparator" w:id="0">
    <w:p w14:paraId="55E64A7F" w14:textId="77777777" w:rsidR="008D5A1C" w:rsidRDefault="008D5A1C" w:rsidP="00FD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9C701" w14:textId="77777777" w:rsidR="008D5A1C" w:rsidRDefault="008D5A1C" w:rsidP="00FD6DE2">
      <w:pPr>
        <w:spacing w:after="0" w:line="240" w:lineRule="auto"/>
      </w:pPr>
      <w:r>
        <w:separator/>
      </w:r>
    </w:p>
  </w:footnote>
  <w:footnote w:type="continuationSeparator" w:id="0">
    <w:p w14:paraId="5F093DF6" w14:textId="77777777" w:rsidR="008D5A1C" w:rsidRDefault="008D5A1C" w:rsidP="00FD6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3Nzc1MzW2NDMzMTZQ0lEKTi0uzszPAykwrQUA4h75uCwAAAA="/>
  </w:docVars>
  <w:rsids>
    <w:rsidRoot w:val="006B2EE5"/>
    <w:rsid w:val="000411C0"/>
    <w:rsid w:val="0006596A"/>
    <w:rsid w:val="00077698"/>
    <w:rsid w:val="000A4C5F"/>
    <w:rsid w:val="000D0271"/>
    <w:rsid w:val="000D7088"/>
    <w:rsid w:val="000F432E"/>
    <w:rsid w:val="001020A3"/>
    <w:rsid w:val="00104F9E"/>
    <w:rsid w:val="00154BD3"/>
    <w:rsid w:val="00176229"/>
    <w:rsid w:val="0018469D"/>
    <w:rsid w:val="00211922"/>
    <w:rsid w:val="002167C7"/>
    <w:rsid w:val="0023218E"/>
    <w:rsid w:val="00283AE3"/>
    <w:rsid w:val="002B163E"/>
    <w:rsid w:val="002B7B37"/>
    <w:rsid w:val="002F43E2"/>
    <w:rsid w:val="002F496D"/>
    <w:rsid w:val="00312B1A"/>
    <w:rsid w:val="0031777D"/>
    <w:rsid w:val="00323FCB"/>
    <w:rsid w:val="00362685"/>
    <w:rsid w:val="00363130"/>
    <w:rsid w:val="00367561"/>
    <w:rsid w:val="00440206"/>
    <w:rsid w:val="004541BB"/>
    <w:rsid w:val="004A798B"/>
    <w:rsid w:val="004B4C38"/>
    <w:rsid w:val="004C6D84"/>
    <w:rsid w:val="004E4F49"/>
    <w:rsid w:val="005A6257"/>
    <w:rsid w:val="005C4425"/>
    <w:rsid w:val="005F22A9"/>
    <w:rsid w:val="00603BB7"/>
    <w:rsid w:val="0062112C"/>
    <w:rsid w:val="006213EB"/>
    <w:rsid w:val="00650EE6"/>
    <w:rsid w:val="00694D2A"/>
    <w:rsid w:val="006B2EE5"/>
    <w:rsid w:val="006C178C"/>
    <w:rsid w:val="00741938"/>
    <w:rsid w:val="008132F5"/>
    <w:rsid w:val="00826EDA"/>
    <w:rsid w:val="0087222E"/>
    <w:rsid w:val="008D5A1C"/>
    <w:rsid w:val="008D77D6"/>
    <w:rsid w:val="0092252B"/>
    <w:rsid w:val="009225A9"/>
    <w:rsid w:val="0093111C"/>
    <w:rsid w:val="0094180A"/>
    <w:rsid w:val="009B1A31"/>
    <w:rsid w:val="009D5B37"/>
    <w:rsid w:val="00A87788"/>
    <w:rsid w:val="00AA64F3"/>
    <w:rsid w:val="00AB44E6"/>
    <w:rsid w:val="00AF7B4C"/>
    <w:rsid w:val="00B40CDD"/>
    <w:rsid w:val="00B7580C"/>
    <w:rsid w:val="00B80C77"/>
    <w:rsid w:val="00C40013"/>
    <w:rsid w:val="00C41B81"/>
    <w:rsid w:val="00C41CB7"/>
    <w:rsid w:val="00C87A61"/>
    <w:rsid w:val="00CE7C14"/>
    <w:rsid w:val="00D05004"/>
    <w:rsid w:val="00D26B58"/>
    <w:rsid w:val="00D42407"/>
    <w:rsid w:val="00D473DD"/>
    <w:rsid w:val="00DC214A"/>
    <w:rsid w:val="00DD615C"/>
    <w:rsid w:val="00E12EDF"/>
    <w:rsid w:val="00E72BD9"/>
    <w:rsid w:val="00F06EBA"/>
    <w:rsid w:val="00F70F01"/>
    <w:rsid w:val="00FD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514D82"/>
  <w15:chartTrackingRefBased/>
  <w15:docId w15:val="{4E8E4594-8DC5-4762-A127-A2987907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B2EE5"/>
    <w:rPr>
      <w:sz w:val="18"/>
      <w:szCs w:val="18"/>
    </w:rPr>
  </w:style>
  <w:style w:type="paragraph" w:styleId="a4">
    <w:name w:val="annotation text"/>
    <w:aliases w:val="Char11"/>
    <w:basedOn w:val="a"/>
    <w:link w:val="a5"/>
    <w:unhideWhenUsed/>
    <w:qFormat/>
    <w:rsid w:val="006B2EE5"/>
    <w:pPr>
      <w:spacing w:after="0" w:line="240" w:lineRule="auto"/>
    </w:pPr>
    <w:rPr>
      <w:rFonts w:ascii="Times New Roman" w:eastAsia="ＭＳ 明朝" w:hAnsi="Times New Roman" w:cs="ＭＳ Ｐゴシック"/>
      <w:kern w:val="0"/>
      <w:sz w:val="24"/>
      <w:szCs w:val="24"/>
      <w:lang w:val="en-US" w:eastAsia="ja-JP" w:bidi="ar-SA"/>
      <w14:ligatures w14:val="none"/>
    </w:rPr>
  </w:style>
  <w:style w:type="character" w:customStyle="1" w:styleId="a5">
    <w:name w:val="コメント文字列 (文字)"/>
    <w:aliases w:val="Char11 (文字)"/>
    <w:basedOn w:val="a0"/>
    <w:link w:val="a4"/>
    <w:qFormat/>
    <w:rsid w:val="006B2EE5"/>
    <w:rPr>
      <w:rFonts w:ascii="Times New Roman" w:eastAsia="ＭＳ 明朝" w:hAnsi="Times New Roman" w:cs="ＭＳ Ｐゴシック"/>
      <w:kern w:val="0"/>
      <w:sz w:val="24"/>
      <w:szCs w:val="24"/>
      <w:lang w:val="en-US" w:eastAsia="ja-JP" w:bidi="ar-SA"/>
      <w14:ligatures w14:val="none"/>
    </w:rPr>
  </w:style>
  <w:style w:type="character" w:styleId="a6">
    <w:name w:val="Hyperlink"/>
    <w:basedOn w:val="a0"/>
    <w:uiPriority w:val="99"/>
    <w:unhideWhenUsed/>
    <w:rsid w:val="0087222E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87222E"/>
    <w:rPr>
      <w:color w:val="605E5C"/>
      <w:shd w:val="clear" w:color="auto" w:fill="E1DFDD"/>
    </w:rPr>
  </w:style>
  <w:style w:type="character" w:styleId="a7">
    <w:name w:val="line number"/>
    <w:basedOn w:val="a0"/>
    <w:uiPriority w:val="99"/>
    <w:semiHidden/>
    <w:unhideWhenUsed/>
    <w:rsid w:val="004541BB"/>
  </w:style>
  <w:style w:type="paragraph" w:styleId="a8">
    <w:name w:val="annotation subject"/>
    <w:basedOn w:val="a4"/>
    <w:next w:val="a4"/>
    <w:link w:val="a9"/>
    <w:uiPriority w:val="99"/>
    <w:semiHidden/>
    <w:unhideWhenUsed/>
    <w:rsid w:val="008D77D6"/>
    <w:pPr>
      <w:spacing w:after="160"/>
    </w:pPr>
    <w:rPr>
      <w:rFonts w:asciiTheme="minorHAnsi" w:eastAsiaTheme="minorHAnsi" w:hAnsiTheme="minorHAnsi" w:cs="Mangal"/>
      <w:b/>
      <w:bCs/>
      <w:kern w:val="2"/>
      <w:sz w:val="20"/>
      <w:szCs w:val="18"/>
      <w:lang w:val="en-IN" w:eastAsia="en-US" w:bidi="hi-IN"/>
      <w14:ligatures w14:val="standardContextual"/>
    </w:rPr>
  </w:style>
  <w:style w:type="character" w:customStyle="1" w:styleId="a9">
    <w:name w:val="コメント内容 (文字)"/>
    <w:basedOn w:val="a5"/>
    <w:link w:val="a8"/>
    <w:uiPriority w:val="99"/>
    <w:semiHidden/>
    <w:rsid w:val="008D77D6"/>
    <w:rPr>
      <w:rFonts w:ascii="Times New Roman" w:eastAsia="ＭＳ 明朝" w:hAnsi="Times New Roman" w:cs="Mangal"/>
      <w:b/>
      <w:bCs/>
      <w:kern w:val="0"/>
      <w:sz w:val="20"/>
      <w:szCs w:val="18"/>
      <w:lang w:val="en-US" w:eastAsia="ja-JP" w:bidi="ar-SA"/>
      <w14:ligatures w14:val="none"/>
    </w:rPr>
  </w:style>
  <w:style w:type="paragraph" w:styleId="aa">
    <w:name w:val="Revision"/>
    <w:hidden/>
    <w:uiPriority w:val="99"/>
    <w:semiHidden/>
    <w:rsid w:val="000D7088"/>
    <w:pPr>
      <w:spacing w:after="0" w:line="240" w:lineRule="auto"/>
    </w:pPr>
    <w:rPr>
      <w:rFonts w:cs="Mangal"/>
    </w:rPr>
  </w:style>
  <w:style w:type="paragraph" w:styleId="ab">
    <w:name w:val="Balloon Text"/>
    <w:basedOn w:val="a"/>
    <w:link w:val="ac"/>
    <w:uiPriority w:val="99"/>
    <w:semiHidden/>
    <w:unhideWhenUsed/>
    <w:rsid w:val="00FD6DE2"/>
    <w:pPr>
      <w:spacing w:after="0" w:line="240" w:lineRule="auto"/>
    </w:pPr>
    <w:rPr>
      <w:rFonts w:asciiTheme="majorHAnsi" w:eastAsiaTheme="majorEastAsia" w:hAnsiTheme="majorHAnsi" w:cstheme="majorBidi"/>
      <w:sz w:val="18"/>
      <w:szCs w:val="16"/>
    </w:rPr>
  </w:style>
  <w:style w:type="character" w:customStyle="1" w:styleId="ac">
    <w:name w:val="吹き出し (文字)"/>
    <w:basedOn w:val="a0"/>
    <w:link w:val="ab"/>
    <w:uiPriority w:val="99"/>
    <w:semiHidden/>
    <w:rsid w:val="00FD6DE2"/>
    <w:rPr>
      <w:rFonts w:asciiTheme="majorHAnsi" w:eastAsiaTheme="majorEastAsia" w:hAnsiTheme="majorHAnsi" w:cstheme="majorBidi"/>
      <w:sz w:val="18"/>
      <w:szCs w:val="16"/>
    </w:rPr>
  </w:style>
  <w:style w:type="paragraph" w:styleId="ad">
    <w:name w:val="header"/>
    <w:basedOn w:val="a"/>
    <w:link w:val="ae"/>
    <w:uiPriority w:val="99"/>
    <w:unhideWhenUsed/>
    <w:rsid w:val="00FD6DE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D6DE2"/>
    <w:rPr>
      <w:rFonts w:cs="Mangal"/>
    </w:rPr>
  </w:style>
  <w:style w:type="paragraph" w:styleId="af">
    <w:name w:val="footer"/>
    <w:basedOn w:val="a"/>
    <w:link w:val="af0"/>
    <w:uiPriority w:val="99"/>
    <w:unhideWhenUsed/>
    <w:rsid w:val="00FD6DE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D6DE2"/>
    <w:rPr>
      <w:rFonts w:cs="Mangal"/>
    </w:rPr>
  </w:style>
  <w:style w:type="paragraph" w:customStyle="1" w:styleId="Refhead">
    <w:name w:val="Ref head"/>
    <w:basedOn w:val="a"/>
    <w:rsid w:val="00104F9E"/>
    <w:pPr>
      <w:keepNext/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28"/>
      <w:sz w:val="24"/>
      <w:szCs w:val="24"/>
      <w:lang w:val="en-US" w:bidi="ar-SA"/>
      <w14:ligatures w14:val="none"/>
    </w:rPr>
  </w:style>
  <w:style w:type="character" w:customStyle="1" w:styleId="apple-converted-space">
    <w:name w:val="apple-converted-space"/>
    <w:basedOn w:val="a0"/>
    <w:rsid w:val="00D42407"/>
  </w:style>
  <w:style w:type="character" w:styleId="af1">
    <w:name w:val="Strong"/>
    <w:basedOn w:val="a0"/>
    <w:uiPriority w:val="22"/>
    <w:qFormat/>
    <w:rsid w:val="00041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15</Pages>
  <Words>724</Words>
  <Characters>4131</Characters>
  <Application>Microsoft Office Word</Application>
  <DocSecurity>0</DocSecurity>
  <Lines>34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yoshinori hayashi</cp:lastModifiedBy>
  <cp:revision>30</cp:revision>
  <dcterms:created xsi:type="dcterms:W3CDTF">2023-07-14T16:55:00Z</dcterms:created>
  <dcterms:modified xsi:type="dcterms:W3CDTF">2023-11-04T05:12:00Z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bd9866907f2253985fda661c8f07bec968aa6ca2495329142bc6412509581c32</vt:lpwstr>
  </property>
</Properties>
</file>