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C70B7" w:rsidRDefault="00CC70B7" w:rsidP="00CC70B7">
      <w:pPr>
        <w:spacing w:line="480" w:lineRule="auto"/>
        <w:rPr>
          <w:rFonts w:ascii="Arial Unicode MS" w:hAnsi="Arial Unicode MS" w:cs="Arial Unicode MS"/>
          <w:b/>
          <w:bCs/>
          <w:sz w:val="22"/>
        </w:rPr>
      </w:pPr>
      <w:proofErr w:type="gramStart"/>
      <w:r w:rsidRPr="00442A9D">
        <w:rPr>
          <w:rFonts w:ascii="Arial Unicode MS" w:hAnsi="Arial" w:cs="Arial Unicode MS"/>
          <w:bCs/>
          <w:sz w:val="22"/>
        </w:rPr>
        <w:t>Fig.</w:t>
      </w:r>
      <w:proofErr w:type="gramEnd"/>
      <w:r w:rsidRPr="00442A9D">
        <w:rPr>
          <w:rFonts w:ascii="Arial Unicode MS" w:hAnsi="Arial" w:cs="Arial Unicode MS"/>
          <w:bCs/>
          <w:sz w:val="22"/>
        </w:rPr>
        <w:t xml:space="preserve"> S1. Microglia states have diverse biological pathway correlates.</w:t>
      </w:r>
      <w:r>
        <w:rPr>
          <w:rFonts w:ascii="Arial Unicode MS" w:hAnsi="Arial" w:cs="Arial Unicode MS"/>
          <w:b/>
          <w:bCs/>
          <w:sz w:val="22"/>
        </w:rPr>
        <w:t xml:space="preserve"> (A)</w:t>
      </w:r>
      <w:r>
        <w:rPr>
          <w:rFonts w:ascii="Arial Unicode MS" w:hAnsi="Arial" w:cs="Arial Unicode MS"/>
          <w:sz w:val="22"/>
        </w:rPr>
        <w:t xml:space="preserve"> GSEA analysis of genes that differentiate each cluster from cluster 9 ('homeostatic microglia') suggests distinct biological pathways.</w:t>
      </w:r>
      <w:r>
        <w:rPr>
          <w:rFonts w:ascii="Arial Unicode MS" w:hAnsi="Arial" w:cs="Arial Unicode MS"/>
          <w:b/>
          <w:bCs/>
          <w:sz w:val="22"/>
        </w:rPr>
        <w:t xml:space="preserve"> (B)</w:t>
      </w:r>
      <w:r>
        <w:rPr>
          <w:rFonts w:ascii="Arial Unicode MS" w:hAnsi="Arial" w:cs="Arial Unicode MS"/>
          <w:sz w:val="22"/>
        </w:rPr>
        <w:t xml:space="preserve"> GSEA shows top enriched pathways in some microglial </w:t>
      </w:r>
      <w:proofErr w:type="spellStart"/>
      <w:r>
        <w:rPr>
          <w:rFonts w:ascii="Arial Unicode MS" w:hAnsi="Arial" w:cs="Arial Unicode MS"/>
          <w:sz w:val="22"/>
        </w:rPr>
        <w:t>subclusters</w:t>
      </w:r>
      <w:proofErr w:type="spellEnd"/>
      <w:r>
        <w:rPr>
          <w:rFonts w:ascii="Arial Unicode MS" w:hAnsi="Arial" w:cs="Arial Unicode MS"/>
          <w:sz w:val="22"/>
        </w:rPr>
        <w:t>.</w:t>
      </w:r>
    </w:p>
    <w:p w:rsidR="00CC70B7" w:rsidRDefault="00CC70B7" w:rsidP="00CC70B7">
      <w:pPr>
        <w:spacing w:line="480" w:lineRule="auto"/>
        <w:rPr>
          <w:rFonts w:ascii="Arial Unicode MS" w:hAnsi="Arial Unicode MS" w:cs="Arial Unicode MS"/>
          <w:sz w:val="22"/>
        </w:rPr>
      </w:pPr>
      <w:proofErr w:type="gramStart"/>
      <w:r w:rsidRPr="00442A9D">
        <w:rPr>
          <w:rFonts w:ascii="Arial Unicode MS" w:hAnsi="Arial" w:cs="Arial Unicode MS"/>
          <w:bCs/>
          <w:sz w:val="22"/>
        </w:rPr>
        <w:t>Fig.</w:t>
      </w:r>
      <w:proofErr w:type="gramEnd"/>
      <w:r w:rsidRPr="00442A9D">
        <w:rPr>
          <w:rFonts w:ascii="Arial Unicode MS" w:hAnsi="Arial" w:cs="Arial Unicode MS"/>
          <w:bCs/>
          <w:sz w:val="22"/>
        </w:rPr>
        <w:t xml:space="preserve"> S2. IL-1B expressing microglia genes expression profile compared with P2RY12 expressing microglia</w:t>
      </w:r>
      <w:r>
        <w:rPr>
          <w:rFonts w:ascii="Arial Unicode MS" w:hAnsi="Arial" w:cs="Arial Unicode MS"/>
          <w:sz w:val="22"/>
        </w:rPr>
        <w:t xml:space="preserve">. </w:t>
      </w:r>
      <w:r>
        <w:rPr>
          <w:rFonts w:ascii="Arial Unicode MS" w:hAnsi="Arial" w:cs="Arial Unicode MS"/>
          <w:b/>
          <w:bCs/>
          <w:sz w:val="22"/>
        </w:rPr>
        <w:t>(A)</w:t>
      </w:r>
      <w:r>
        <w:rPr>
          <w:rFonts w:ascii="Arial Unicode MS" w:hAnsi="Arial" w:cs="Arial Unicode MS"/>
          <w:sz w:val="22"/>
        </w:rPr>
        <w:t xml:space="preserve"> </w:t>
      </w:r>
      <w:proofErr w:type="spellStart"/>
      <w:r>
        <w:rPr>
          <w:rFonts w:ascii="Arial Unicode MS" w:hAnsi="Arial" w:cs="Arial Unicode MS"/>
          <w:sz w:val="22"/>
        </w:rPr>
        <w:t>Dotplot</w:t>
      </w:r>
      <w:proofErr w:type="spellEnd"/>
      <w:r>
        <w:rPr>
          <w:rFonts w:ascii="Arial Unicode MS" w:hAnsi="Arial" w:cs="Arial Unicode MS"/>
          <w:sz w:val="22"/>
        </w:rPr>
        <w:t xml:space="preserve"> shows the normalized expression of P2RY12 and IL1B in microglia clusters of PHE tissue in patients with ICH. Dot size reflects the percentage of cells that showed genes, while color shows the expression levels of genes. </w:t>
      </w:r>
      <w:r>
        <w:rPr>
          <w:rFonts w:ascii="Arial Unicode MS" w:hAnsi="Arial" w:cs="Arial Unicode MS"/>
          <w:b/>
          <w:bCs/>
          <w:sz w:val="22"/>
        </w:rPr>
        <w:t>(B)</w:t>
      </w:r>
      <w:r>
        <w:rPr>
          <w:rFonts w:ascii="Arial Unicode MS" w:hAnsi="Arial" w:cs="Arial Unicode MS"/>
          <w:sz w:val="22"/>
        </w:rPr>
        <w:t xml:space="preserve"> </w:t>
      </w:r>
      <w:proofErr w:type="spellStart"/>
      <w:r>
        <w:rPr>
          <w:rFonts w:ascii="Arial Unicode MS" w:hAnsi="Arial" w:cs="Arial Unicode MS"/>
          <w:sz w:val="22"/>
        </w:rPr>
        <w:t>Heatmap</w:t>
      </w:r>
      <w:proofErr w:type="spellEnd"/>
      <w:r>
        <w:rPr>
          <w:rFonts w:ascii="Arial Unicode MS" w:hAnsi="Arial" w:cs="Arial Unicode MS"/>
          <w:sz w:val="22"/>
        </w:rPr>
        <w:t xml:space="preserve"> of genes significantly modulated in IL-1B expressing clusters compared to P2RY12 expressing clusters. For the </w:t>
      </w:r>
      <w:proofErr w:type="spellStart"/>
      <w:r>
        <w:rPr>
          <w:rFonts w:ascii="Arial Unicode MS" w:hAnsi="Arial" w:cs="Arial Unicode MS"/>
          <w:sz w:val="22"/>
        </w:rPr>
        <w:t>heatmap</w:t>
      </w:r>
      <w:proofErr w:type="spellEnd"/>
      <w:r>
        <w:rPr>
          <w:rFonts w:ascii="Arial Unicode MS" w:hAnsi="Arial" w:cs="Arial Unicode MS"/>
          <w:sz w:val="22"/>
        </w:rPr>
        <w:t xml:space="preserve">, 100 randomly sampled cells were shown for both IL1B and P2RY12 clusters. </w:t>
      </w:r>
      <w:r>
        <w:rPr>
          <w:rFonts w:ascii="Arial Unicode MS" w:hAnsi="Arial" w:cs="Arial Unicode MS"/>
          <w:b/>
          <w:bCs/>
          <w:sz w:val="22"/>
        </w:rPr>
        <w:t>(C)</w:t>
      </w:r>
      <w:r>
        <w:rPr>
          <w:rFonts w:ascii="Arial Unicode MS" w:hAnsi="Arial" w:cs="Arial Unicode MS"/>
          <w:sz w:val="22"/>
        </w:rPr>
        <w:t xml:space="preserve"> P2RY12, IL1B clusters marker, chemokine CCL4, CCL3L1, and </w:t>
      </w:r>
      <w:proofErr w:type="spellStart"/>
      <w:r>
        <w:rPr>
          <w:rFonts w:ascii="Arial Unicode MS" w:hAnsi="Arial" w:cs="Arial Unicode MS"/>
          <w:sz w:val="22"/>
        </w:rPr>
        <w:t>proinflammatory</w:t>
      </w:r>
      <w:proofErr w:type="spellEnd"/>
      <w:r>
        <w:rPr>
          <w:rFonts w:ascii="Arial Unicode MS" w:hAnsi="Arial" w:cs="Arial Unicode MS"/>
          <w:sz w:val="22"/>
        </w:rPr>
        <w:t xml:space="preserve"> nuclear transcription factor </w:t>
      </w:r>
      <w:r>
        <w:rPr>
          <w:rFonts w:ascii="Arial Unicode MS" w:hAnsi="Arial" w:cs="Arial Unicode MS"/>
          <w:i/>
          <w:sz w:val="22"/>
        </w:rPr>
        <w:t>NFKB1</w:t>
      </w:r>
      <w:r>
        <w:rPr>
          <w:rFonts w:ascii="Arial Unicode MS" w:hAnsi="Arial" w:cs="Arial Unicode MS"/>
          <w:sz w:val="22"/>
        </w:rPr>
        <w:t xml:space="preserve"> were shown as violin plots. </w:t>
      </w:r>
      <w:r>
        <w:rPr>
          <w:rFonts w:ascii="Arial Unicode MS" w:hAnsi="Arial" w:cs="Arial Unicode MS"/>
          <w:b/>
          <w:bCs/>
          <w:sz w:val="22"/>
        </w:rPr>
        <w:t>(D)</w:t>
      </w:r>
      <w:r>
        <w:rPr>
          <w:rFonts w:ascii="Arial Unicode MS" w:hAnsi="Arial" w:cs="Arial Unicode MS"/>
          <w:sz w:val="22"/>
        </w:rPr>
        <w:t xml:space="preserve"> GO gene set enrichment analysis results were shown as a bar plot where the x-axis -log of FDR adjusted p-value for GO terms was shown. The top 30 GO terms are shown in this figure. </w:t>
      </w:r>
      <w:r>
        <w:rPr>
          <w:rFonts w:ascii="Arial Unicode MS" w:hAnsi="Arial" w:cs="Arial Unicode MS"/>
          <w:b/>
          <w:bCs/>
          <w:sz w:val="22"/>
        </w:rPr>
        <w:t>(E)</w:t>
      </w:r>
      <w:r>
        <w:rPr>
          <w:rFonts w:ascii="Arial Unicode MS" w:hAnsi="Arial" w:cs="Arial Unicode MS"/>
          <w:sz w:val="22"/>
        </w:rPr>
        <w:t xml:space="preserve"> KEGG gene set enrichment analysis results were shown as bubble plots. The top 20 KEGG terms are shown in the figure.</w:t>
      </w:r>
    </w:p>
    <w:p w:rsidR="00CC70B7" w:rsidRDefault="00CC70B7" w:rsidP="00CC70B7">
      <w:pPr>
        <w:spacing w:line="480" w:lineRule="auto"/>
        <w:rPr>
          <w:rFonts w:ascii="Arial Unicode MS" w:hAnsi="Arial Unicode MS" w:cs="Arial Unicode MS"/>
          <w:sz w:val="22"/>
        </w:rPr>
      </w:pPr>
      <w:proofErr w:type="gramStart"/>
      <w:r w:rsidRPr="00442A9D">
        <w:rPr>
          <w:rFonts w:ascii="Arial Unicode MS" w:hAnsi="Arial" w:cs="Arial Unicode MS"/>
          <w:bCs/>
          <w:sz w:val="22"/>
        </w:rPr>
        <w:t>Fig.</w:t>
      </w:r>
      <w:proofErr w:type="gramEnd"/>
      <w:r w:rsidRPr="00442A9D">
        <w:rPr>
          <w:rFonts w:ascii="Arial Unicode MS" w:hAnsi="Arial" w:cs="Arial Unicode MS"/>
          <w:bCs/>
          <w:sz w:val="22"/>
        </w:rPr>
        <w:t xml:space="preserve"> S3. </w:t>
      </w:r>
      <w:proofErr w:type="gramStart"/>
      <w:r w:rsidRPr="00442A9D">
        <w:rPr>
          <w:rFonts w:ascii="Arial Unicode MS" w:hAnsi="Arial" w:cs="Arial Unicode MS"/>
          <w:bCs/>
          <w:sz w:val="22"/>
        </w:rPr>
        <w:t>Characterizing the gene expression profile of selected microglia-specific, inflammatory, and activation marker genes</w:t>
      </w:r>
      <w:r>
        <w:rPr>
          <w:rFonts w:ascii="Arial Unicode MS" w:hAnsi="Arial" w:cs="Arial Unicode MS"/>
          <w:sz w:val="22"/>
        </w:rPr>
        <w:t>.</w:t>
      </w:r>
      <w:proofErr w:type="gramEnd"/>
      <w:r>
        <w:rPr>
          <w:rFonts w:ascii="Arial Unicode MS" w:hAnsi="Arial" w:cs="Arial Unicode MS"/>
          <w:sz w:val="22"/>
        </w:rPr>
        <w:t xml:space="preserve"> </w:t>
      </w:r>
      <w:r>
        <w:rPr>
          <w:rFonts w:ascii="Arial Unicode MS" w:hAnsi="Arial" w:cs="Arial Unicode MS"/>
          <w:b/>
          <w:bCs/>
          <w:sz w:val="22"/>
        </w:rPr>
        <w:t>(A-B)</w:t>
      </w:r>
      <w:r>
        <w:rPr>
          <w:rFonts w:ascii="Arial Unicode MS" w:hAnsi="Arial" w:cs="Arial Unicode MS"/>
          <w:sz w:val="22"/>
        </w:rPr>
        <w:t xml:space="preserve"> The x-axis shows microglia </w:t>
      </w:r>
      <w:proofErr w:type="spellStart"/>
      <w:r>
        <w:rPr>
          <w:rFonts w:ascii="Arial Unicode MS" w:hAnsi="Arial" w:cs="Arial Unicode MS"/>
          <w:sz w:val="22"/>
        </w:rPr>
        <w:t>subclusters</w:t>
      </w:r>
      <w:proofErr w:type="spellEnd"/>
      <w:r>
        <w:rPr>
          <w:rFonts w:ascii="Arial Unicode MS" w:hAnsi="Arial" w:cs="Arial Unicode MS"/>
          <w:sz w:val="22"/>
        </w:rPr>
        <w:t>, and the y-axis shows normalized expression levels.</w:t>
      </w:r>
    </w:p>
    <w:p w:rsidR="00CC70B7" w:rsidRDefault="00CC70B7" w:rsidP="00CC70B7">
      <w:pPr>
        <w:spacing w:line="480" w:lineRule="auto"/>
        <w:rPr>
          <w:rFonts w:ascii="Arial Unicode MS" w:hAnsi="Arial Unicode MS" w:cs="Arial Unicode MS"/>
          <w:b/>
          <w:bCs/>
          <w:sz w:val="22"/>
        </w:rPr>
      </w:pPr>
      <w:proofErr w:type="gramStart"/>
      <w:r w:rsidRPr="00442A9D">
        <w:rPr>
          <w:rFonts w:ascii="Arial Unicode MS" w:hAnsi="Arial" w:cs="Arial Unicode MS"/>
          <w:bCs/>
          <w:sz w:val="22"/>
        </w:rPr>
        <w:lastRenderedPageBreak/>
        <w:t>Fig.</w:t>
      </w:r>
      <w:proofErr w:type="gramEnd"/>
      <w:r w:rsidRPr="00442A9D">
        <w:rPr>
          <w:rFonts w:ascii="Arial Unicode MS" w:hAnsi="Arial" w:cs="Arial Unicode MS"/>
          <w:bCs/>
          <w:sz w:val="22"/>
        </w:rPr>
        <w:t xml:space="preserve"> S4.</w:t>
      </w:r>
      <w:r w:rsidRPr="00442A9D">
        <w:rPr>
          <w:rFonts w:ascii="Arial Unicode MS" w:hAnsi="Arial" w:cs="Arial Unicode MS"/>
          <w:sz w:val="22"/>
        </w:rPr>
        <w:t xml:space="preserve"> </w:t>
      </w:r>
      <w:r w:rsidRPr="00442A9D">
        <w:rPr>
          <w:rFonts w:ascii="Arial Unicode MS" w:hAnsi="Arial" w:cs="Arial Unicode MS"/>
          <w:bCs/>
          <w:sz w:val="22"/>
        </w:rPr>
        <w:t>Transcription factor regulatory networks are specific to microglia phenotypes</w:t>
      </w:r>
      <w:r w:rsidRPr="00442A9D">
        <w:rPr>
          <w:rFonts w:ascii="Arial Unicode MS" w:hAnsi="Arial" w:cs="Arial Unicode MS"/>
          <w:sz w:val="22"/>
        </w:rPr>
        <w:t>.</w:t>
      </w:r>
      <w:r>
        <w:rPr>
          <w:rFonts w:ascii="Arial Unicode MS" w:hAnsi="Arial" w:cs="Arial Unicode MS"/>
          <w:b/>
          <w:bCs/>
          <w:sz w:val="22"/>
        </w:rPr>
        <w:t xml:space="preserve"> (A)</w:t>
      </w:r>
      <w:r>
        <w:rPr>
          <w:rFonts w:ascii="Arial Unicode MS" w:hAnsi="Arial" w:cs="Arial Unicode MS"/>
          <w:sz w:val="22"/>
        </w:rPr>
        <w:t xml:space="preserve"> SCENIC workflow identified transcription factor-regulated networks associated with different phenotypic clusters of microglia. </w:t>
      </w:r>
      <w:proofErr w:type="spellStart"/>
      <w:proofErr w:type="gramStart"/>
      <w:r>
        <w:rPr>
          <w:rFonts w:ascii="Arial Unicode MS" w:hAnsi="Arial" w:cs="Arial Unicode MS"/>
          <w:sz w:val="22"/>
        </w:rPr>
        <w:t>Heatmap</w:t>
      </w:r>
      <w:proofErr w:type="spellEnd"/>
      <w:r>
        <w:rPr>
          <w:rFonts w:ascii="Arial Unicode MS" w:hAnsi="Arial" w:cs="Arial Unicode MS"/>
          <w:sz w:val="22"/>
        </w:rPr>
        <w:t xml:space="preserve"> of each microglia subtype's inferred </w:t>
      </w:r>
      <w:proofErr w:type="spellStart"/>
      <w:r>
        <w:rPr>
          <w:rFonts w:ascii="Arial Unicode MS" w:hAnsi="Arial" w:cs="Arial Unicode MS"/>
          <w:sz w:val="22"/>
        </w:rPr>
        <w:t>regulon</w:t>
      </w:r>
      <w:proofErr w:type="spellEnd"/>
      <w:r>
        <w:rPr>
          <w:rFonts w:ascii="Arial Unicode MS" w:hAnsi="Arial" w:cs="Arial Unicode MS"/>
          <w:sz w:val="22"/>
        </w:rPr>
        <w:t xml:space="preserve"> activity score (RAS) in cluster levels.</w:t>
      </w:r>
      <w:proofErr w:type="gramEnd"/>
      <w:r>
        <w:rPr>
          <w:rFonts w:ascii="Arial Unicode MS" w:hAnsi="Arial" w:cs="Arial Unicode MS"/>
          <w:sz w:val="22"/>
        </w:rPr>
        <w:t xml:space="preserve"> </w:t>
      </w:r>
      <w:r>
        <w:rPr>
          <w:rFonts w:ascii="Arial Unicode MS" w:hAnsi="Arial" w:cs="Arial Unicode MS"/>
          <w:b/>
          <w:bCs/>
          <w:sz w:val="22"/>
        </w:rPr>
        <w:t>(B)</w:t>
      </w:r>
      <w:r>
        <w:rPr>
          <w:rFonts w:ascii="Arial Unicode MS" w:hAnsi="Arial" w:cs="Arial Unicode MS"/>
          <w:sz w:val="22"/>
        </w:rPr>
        <w:t xml:space="preserve"> Ranking plot of </w:t>
      </w:r>
      <w:proofErr w:type="spellStart"/>
      <w:r>
        <w:rPr>
          <w:rFonts w:ascii="Arial Unicode MS" w:hAnsi="Arial" w:cs="Arial Unicode MS"/>
          <w:sz w:val="22"/>
        </w:rPr>
        <w:t>regulon</w:t>
      </w:r>
      <w:proofErr w:type="spellEnd"/>
      <w:r>
        <w:rPr>
          <w:rFonts w:ascii="Arial Unicode MS" w:hAnsi="Arial" w:cs="Arial Unicode MS"/>
          <w:sz w:val="22"/>
        </w:rPr>
        <w:t xml:space="preserve"> specificity score (RSS). The higher RSS of the </w:t>
      </w:r>
      <w:proofErr w:type="spellStart"/>
      <w:r>
        <w:rPr>
          <w:rFonts w:ascii="Arial Unicode MS" w:hAnsi="Arial" w:cs="Arial Unicode MS"/>
          <w:sz w:val="22"/>
        </w:rPr>
        <w:t>regulon</w:t>
      </w:r>
      <w:proofErr w:type="spellEnd"/>
      <w:r>
        <w:rPr>
          <w:rFonts w:ascii="Arial Unicode MS" w:hAnsi="Arial" w:cs="Arial Unicode MS"/>
          <w:sz w:val="22"/>
        </w:rPr>
        <w:t xml:space="preserve"> may be specific to the subtypes.</w:t>
      </w:r>
      <w:r>
        <w:rPr>
          <w:rFonts w:ascii="Arial Unicode MS" w:hAnsi="Arial" w:cs="Arial Unicode MS"/>
          <w:b/>
          <w:bCs/>
          <w:sz w:val="22"/>
        </w:rPr>
        <w:t xml:space="preserve"> (C)</w:t>
      </w:r>
      <w:r>
        <w:rPr>
          <w:rFonts w:ascii="Arial Unicode MS" w:hAnsi="Arial" w:cs="Arial Unicode MS"/>
          <w:sz w:val="22"/>
        </w:rPr>
        <w:t xml:space="preserve"> </w:t>
      </w:r>
      <w:proofErr w:type="spellStart"/>
      <w:r>
        <w:rPr>
          <w:rFonts w:ascii="Arial Unicode MS" w:hAnsi="Arial" w:cs="Arial Unicode MS"/>
          <w:sz w:val="22"/>
        </w:rPr>
        <w:t>Heatmap</w:t>
      </w:r>
      <w:proofErr w:type="spellEnd"/>
      <w:r>
        <w:rPr>
          <w:rFonts w:ascii="Arial Unicode MS" w:hAnsi="Arial" w:cs="Arial Unicode MS"/>
          <w:sz w:val="22"/>
        </w:rPr>
        <w:t xml:space="preserve"> of </w:t>
      </w:r>
      <w:proofErr w:type="spellStart"/>
      <w:r>
        <w:rPr>
          <w:rFonts w:ascii="Arial Unicode MS" w:hAnsi="Arial" w:cs="Arial Unicode MS"/>
          <w:sz w:val="22"/>
        </w:rPr>
        <w:t>regulon</w:t>
      </w:r>
      <w:proofErr w:type="spellEnd"/>
      <w:r>
        <w:rPr>
          <w:rFonts w:ascii="Arial Unicode MS" w:hAnsi="Arial" w:cs="Arial Unicode MS"/>
          <w:sz w:val="22"/>
        </w:rPr>
        <w:t xml:space="preserve"> specificity score (RSS). The higher RSS of the </w:t>
      </w:r>
      <w:proofErr w:type="spellStart"/>
      <w:r>
        <w:rPr>
          <w:rFonts w:ascii="Arial Unicode MS" w:hAnsi="Arial" w:cs="Arial Unicode MS"/>
          <w:sz w:val="22"/>
        </w:rPr>
        <w:t>regulon</w:t>
      </w:r>
      <w:proofErr w:type="spellEnd"/>
      <w:r>
        <w:rPr>
          <w:rFonts w:ascii="Arial Unicode MS" w:hAnsi="Arial" w:cs="Arial Unicode MS"/>
          <w:sz w:val="22"/>
        </w:rPr>
        <w:t xml:space="preserve"> may be specific to the subtypes.</w:t>
      </w:r>
    </w:p>
    <w:p w:rsidR="00CC70B7" w:rsidRDefault="00CC70B7" w:rsidP="00CC70B7">
      <w:pPr>
        <w:spacing w:line="480" w:lineRule="auto"/>
        <w:rPr>
          <w:rFonts w:ascii="Arial Unicode MS" w:hAnsi="Arial Unicode MS" w:cs="Arial Unicode MS"/>
          <w:sz w:val="22"/>
        </w:rPr>
      </w:pPr>
      <w:proofErr w:type="gramStart"/>
      <w:r w:rsidRPr="00442A9D">
        <w:rPr>
          <w:rFonts w:ascii="Arial Unicode MS" w:hAnsi="Arial" w:cs="Arial Unicode MS"/>
          <w:bCs/>
          <w:sz w:val="22"/>
        </w:rPr>
        <w:t>Fig.</w:t>
      </w:r>
      <w:proofErr w:type="gramEnd"/>
      <w:r w:rsidRPr="00442A9D">
        <w:rPr>
          <w:rFonts w:ascii="Arial Unicode MS" w:hAnsi="Arial" w:cs="Arial Unicode MS"/>
          <w:bCs/>
          <w:sz w:val="22"/>
        </w:rPr>
        <w:t xml:space="preserve"> S5. Signaling changes of microglia </w:t>
      </w:r>
      <w:proofErr w:type="spellStart"/>
      <w:r w:rsidRPr="00442A9D">
        <w:rPr>
          <w:rFonts w:ascii="Arial Unicode MS" w:hAnsi="Arial" w:cs="Arial Unicode MS"/>
          <w:bCs/>
          <w:sz w:val="22"/>
        </w:rPr>
        <w:t>subcluster</w:t>
      </w:r>
      <w:proofErr w:type="spellEnd"/>
      <w:r w:rsidRPr="00442A9D">
        <w:rPr>
          <w:rFonts w:ascii="Arial Unicode MS" w:hAnsi="Arial" w:cs="Arial Unicode MS"/>
          <w:bCs/>
          <w:sz w:val="22"/>
        </w:rPr>
        <w:t xml:space="preserve"> during PHE tissue progression</w:t>
      </w:r>
      <w:r w:rsidRPr="00442A9D">
        <w:rPr>
          <w:rFonts w:ascii="Arial Unicode MS" w:hAnsi="Arial" w:cs="Arial Unicode MS"/>
          <w:sz w:val="22"/>
        </w:rPr>
        <w:t>.</w:t>
      </w:r>
      <w:r>
        <w:rPr>
          <w:rFonts w:ascii="Arial Unicode MS" w:hAnsi="Arial" w:cs="Arial Unicode MS"/>
          <w:b/>
          <w:bCs/>
          <w:sz w:val="22"/>
        </w:rPr>
        <w:t xml:space="preserve"> </w:t>
      </w:r>
      <w:r>
        <w:rPr>
          <w:rFonts w:ascii="Arial Unicode MS" w:hAnsi="Arial" w:cs="Arial Unicode MS"/>
          <w:sz w:val="22"/>
        </w:rPr>
        <w:t>Cell ligand-receptor inference analysis of microglial subtypes during PHE tissue progression (G3 vs. G2).</w:t>
      </w:r>
    </w:p>
    <w:p w:rsidR="00CC70B7" w:rsidRDefault="00CC70B7" w:rsidP="00CC70B7">
      <w:pPr>
        <w:spacing w:line="480" w:lineRule="auto"/>
        <w:rPr>
          <w:rFonts w:ascii="Arial Unicode MS" w:hAnsi="Arial Unicode MS" w:cs="Arial Unicode MS"/>
          <w:sz w:val="22"/>
        </w:rPr>
      </w:pPr>
      <w:proofErr w:type="gramStart"/>
      <w:r w:rsidRPr="00442A9D">
        <w:rPr>
          <w:rFonts w:ascii="Arial Unicode MS" w:hAnsi="Arial" w:cs="Arial Unicode MS"/>
          <w:bCs/>
          <w:sz w:val="22"/>
        </w:rPr>
        <w:t>Fig.</w:t>
      </w:r>
      <w:proofErr w:type="gramEnd"/>
      <w:r w:rsidRPr="00442A9D">
        <w:rPr>
          <w:rFonts w:ascii="Arial Unicode MS" w:hAnsi="Arial" w:cs="Arial Unicode MS"/>
          <w:bCs/>
          <w:sz w:val="22"/>
        </w:rPr>
        <w:t xml:space="preserve"> S6. </w:t>
      </w:r>
      <w:proofErr w:type="gramStart"/>
      <w:r w:rsidRPr="00442A9D">
        <w:rPr>
          <w:rFonts w:ascii="Arial Unicode MS" w:hAnsi="Arial" w:cs="Arial Unicode MS"/>
          <w:bCs/>
          <w:sz w:val="22"/>
        </w:rPr>
        <w:t>The heterogeneity of neutrophils during PHE progression</w:t>
      </w:r>
      <w:r>
        <w:rPr>
          <w:rFonts w:ascii="Arial Unicode MS" w:hAnsi="Arial" w:cs="Arial Unicode MS"/>
          <w:b/>
          <w:bCs/>
          <w:sz w:val="22"/>
        </w:rPr>
        <w:t>.</w:t>
      </w:r>
      <w:proofErr w:type="gramEnd"/>
      <w:r>
        <w:rPr>
          <w:rFonts w:ascii="Arial Unicode MS" w:hAnsi="Arial" w:cs="Arial Unicode MS"/>
          <w:sz w:val="22"/>
        </w:rPr>
        <w:t xml:space="preserve"> </w:t>
      </w:r>
      <w:r>
        <w:rPr>
          <w:rFonts w:ascii="Arial Unicode MS" w:hAnsi="Arial" w:cs="Arial Unicode MS"/>
          <w:b/>
          <w:bCs/>
          <w:sz w:val="22"/>
        </w:rPr>
        <w:t>(A)</w:t>
      </w:r>
      <w:r>
        <w:rPr>
          <w:rFonts w:ascii="Arial Unicode MS" w:hAnsi="Arial" w:cs="Arial Unicode MS"/>
          <w:sz w:val="22"/>
        </w:rPr>
        <w:t xml:space="preserve"> Differential expression analysis comparing each cluster to all others demonstrates disti</w:t>
      </w:r>
      <w:bookmarkStart w:id="0" w:name="_GoBack"/>
      <w:bookmarkEnd w:id="0"/>
      <w:r>
        <w:rPr>
          <w:rFonts w:ascii="Arial Unicode MS" w:hAnsi="Arial" w:cs="Arial Unicode MS"/>
          <w:sz w:val="22"/>
        </w:rPr>
        <w:t xml:space="preserve">nct gene expression profiles. The top 20 genes from each cluster are displayed with gene names annotated on the right. </w:t>
      </w:r>
      <w:r>
        <w:rPr>
          <w:rFonts w:ascii="Arial Unicode MS" w:hAnsi="Arial" w:cs="Arial Unicode MS"/>
          <w:b/>
          <w:bCs/>
          <w:sz w:val="22"/>
        </w:rPr>
        <w:t>(B)</w:t>
      </w:r>
      <w:r>
        <w:rPr>
          <w:rFonts w:ascii="Arial Unicode MS" w:hAnsi="Arial" w:cs="Arial Unicode MS"/>
          <w:sz w:val="22"/>
        </w:rPr>
        <w:t xml:space="preserve"> Violin plot showing the scores of functional modules for each neutrophil </w:t>
      </w:r>
      <w:proofErr w:type="spellStart"/>
      <w:r>
        <w:rPr>
          <w:rFonts w:ascii="Arial Unicode MS" w:hAnsi="Arial" w:cs="Arial Unicode MS"/>
          <w:sz w:val="22"/>
        </w:rPr>
        <w:t>subcluster</w:t>
      </w:r>
      <w:proofErr w:type="spellEnd"/>
      <w:r>
        <w:rPr>
          <w:rFonts w:ascii="Arial Unicode MS" w:hAnsi="Arial" w:cs="Arial Unicode MS"/>
          <w:sz w:val="22"/>
        </w:rPr>
        <w:t xml:space="preserve">, using the </w:t>
      </w:r>
      <w:proofErr w:type="spellStart"/>
      <w:r>
        <w:rPr>
          <w:rFonts w:ascii="Arial Unicode MS" w:hAnsi="Arial" w:cs="Arial Unicode MS"/>
          <w:sz w:val="22"/>
        </w:rPr>
        <w:t>AddModuleScore</w:t>
      </w:r>
      <w:proofErr w:type="spellEnd"/>
      <w:r>
        <w:rPr>
          <w:rFonts w:ascii="Arial Unicode MS" w:hAnsi="Arial" w:cs="Arial Unicode MS"/>
          <w:sz w:val="22"/>
        </w:rPr>
        <w:t xml:space="preserve"> function. </w:t>
      </w:r>
      <w:r>
        <w:rPr>
          <w:rFonts w:ascii="Arial Unicode MS" w:hAnsi="Arial" w:cs="Arial Unicode MS"/>
          <w:b/>
          <w:bCs/>
          <w:sz w:val="22"/>
        </w:rPr>
        <w:t>(C)</w:t>
      </w:r>
      <w:r>
        <w:rPr>
          <w:rFonts w:ascii="Arial Unicode MS" w:hAnsi="Arial" w:cs="Arial Unicode MS"/>
          <w:sz w:val="22"/>
        </w:rPr>
        <w:t xml:space="preserve"> Enriched KEGG terms for gene sets from four modules (modules 3 and 4) were represented on the left side.</w:t>
      </w:r>
    </w:p>
    <w:p w:rsidR="00CC70B7" w:rsidRDefault="00CC70B7" w:rsidP="00CC70B7">
      <w:pPr>
        <w:spacing w:line="480" w:lineRule="auto"/>
        <w:rPr>
          <w:rFonts w:ascii="Arial Unicode MS" w:hAnsi="Arial Unicode MS" w:cs="Arial Unicode MS"/>
          <w:sz w:val="22"/>
        </w:rPr>
      </w:pPr>
      <w:proofErr w:type="gramStart"/>
      <w:r w:rsidRPr="00442A9D">
        <w:rPr>
          <w:rFonts w:ascii="Arial Unicode MS" w:hAnsi="Arial" w:cs="Arial Unicode MS"/>
          <w:bCs/>
          <w:sz w:val="22"/>
        </w:rPr>
        <w:t>Fig.</w:t>
      </w:r>
      <w:proofErr w:type="gramEnd"/>
      <w:r w:rsidRPr="00442A9D">
        <w:rPr>
          <w:rFonts w:ascii="Arial Unicode MS" w:hAnsi="Arial" w:cs="Arial Unicode MS"/>
          <w:bCs/>
          <w:sz w:val="22"/>
        </w:rPr>
        <w:t xml:space="preserve"> S7. </w:t>
      </w:r>
      <w:proofErr w:type="gramStart"/>
      <w:r w:rsidRPr="00442A9D">
        <w:rPr>
          <w:rFonts w:ascii="Arial Unicode MS" w:hAnsi="Arial" w:cs="Arial Unicode MS"/>
          <w:bCs/>
          <w:sz w:val="22"/>
        </w:rPr>
        <w:t>Cell ligand-receptor inference analysis of immune cells during PHE progression</w:t>
      </w:r>
      <w:r>
        <w:rPr>
          <w:rFonts w:ascii="Arial Unicode MS" w:hAnsi="Arial" w:cs="Arial Unicode MS"/>
          <w:sz w:val="22"/>
        </w:rPr>
        <w:t>.</w:t>
      </w:r>
      <w:proofErr w:type="gramEnd"/>
      <w:r>
        <w:rPr>
          <w:rFonts w:ascii="Arial Unicode MS" w:hAnsi="Arial" w:cs="Arial Unicode MS"/>
          <w:sz w:val="22"/>
        </w:rPr>
        <w:t xml:space="preserve"> Bubble plot of the significant differentially expressed ligand</w:t>
      </w:r>
      <w:r>
        <w:rPr>
          <w:rFonts w:ascii="Arial Unicode MS" w:hAnsi="Arial" w:cs="Arial Unicode MS"/>
          <w:sz w:val="22"/>
        </w:rPr>
        <w:t>–</w:t>
      </w:r>
      <w:r>
        <w:rPr>
          <w:rFonts w:ascii="Arial Unicode MS" w:hAnsi="Arial" w:cs="Arial Unicode MS"/>
          <w:sz w:val="22"/>
        </w:rPr>
        <w:t xml:space="preserve">receptor pairs during PHE progression. Dot color reflects communication probabilities, and dot size represents </w:t>
      </w:r>
      <w:r>
        <w:rPr>
          <w:rFonts w:ascii="Arial Unicode MS" w:hAnsi="Arial" w:cs="Arial Unicode MS"/>
          <w:sz w:val="22"/>
        </w:rPr>
        <w:lastRenderedPageBreak/>
        <w:t>computed p-values. Empty space means the communication probability is zero. The p-values were computed from a two-sided permutation test.</w:t>
      </w:r>
    </w:p>
    <w:p w:rsidR="00E04AFE" w:rsidRDefault="00CC70B7"/>
    <w:sectPr w:rsidR="00E04A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70B7"/>
    <w:rsid w:val="00CC70B7"/>
    <w:rsid w:val="00D8778E"/>
    <w:rsid w:val="00FB16A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0B7"/>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0B7"/>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466</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Sindhuja Arunpandian (Integra)</dc:creator>
  <cp:lastModifiedBy>Sindhuja Arunpandian (Integra)</cp:lastModifiedBy>
  <cp:revision>1</cp:revision>
  <dcterms:created xsi:type="dcterms:W3CDTF">2024-04-29T02:19:00Z</dcterms:created>
  <dcterms:modified xsi:type="dcterms:W3CDTF">2024-04-29T02:21:00Z</dcterms:modified>
</cp:coreProperties>
</file>