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Supplemental Materials</w:t>
      </w:r>
    </w:p>
    <w:p>
      <w:pPr>
        <w:jc w:val="center"/>
        <w:rPr>
          <w:rFonts w:ascii="Times New Roman" w:hAnsi="Times New Roman"/>
          <w:b/>
          <w:bCs/>
          <w:sz w:val="24"/>
        </w:rPr>
      </w:pPr>
    </w:p>
    <w:p>
      <w:pPr>
        <w:jc w:val="center"/>
        <w:rPr>
          <w:rFonts w:ascii="Times New Roman" w:hAnsi="Times New Roman"/>
          <w:b/>
          <w:bCs/>
          <w:sz w:val="24"/>
        </w:rPr>
      </w:pPr>
    </w:p>
    <w:p>
      <w:pPr>
        <w:widowControl/>
        <w:ind w:firstLine="560" w:firstLineChars="200"/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AdvTT99c4c969"/>
          <w:b/>
          <w:bCs/>
          <w:i/>
          <w:iCs/>
          <w:color w:val="131413"/>
          <w:kern w:val="0"/>
          <w:sz w:val="28"/>
          <w:szCs w:val="28"/>
          <w:lang w:bidi="ar"/>
        </w:rPr>
        <w:t>Prevotella copri</w:t>
      </w:r>
      <w:r>
        <w:rPr>
          <w:rFonts w:hint="eastAsia"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  <w:t xml:space="preserve"> transplantation promotes neurorehabilitation in a mouse model of traumatic brain injury </w:t>
      </w:r>
    </w:p>
    <w:p>
      <w:pPr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</w:p>
    <w:p>
      <w:pPr>
        <w:spacing w:line="480" w:lineRule="auto"/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ascii="Times New Roman" w:hAnsi="Times New Roman"/>
          <w:b/>
          <w:bCs/>
          <w:sz w:val="24"/>
        </w:rPr>
        <w:t>Supplemental methods</w:t>
      </w:r>
    </w:p>
    <w:p>
      <w:pPr>
        <w:spacing w:line="48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</w:rPr>
        <w:t>Supplemental Figures and Figure Legends</w:t>
      </w:r>
    </w:p>
    <w:p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Supplemental methods</w:t>
      </w:r>
    </w:p>
    <w:p>
      <w:pPr>
        <w:widowControl/>
        <w:jc w:val="left"/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Table1 Neurological severity score (NSS) for head-injured mice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9"/>
        <w:gridCol w:w="10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Task</w:t>
            </w:r>
          </w:p>
        </w:tc>
        <w:tc>
          <w:tcPr>
            <w:tcW w:w="10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NSS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Presence of mono-</w:t>
            </w: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or hemiparesis</w:t>
            </w:r>
          </w:p>
        </w:tc>
        <w:tc>
          <w:tcPr>
            <w:tcW w:w="1023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widowControl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Inability to walk on a 3-cm-wide beam 1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 xml:space="preserve">Inability to walk on a 2-cm-wide beam 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 xml:space="preserve">Inability to walk on a 1-cm-wide beam 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Inability to balance on a 1-cm-wide beam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Inability to balance on a round stick</w:t>
            </w:r>
            <w:r>
              <w:rPr>
                <w:rFonts w:hint="eastAsia"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(0.5 cm wide)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Failure to exit a 30-cm-diameter circle</w:t>
            </w:r>
            <w:r>
              <w:rPr>
                <w:rFonts w:hint="eastAsia"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(for 2 min)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Inability to walk straight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Loss of startle behavior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Loss of seeking behavior</w:t>
            </w:r>
          </w:p>
        </w:tc>
        <w:tc>
          <w:tcPr>
            <w:tcW w:w="1023" w:type="dxa"/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ascii="Times-Roman" w:hAnsi="Times-Roman" w:eastAsia="Times-Roman" w:cs="Times-Roman"/>
                <w:color w:val="231F20"/>
                <w:kern w:val="0"/>
                <w:sz w:val="18"/>
                <w:szCs w:val="18"/>
                <w:lang w:val="en-US" w:eastAsia="zh-CN" w:bidi="ar"/>
              </w:rPr>
              <w:t>Maximum total</w:t>
            </w:r>
          </w:p>
        </w:tc>
        <w:tc>
          <w:tcPr>
            <w:tcW w:w="1023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</w:tr>
    </w:tbl>
    <w:p>
      <w:pPr>
        <w:widowControl/>
        <w:jc w:val="left"/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One point is awarded for failure to perform a task.</w:t>
      </w:r>
    </w:p>
    <w:p>
      <w:pPr>
        <w:widowControl/>
        <w:jc w:val="left"/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</w:pPr>
    </w:p>
    <w:p>
      <w:pPr>
        <w:spacing w:line="360" w:lineRule="auto"/>
        <w:rPr>
          <w:rFonts w:ascii="Times New Roman" w:hAnsi="Times New Roman"/>
          <w:sz w:val="20"/>
          <w:szCs w:val="20"/>
        </w:rPr>
      </w:pPr>
      <w:bookmarkStart w:id="0" w:name="OLE_LINK1"/>
      <w:r>
        <w:rPr>
          <w:rFonts w:ascii="Times New Roman" w:hAnsi="Times New Roman"/>
          <w:b/>
          <w:bCs/>
          <w:sz w:val="20"/>
          <w:szCs w:val="20"/>
        </w:rPr>
        <w:t>Suppl Fi</w:t>
      </w:r>
      <w:r>
        <w:rPr>
          <w:rFonts w:hint="eastAsia" w:ascii="Times New Roman" w:hAnsi="Times New Roman"/>
          <w:b/>
          <w:bCs/>
          <w:sz w:val="20"/>
          <w:szCs w:val="20"/>
        </w:rPr>
        <w:t>le 1</w:t>
      </w:r>
      <w:bookmarkEnd w:id="0"/>
      <w:r>
        <w:rPr>
          <w:rFonts w:hint="eastAsia" w:ascii="Times New Roman" w:hAnsi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Detailed procedures</w:t>
      </w:r>
      <w:r>
        <w:rPr>
          <w:rFonts w:hint="eastAsia"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</w:rPr>
        <w:t>Real time quantitative PCR (qPCR)</w:t>
      </w:r>
    </w:p>
    <w:p>
      <w:pPr>
        <w:spacing w:line="360" w:lineRule="auto"/>
        <w:ind w:firstLine="600" w:firstLineChars="30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qPCR cycling conditions were as follows: pre-denaturation of 95 °C for 3 min, 40 cycles of denaturation of 95 °C for 5 s, annealing step at 58 °C for 30s and extension time at 72℃ for 1min. PCR reactions were performed in triplicate 20μL mixture containing 10μL 2X ChamQ SYBR Color qPCR Master Mix, 0.8μL of each primer (5 μM), 0.4μL 50 X ROX Reference Dye 1, 2μL template DNA, 6μL deionized distilled water for a total volume of 20 μL. qPCR was performed with ABI7300 fluorescent qPCR instrument (Applied Biosystems, USA). Genomic DNA from </w:t>
      </w:r>
      <w:r>
        <w:rPr>
          <w:rFonts w:hint="eastAsia" w:ascii="Times New Roman" w:hAnsi="Times New Roman"/>
          <w:i/>
          <w:sz w:val="20"/>
          <w:szCs w:val="20"/>
        </w:rPr>
        <w:t>P. copri</w:t>
      </w:r>
      <w:r>
        <w:rPr>
          <w:rFonts w:ascii="Times New Roman" w:hAnsi="Times New Roman"/>
          <w:sz w:val="20"/>
          <w:szCs w:val="20"/>
        </w:rPr>
        <w:t xml:space="preserve"> was used to generate a standard curve to quantitate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ng of </w:t>
      </w:r>
      <w:r>
        <w:rPr>
          <w:rFonts w:hint="eastAsia" w:ascii="Times New Roman" w:hAnsi="Times New Roman"/>
          <w:i/>
          <w:sz w:val="20"/>
          <w:szCs w:val="20"/>
        </w:rPr>
        <w:t>P. copri</w:t>
      </w:r>
      <w:r>
        <w:rPr>
          <w:rFonts w:ascii="Times New Roman" w:hAnsi="Times New Roman"/>
          <w:sz w:val="20"/>
          <w:szCs w:val="20"/>
        </w:rPr>
        <w:t xml:space="preserve"> present per mg of total feces.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Supplemental Figures and Figure Legends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  <w:drawing>
          <wp:inline distT="0" distB="0" distL="114300" distR="114300">
            <wp:extent cx="5240655" cy="6108065"/>
            <wp:effectExtent l="0" t="0" r="1905" b="3175"/>
            <wp:docPr id="1" name="图片 1" descr="4.肠道菌群（补充材料部分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肠道菌群（补充材料部分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10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0"/>
          <w:szCs w:val="20"/>
          <w:lang w:eastAsia="zh-CN"/>
        </w:rPr>
      </w:pPr>
    </w:p>
    <w:p>
      <w:pPr>
        <w:rPr>
          <w:rFonts w:hint="default" w:ascii="Times New Roman" w:hAnsi="Times New Roman"/>
          <w:sz w:val="20"/>
          <w:szCs w:val="20"/>
          <w:lang w:val="en-US" w:eastAsia="zh-CN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1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/>
          <w:b/>
          <w:bCs/>
          <w:i/>
          <w:iCs/>
          <w:sz w:val="20"/>
          <w:szCs w:val="20"/>
          <w:lang w:val="en-US" w:eastAsia="zh-CN"/>
        </w:rPr>
        <w:t>P. copri</w:t>
      </w:r>
      <w:r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  <w:t xml:space="preserve"> treatment reshaped the gut microbiota of TBI mice.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>A-C. PCoA of gut microbiome composition at the level of phylum (A), species (B) and ASV (C) based on Bray-Curtis distance. D-F. Indices of α-diversity measured by Ace(D), Chao(E) and Sobs(F).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drawing>
          <wp:inline distT="0" distB="0" distL="114300" distR="114300">
            <wp:extent cx="5266055" cy="5821045"/>
            <wp:effectExtent l="0" t="0" r="6985" b="635"/>
            <wp:docPr id="3" name="图片 3" descr="代谢组学补充材料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代谢组学补充材料.ti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/>
          <w:sz w:val="20"/>
          <w:szCs w:val="20"/>
          <w:lang w:val="en-US" w:eastAsia="zh-CN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2  </w:t>
      </w:r>
      <w:r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  <w:t>OPLS-DA model and permutation test of the three groups in serum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  <w:t>metabolomics.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A. sham vs TBI. B. sham vs TBI+</w:t>
      </w:r>
      <w:r>
        <w:rPr>
          <w:rFonts w:hint="eastAsia" w:ascii="Times New Roman" w:hAnsi="Times New Roman"/>
          <w:i/>
          <w:iCs/>
          <w:sz w:val="20"/>
          <w:szCs w:val="20"/>
          <w:lang w:val="en-US" w:eastAsia="zh-CN"/>
        </w:rPr>
        <w:t>P. copri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 C. TBI vs TBI+</w:t>
      </w:r>
      <w:r>
        <w:rPr>
          <w:rFonts w:hint="eastAsia" w:ascii="Times New Roman" w:hAnsi="Times New Roman"/>
          <w:i/>
          <w:iCs/>
          <w:sz w:val="20"/>
          <w:szCs w:val="20"/>
          <w:lang w:val="en-US" w:eastAsia="zh-CN"/>
        </w:rPr>
        <w:t>P. copri</w:t>
      </w:r>
    </w:p>
    <w:p>
      <w:pPr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935470"/>
            <wp:effectExtent l="0" t="0" r="1905" b="13970"/>
            <wp:docPr id="5" name="图片 5" descr="4个组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个组BB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8G-I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5792470"/>
            <wp:effectExtent l="0" t="0" r="1905" b="13970"/>
            <wp:docPr id="6" name="图片 6" descr="4个组凋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个组凋亡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57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 Fig.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4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9C-E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4768850" cy="6311900"/>
            <wp:effectExtent l="0" t="0" r="1270" b="12700"/>
            <wp:docPr id="7" name="图片 7" descr="6个组机制PI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个组机制PI3K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10A and B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935470"/>
            <wp:effectExtent l="0" t="0" r="1905" b="13970"/>
            <wp:docPr id="12" name="图片 12" descr="6个组机制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个组机制AK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10A and C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137275"/>
            <wp:effectExtent l="0" t="0" r="1905" b="4445"/>
            <wp:docPr id="11" name="图片 11" descr="5个组机制bbb和bcl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个组机制bbb和bcl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12E-H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4336415"/>
            <wp:effectExtent l="0" t="0" r="1905" b="6985"/>
            <wp:docPr id="10" name="图片 10" descr="5个组机制b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个组机制bax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8</w:t>
      </w:r>
      <w:bookmarkStart w:id="1" w:name="_GoBack"/>
      <w:bookmarkEnd w:id="1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12E and I</w:t>
      </w:r>
    </w:p>
    <w:p>
      <w:pPr>
        <w:spacing w:line="360" w:lineRule="auto"/>
        <w:rPr>
          <w:rFonts w:ascii="Times New Roman" w:hAnsi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99c4c969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0YTI1ZDk3NjlkNzNiOGE0NWU2NjgyNGQ3MDE5NDIifQ=="/>
  </w:docVars>
  <w:rsids>
    <w:rsidRoot w:val="003A2009"/>
    <w:rsid w:val="00027D1D"/>
    <w:rsid w:val="000B2548"/>
    <w:rsid w:val="002215FF"/>
    <w:rsid w:val="003313B4"/>
    <w:rsid w:val="003A2009"/>
    <w:rsid w:val="004517B9"/>
    <w:rsid w:val="00BF3AB4"/>
    <w:rsid w:val="02747121"/>
    <w:rsid w:val="04DD17A0"/>
    <w:rsid w:val="0936363F"/>
    <w:rsid w:val="0B993B85"/>
    <w:rsid w:val="105D48A4"/>
    <w:rsid w:val="155155F3"/>
    <w:rsid w:val="196F7429"/>
    <w:rsid w:val="29371CFA"/>
    <w:rsid w:val="33923BAB"/>
    <w:rsid w:val="39F122CA"/>
    <w:rsid w:val="3B9C3FD8"/>
    <w:rsid w:val="3EC801B9"/>
    <w:rsid w:val="41DF5AE3"/>
    <w:rsid w:val="43A07D60"/>
    <w:rsid w:val="47807EFE"/>
    <w:rsid w:val="51E27A91"/>
    <w:rsid w:val="54E40873"/>
    <w:rsid w:val="600430DD"/>
    <w:rsid w:val="60251FD1"/>
    <w:rsid w:val="619C073C"/>
    <w:rsid w:val="70007BBE"/>
    <w:rsid w:val="720B20B0"/>
    <w:rsid w:val="754636C4"/>
    <w:rsid w:val="774D731C"/>
    <w:rsid w:val="7A976A78"/>
    <w:rsid w:val="7F28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198</Words>
  <Characters>1130</Characters>
  <Lines>9</Lines>
  <Paragraphs>2</Paragraphs>
  <TotalTime>11</TotalTime>
  <ScaleCrop>false</ScaleCrop>
  <LinksUpToDate>false</LinksUpToDate>
  <CharactersWithSpaces>1326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2023-10-08T01:42:00Z</dcterms:created>
  <dc:creator>ASUS</dc:creator>
  <cp:lastModifiedBy>GNN</cp:lastModifiedBy>
  <dcterms:modified xsi:type="dcterms:W3CDTF">2024-04-01T03:02:46Z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B4CA4BB2249F4C538A692ECB46BD4C47_13</vt:lpwstr>
  </property>
</Properties>
</file>