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376CC" w14:textId="77777777" w:rsidR="00F85C00" w:rsidRPr="00F85C00" w:rsidRDefault="00F85C00" w:rsidP="00F85C00">
      <w:pPr>
        <w:widowControl/>
        <w:spacing w:line="480" w:lineRule="auto"/>
        <w:jc w:val="center"/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</w:pPr>
      <w:r w:rsidRPr="00F85C00">
        <w:rPr>
          <w:rFonts w:ascii="Times New Roman" w:eastAsia="等线" w:hAnsi="Times New Roman" w:cs="Times New Roman"/>
          <w:noProof/>
          <w:kern w:val="0"/>
          <w:sz w:val="24"/>
          <w:szCs w:val="24"/>
          <w:lang w:eastAsia="en-US"/>
        </w:rPr>
        <w:drawing>
          <wp:inline distT="0" distB="0" distL="0" distR="0" wp14:anchorId="33F31699" wp14:editId="0FB6AFC5">
            <wp:extent cx="5761200" cy="1753200"/>
            <wp:effectExtent l="0" t="0" r="0" b="0"/>
            <wp:docPr id="10232514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251414" name="图片 102325141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1200" cy="17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15C88" w14:textId="05264FDC" w:rsidR="00F85C00" w:rsidRPr="00F85C00" w:rsidRDefault="00F85C00" w:rsidP="00F85C00">
      <w:pPr>
        <w:widowControl/>
        <w:spacing w:before="120" w:line="48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F85C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 xml:space="preserve">Figure </w:t>
      </w:r>
      <w:r w:rsidR="009805F3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S</w:t>
      </w:r>
      <w:r w:rsidR="00CA0A54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1</w:t>
      </w:r>
      <w:r w:rsidRPr="00F85C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>. Widespread neuronal cell infection after intracerebroventricular injection of recombinant AAV9.</w:t>
      </w:r>
      <w:r w:rsidRPr="00F85C00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(</w:t>
      </w:r>
      <w:r w:rsidRPr="00F85C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>A</w:t>
      </w:r>
      <w:r w:rsidRPr="00F85C00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). The representative confocal scanning images showing the widespread infection of AAV9-</w:t>
      </w:r>
      <w:r w:rsidRPr="00F85C0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US"/>
        </w:rPr>
        <w:t>miR-140</w:t>
      </w:r>
      <w:r w:rsidRPr="00F85C00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-</w:t>
      </w:r>
      <w:r w:rsidRPr="00F85C0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US"/>
        </w:rPr>
        <w:t>miR-122</w:t>
      </w:r>
      <w:r w:rsidRPr="00F85C00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-eGFP in the brain of an APP/PS1 mouse 2 month after a bilateral stereotactic injection (4×10</w:t>
      </w:r>
      <w:r w:rsidRPr="00F85C00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US"/>
        </w:rPr>
        <w:t>10</w:t>
      </w:r>
      <w:r w:rsidRPr="00F85C00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genome copies in each side) into lateral ventricles (posterior: +0.3 mm; mediolateral: ± 1.0 mm, dorsal: -2.0 mm). The scale bar was 1 mm.</w:t>
      </w:r>
    </w:p>
    <w:p w14:paraId="22E7A0E1" w14:textId="77777777" w:rsidR="00F85C00" w:rsidRPr="00F85C00" w:rsidRDefault="00F85C00" w:rsidP="00F85C00">
      <w:pPr>
        <w:widowControl/>
        <w:spacing w:line="480" w:lineRule="auto"/>
        <w:jc w:val="left"/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</w:pPr>
      <w:r w:rsidRPr="00F85C00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(</w:t>
      </w:r>
      <w:r w:rsidRPr="00F85C00">
        <w:rPr>
          <w:rFonts w:ascii="Times New Roman" w:eastAsia="等线" w:hAnsi="Times New Roman" w:cs="Times New Roman"/>
          <w:b/>
          <w:bCs/>
          <w:kern w:val="0"/>
          <w:sz w:val="24"/>
          <w:szCs w:val="24"/>
          <w:lang w:eastAsia="en-US"/>
        </w:rPr>
        <w:t>B</w:t>
      </w:r>
      <w:r w:rsidRPr="00F85C00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 and </w:t>
      </w:r>
      <w:r w:rsidRPr="00F85C00">
        <w:rPr>
          <w:rFonts w:ascii="Times New Roman" w:eastAsia="等线" w:hAnsi="Times New Roman" w:cs="Times New Roman"/>
          <w:b/>
          <w:bCs/>
          <w:kern w:val="0"/>
          <w:sz w:val="24"/>
          <w:szCs w:val="24"/>
          <w:lang w:eastAsia="en-US"/>
        </w:rPr>
        <w:t>C</w:t>
      </w:r>
      <w:r w:rsidRPr="00F85C00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). Results of quantitative RT-PCR, showing the significantly increased expression of </w:t>
      </w:r>
      <w:r w:rsidRPr="00F85C00">
        <w:rPr>
          <w:rFonts w:ascii="Times New Roman" w:eastAsia="等线" w:hAnsi="Times New Roman" w:cs="Times New Roman"/>
          <w:i/>
          <w:iCs/>
          <w:kern w:val="0"/>
          <w:sz w:val="24"/>
          <w:szCs w:val="24"/>
          <w:lang w:eastAsia="en-US"/>
        </w:rPr>
        <w:t>miR-140</w:t>
      </w:r>
      <w:r w:rsidRPr="00F85C00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 (</w:t>
      </w:r>
      <w:r w:rsidRPr="00F85C00">
        <w:rPr>
          <w:rFonts w:ascii="Times New Roman" w:eastAsia="等线" w:hAnsi="Times New Roman" w:cs="Times New Roman"/>
          <w:b/>
          <w:bCs/>
          <w:kern w:val="0"/>
          <w:sz w:val="24"/>
          <w:szCs w:val="24"/>
          <w:lang w:eastAsia="en-US"/>
        </w:rPr>
        <w:t>B</w:t>
      </w:r>
      <w:r w:rsidRPr="00F85C00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) and </w:t>
      </w:r>
      <w:r w:rsidRPr="00F85C00">
        <w:rPr>
          <w:rFonts w:ascii="Times New Roman" w:eastAsia="等线" w:hAnsi="Times New Roman" w:cs="Times New Roman"/>
          <w:i/>
          <w:iCs/>
          <w:kern w:val="0"/>
          <w:sz w:val="24"/>
          <w:szCs w:val="24"/>
          <w:lang w:eastAsia="en-US"/>
        </w:rPr>
        <w:t>miR-122</w:t>
      </w:r>
      <w:r w:rsidRPr="00F85C00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 (</w:t>
      </w:r>
      <w:r w:rsidRPr="00F85C00">
        <w:rPr>
          <w:rFonts w:ascii="Times New Roman" w:eastAsia="等线" w:hAnsi="Times New Roman" w:cs="Times New Roman"/>
          <w:b/>
          <w:bCs/>
          <w:kern w:val="0"/>
          <w:sz w:val="24"/>
          <w:szCs w:val="24"/>
          <w:lang w:eastAsia="en-US"/>
        </w:rPr>
        <w:t>C</w:t>
      </w:r>
      <w:r w:rsidRPr="00F85C00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) in the cortex as well as in the hippocampi of APP/PS1 mice transfected with AAV9-</w:t>
      </w:r>
      <w:r w:rsidRPr="00F85C00">
        <w:rPr>
          <w:rFonts w:ascii="Times New Roman" w:eastAsia="等线" w:hAnsi="Times New Roman" w:cs="Times New Roman"/>
          <w:i/>
          <w:iCs/>
          <w:kern w:val="0"/>
          <w:sz w:val="24"/>
          <w:szCs w:val="24"/>
          <w:lang w:eastAsia="en-US"/>
        </w:rPr>
        <w:t>miR-140</w:t>
      </w:r>
      <w:r w:rsidRPr="00F85C00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-</w:t>
      </w:r>
      <w:r w:rsidRPr="00F85C00">
        <w:rPr>
          <w:rFonts w:ascii="Times New Roman" w:eastAsia="等线" w:hAnsi="Times New Roman" w:cs="Times New Roman"/>
          <w:i/>
          <w:iCs/>
          <w:kern w:val="0"/>
          <w:sz w:val="24"/>
          <w:szCs w:val="24"/>
          <w:lang w:eastAsia="en-US"/>
        </w:rPr>
        <w:t>miR-122</w:t>
      </w:r>
      <w:r w:rsidRPr="00F85C00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-eGFP, compared with that of the mice transfected with AAV9-Scr-eGFP. The results were presented as means ± SD (n = 3). *</w:t>
      </w:r>
      <w:r w:rsidRPr="00F85C00">
        <w:rPr>
          <w:rFonts w:ascii="Times New Roman" w:eastAsia="等线" w:hAnsi="Times New Roman" w:cs="Times New Roman"/>
          <w:i/>
          <w:iCs/>
          <w:kern w:val="0"/>
          <w:sz w:val="24"/>
          <w:szCs w:val="24"/>
          <w:lang w:eastAsia="en-US"/>
        </w:rPr>
        <w:t>p</w:t>
      </w:r>
      <w:r w:rsidRPr="00F85C00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 &lt; 0.05. Statistical analyses were performed using two-tailed unpaired </w:t>
      </w:r>
      <w:r w:rsidRPr="00F85C00">
        <w:rPr>
          <w:rFonts w:ascii="Times New Roman" w:eastAsia="等线" w:hAnsi="Times New Roman" w:cs="Times New Roman"/>
          <w:i/>
          <w:iCs/>
          <w:kern w:val="0"/>
          <w:sz w:val="24"/>
          <w:szCs w:val="24"/>
          <w:lang w:eastAsia="en-US"/>
        </w:rPr>
        <w:t>Student’s t</w:t>
      </w:r>
      <w:r w:rsidRPr="00F85C00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-test. </w:t>
      </w:r>
    </w:p>
    <w:p w14:paraId="2B13988E" w14:textId="77777777" w:rsidR="00F85C00" w:rsidRPr="00F85C00" w:rsidRDefault="00F85C00" w:rsidP="00F85C00">
      <w:pPr>
        <w:widowControl/>
        <w:spacing w:line="480" w:lineRule="auto"/>
        <w:jc w:val="center"/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</w:pPr>
      <w:r w:rsidRPr="00F85C00">
        <w:rPr>
          <w:rFonts w:ascii="Times New Roman" w:eastAsia="等线" w:hAnsi="Times New Roman" w:cs="Times New Roman"/>
          <w:noProof/>
          <w:kern w:val="0"/>
          <w:sz w:val="24"/>
          <w:szCs w:val="24"/>
          <w:lang w:eastAsia="en-US"/>
        </w:rPr>
        <w:lastRenderedPageBreak/>
        <w:drawing>
          <wp:inline distT="0" distB="0" distL="0" distR="0" wp14:anchorId="6E81D747" wp14:editId="062CC046">
            <wp:extent cx="5040000" cy="3232800"/>
            <wp:effectExtent l="0" t="0" r="8255" b="5715"/>
            <wp:docPr id="21269633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963331" name="图片 212696333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2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037A2" w14:textId="79858F11" w:rsidR="00F85C00" w:rsidRPr="00F85C00" w:rsidRDefault="00F85C00" w:rsidP="00F85C00">
      <w:pPr>
        <w:widowControl/>
        <w:adjustRightInd w:val="0"/>
        <w:snapToGrid w:val="0"/>
        <w:spacing w:line="480" w:lineRule="auto"/>
        <w:jc w:val="left"/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</w:pPr>
      <w:r w:rsidRPr="00F85C00">
        <w:rPr>
          <w:rFonts w:ascii="Times New Roman" w:eastAsia="等线" w:hAnsi="Times New Roman" w:cs="Times New Roman"/>
          <w:b/>
          <w:bCs/>
          <w:kern w:val="0"/>
          <w:sz w:val="24"/>
          <w:szCs w:val="24"/>
          <w:lang w:eastAsia="en-US"/>
        </w:rPr>
        <w:t xml:space="preserve">Figure </w:t>
      </w:r>
      <w:r w:rsidR="009805F3">
        <w:rPr>
          <w:rFonts w:ascii="Times New Roman" w:eastAsia="等线" w:hAnsi="Times New Roman" w:cs="Times New Roman" w:hint="eastAsia"/>
          <w:b/>
          <w:bCs/>
          <w:kern w:val="0"/>
          <w:sz w:val="24"/>
          <w:szCs w:val="24"/>
        </w:rPr>
        <w:t>S2</w:t>
      </w:r>
      <w:r w:rsidRPr="00F85C00">
        <w:rPr>
          <w:rFonts w:ascii="Times New Roman" w:eastAsia="等线" w:hAnsi="Times New Roman" w:cs="Times New Roman"/>
          <w:b/>
          <w:bCs/>
          <w:kern w:val="0"/>
          <w:sz w:val="24"/>
          <w:szCs w:val="24"/>
          <w:lang w:eastAsia="en-US"/>
        </w:rPr>
        <w:t xml:space="preserve">. Unaffected astrogliosis in the hippocampi of APP/PS1 mice overexpressing </w:t>
      </w:r>
      <w:r w:rsidRPr="00F85C00">
        <w:rPr>
          <w:rFonts w:ascii="Times New Roman" w:eastAsia="等线" w:hAnsi="Times New Roman" w:cs="Times New Roman"/>
          <w:b/>
          <w:bCs/>
          <w:i/>
          <w:iCs/>
          <w:kern w:val="0"/>
          <w:sz w:val="24"/>
          <w:szCs w:val="24"/>
          <w:lang w:eastAsia="en-US"/>
        </w:rPr>
        <w:t>miR-140</w:t>
      </w:r>
      <w:r w:rsidRPr="00F85C00">
        <w:rPr>
          <w:rFonts w:ascii="Times New Roman" w:eastAsia="等线" w:hAnsi="Times New Roman" w:cs="Times New Roman"/>
          <w:b/>
          <w:bCs/>
          <w:kern w:val="0"/>
          <w:sz w:val="24"/>
          <w:szCs w:val="24"/>
          <w:lang w:eastAsia="en-US"/>
        </w:rPr>
        <w:t xml:space="preserve"> and </w:t>
      </w:r>
      <w:r w:rsidRPr="00F85C00">
        <w:rPr>
          <w:rFonts w:ascii="Times New Roman" w:eastAsia="等线" w:hAnsi="Times New Roman" w:cs="Times New Roman"/>
          <w:b/>
          <w:bCs/>
          <w:i/>
          <w:iCs/>
          <w:kern w:val="0"/>
          <w:sz w:val="24"/>
          <w:szCs w:val="24"/>
          <w:lang w:eastAsia="en-US"/>
        </w:rPr>
        <w:t>miR-122</w:t>
      </w:r>
      <w:r w:rsidRPr="00F85C00">
        <w:rPr>
          <w:rFonts w:ascii="Times New Roman" w:eastAsia="等线" w:hAnsi="Times New Roman" w:cs="Times New Roman"/>
          <w:b/>
          <w:bCs/>
          <w:kern w:val="0"/>
          <w:sz w:val="24"/>
          <w:szCs w:val="24"/>
          <w:lang w:eastAsia="en-US"/>
        </w:rPr>
        <w:t xml:space="preserve">. </w:t>
      </w:r>
      <w:r w:rsidRPr="00F85C00">
        <w:rPr>
          <w:rFonts w:ascii="Times New Roman" w:eastAsia="等线" w:hAnsi="Times New Roman" w:cs="Times New Roman"/>
          <w:kern w:val="0"/>
          <w:sz w:val="20"/>
          <w:szCs w:val="20"/>
          <w:lang w:eastAsia="en-US"/>
        </w:rPr>
        <w:t xml:space="preserve"> </w:t>
      </w:r>
      <w:r w:rsidRPr="00F85C00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(</w:t>
      </w:r>
      <w:r w:rsidRPr="00F85C00">
        <w:rPr>
          <w:rFonts w:ascii="Times New Roman" w:eastAsia="等线" w:hAnsi="Times New Roman" w:cs="Times New Roman"/>
          <w:b/>
          <w:bCs/>
          <w:kern w:val="0"/>
          <w:sz w:val="24"/>
          <w:szCs w:val="24"/>
          <w:lang w:eastAsia="en-US"/>
        </w:rPr>
        <w:t>A</w:t>
      </w:r>
      <w:r w:rsidRPr="00F85C00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). Immunohistochemical analysis of Aβ deposition and astrogliosis using anti-Aβ antibody (MOAB-2) and anti-GFAP in the DG subregions on coronal sections of the hippocampus. Scale bar: 200 μm. (</w:t>
      </w:r>
      <w:r w:rsidRPr="00F85C00">
        <w:rPr>
          <w:rFonts w:ascii="Times New Roman" w:eastAsia="等线" w:hAnsi="Times New Roman" w:cs="Times New Roman"/>
          <w:b/>
          <w:bCs/>
          <w:kern w:val="0"/>
          <w:sz w:val="24"/>
          <w:szCs w:val="24"/>
          <w:lang w:eastAsia="en-US"/>
        </w:rPr>
        <w:t>B</w:t>
      </w:r>
      <w:r w:rsidRPr="00F85C00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). Quantification of the percentage of GFAP positive area showed increased astrogliosis in the hippocampi of APP/PS1 mice, compared with that of the control wide type C57 mice. Influences of astrogliosis was not observed in the hippocampi of APP/PS1 mice transfected with AAV9-</w:t>
      </w:r>
      <w:r w:rsidRPr="00F85C00">
        <w:rPr>
          <w:rFonts w:ascii="Times New Roman" w:eastAsia="等线" w:hAnsi="Times New Roman" w:cs="Times New Roman"/>
          <w:i/>
          <w:iCs/>
          <w:kern w:val="0"/>
          <w:sz w:val="24"/>
          <w:szCs w:val="24"/>
          <w:lang w:eastAsia="en-US"/>
        </w:rPr>
        <w:t>miR-140</w:t>
      </w:r>
      <w:r w:rsidRPr="00F85C00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-</w:t>
      </w:r>
      <w:r w:rsidRPr="00F85C00">
        <w:rPr>
          <w:rFonts w:ascii="Times New Roman" w:eastAsia="等线" w:hAnsi="Times New Roman" w:cs="Times New Roman"/>
          <w:i/>
          <w:iCs/>
          <w:kern w:val="0"/>
          <w:sz w:val="24"/>
          <w:szCs w:val="24"/>
          <w:lang w:eastAsia="en-US"/>
        </w:rPr>
        <w:t>miR-122</w:t>
      </w:r>
      <w:r w:rsidRPr="00F85C00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-eGFP, compared with that of the APP/PS1 mice transfected with AAV-Scr-eGFP. Results of three consecutive sections of three independent biological replicates were presented as means ± SEM. Statistical analyses were performed using One-way ANOVA.</w:t>
      </w:r>
    </w:p>
    <w:p w14:paraId="6016FD0B" w14:textId="4ADA41D4" w:rsidR="00F85C00" w:rsidRDefault="00F85C00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21C37A9" w14:textId="77777777" w:rsidR="00F85C00" w:rsidRPr="00F85C00" w:rsidRDefault="00F85C00" w:rsidP="00A944D1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5E6F8A" w14:textId="73DE1860" w:rsidR="00CC0E00" w:rsidRPr="00F85C00" w:rsidRDefault="009805F3" w:rsidP="00A944D1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Table S4</w:t>
      </w:r>
      <w:r w:rsidR="00467010" w:rsidRPr="00F85C0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944D1" w:rsidRPr="00F85C0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A944D1" w:rsidRPr="00F85C00">
        <w:rPr>
          <w:rFonts w:ascii="Times New Roman" w:hAnsi="Times New Roman" w:cs="Times New Roman"/>
          <w:b/>
          <w:bCs/>
          <w:sz w:val="24"/>
          <w:szCs w:val="24"/>
        </w:rPr>
        <w:t>Sequence of oligonucleotides for GV412 vector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A737F" w:rsidRPr="00F85C00" w14:paraId="593E0A53" w14:textId="77777777" w:rsidTr="00DA737F">
        <w:tc>
          <w:tcPr>
            <w:tcW w:w="8296" w:type="dxa"/>
          </w:tcPr>
          <w:p w14:paraId="635544D2" w14:textId="734A7F2C" w:rsidR="00DA737F" w:rsidRPr="00F85C00" w:rsidRDefault="00774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C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Sequence of oligonucleotides for GV412 vector</w:t>
            </w:r>
          </w:p>
        </w:tc>
      </w:tr>
      <w:tr w:rsidR="00DA737F" w:rsidRPr="00F85C00" w14:paraId="0913E3AA" w14:textId="77777777" w:rsidTr="00DA737F">
        <w:trPr>
          <w:trHeight w:val="3552"/>
        </w:trPr>
        <w:tc>
          <w:tcPr>
            <w:tcW w:w="8296" w:type="dxa"/>
          </w:tcPr>
          <w:p w14:paraId="56B1077E" w14:textId="77777777" w:rsidR="00DA737F" w:rsidRPr="00F85C00" w:rsidRDefault="00DA737F" w:rsidP="00DA737F">
            <w:pPr>
              <w:wordWrap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5C00">
              <w:rPr>
                <w:rFonts w:ascii="Times New Roman" w:hAnsi="Times New Roman" w:cs="Times New Roman"/>
                <w:sz w:val="24"/>
                <w:szCs w:val="24"/>
              </w:rPr>
              <w:t>5’-TGCTGCCCGACAACCACTACCTGAGCACCCAGTCCGCCCTGAGCAAAGACCCCAACGAGAAGCGCGATCACATGGTCCTGCTGGAGTTCGTGACCGCCGCCGGGATCACTCTCGGCATGGACGAGCTGTACAAG</w:t>
            </w:r>
            <w:r w:rsidRPr="00F85C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GCTAGC</w:t>
            </w:r>
            <w:r w:rsidRPr="00F85C00">
              <w:rPr>
                <w:rFonts w:ascii="Times New Roman" w:hAnsi="Times New Roman" w:cs="Times New Roman"/>
                <w:sz w:val="24"/>
                <w:szCs w:val="24"/>
              </w:rPr>
              <w:t>TAACTGGAGGCTTGCTGAAGGCTGTATGCTG</w:t>
            </w:r>
            <w:r w:rsidRPr="00F85C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TACCACAGGGTAGAACCACGG</w:t>
            </w:r>
            <w:r w:rsidRPr="00F85C00">
              <w:rPr>
                <w:rFonts w:ascii="Times New Roman" w:hAnsi="Times New Roman" w:cs="Times New Roman"/>
                <w:sz w:val="24"/>
                <w:szCs w:val="24"/>
              </w:rPr>
              <w:t>GTTTTGGCCACTGACTGACCCGTGGTTACCCTGTGGTACAGGACACAAGGCCTGTTACTAGCACTCACATGGAACAAATGGCCCGGGCCCTTTAAACTGGAGGCTTGCTGAAGGCTGTATGCTG</w:t>
            </w:r>
            <w:r w:rsidRPr="00F85C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TGGAGTGTGACAATGGTGTTTG</w:t>
            </w:r>
            <w:r w:rsidRPr="00F85C00">
              <w:rPr>
                <w:rFonts w:ascii="Times New Roman" w:hAnsi="Times New Roman" w:cs="Times New Roman"/>
                <w:sz w:val="24"/>
                <w:szCs w:val="24"/>
              </w:rPr>
              <w:t>GTTTTGGCCACTGACTGACCAAACACCTGTCACACTCCACAGGACACAAGGCCTGTTACTAGCACTCACATGGAACAAATGGCCC</w:t>
            </w:r>
            <w:r w:rsidRPr="00F85C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ACCGGT</w:t>
            </w:r>
            <w:r w:rsidRPr="00F85C00">
              <w:rPr>
                <w:rFonts w:ascii="Times New Roman" w:hAnsi="Times New Roman" w:cs="Times New Roman"/>
                <w:sz w:val="24"/>
                <w:szCs w:val="24"/>
              </w:rPr>
              <w:t>TATCGATAATCAACCTCTGGATTACAAAATTTGTGAAAGATTGACTGGTATTCTTAACTATGTTGCTCCTTTTACGCTATGTGGATACGCTGCTTTAATGCCTTTGTATCATGCTATTGCTTCCCGTATGGCTTTCATTTTCTCCTCCTTGTATAAATCCTGGTTGCTGTC-3’</w:t>
            </w:r>
          </w:p>
          <w:p w14:paraId="3C1EEA6B" w14:textId="77777777" w:rsidR="00DA737F" w:rsidRPr="00F85C00" w:rsidRDefault="00DA7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5BD20D" w14:textId="1795E5B6" w:rsidR="00467010" w:rsidRPr="00F85C00" w:rsidRDefault="00467010">
      <w:pPr>
        <w:rPr>
          <w:rFonts w:ascii="Times New Roman" w:hAnsi="Times New Roman" w:cs="Times New Roman"/>
          <w:sz w:val="24"/>
          <w:szCs w:val="24"/>
        </w:rPr>
      </w:pPr>
    </w:p>
    <w:p w14:paraId="6C9A384E" w14:textId="76C5DE5B" w:rsidR="00467010" w:rsidRPr="00F85C00" w:rsidRDefault="001279A6" w:rsidP="001279A6">
      <w:pPr>
        <w:rPr>
          <w:rFonts w:ascii="Times New Roman" w:hAnsi="Times New Roman" w:cs="Times New Roman"/>
          <w:sz w:val="24"/>
          <w:szCs w:val="24"/>
        </w:rPr>
      </w:pPr>
      <w:r w:rsidRPr="00F85C00">
        <w:rPr>
          <w:rFonts w:ascii="Times New Roman" w:hAnsi="Times New Roman"/>
          <w:sz w:val="24"/>
          <w:szCs w:val="24"/>
        </w:rPr>
        <w:t>T</w:t>
      </w:r>
      <w:r w:rsidRPr="00F85C00">
        <w:rPr>
          <w:rFonts w:ascii="Times New Roman" w:hAnsi="Times New Roman" w:hint="eastAsia"/>
          <w:sz w:val="24"/>
          <w:szCs w:val="24"/>
        </w:rPr>
        <w:t xml:space="preserve">he sequences for </w:t>
      </w:r>
      <w:bookmarkStart w:id="0" w:name="OLE_LINK22"/>
      <w:r w:rsidRPr="00F85C00">
        <w:rPr>
          <w:rFonts w:ascii="Times New Roman" w:hAnsi="Times New Roman" w:hint="eastAsia"/>
          <w:sz w:val="24"/>
          <w:szCs w:val="24"/>
        </w:rPr>
        <w:t>cloning</w:t>
      </w:r>
      <w:r w:rsidRPr="00F85C00">
        <w:rPr>
          <w:rFonts w:ascii="Times New Roman" w:hAnsi="Times New Roman"/>
          <w:sz w:val="24"/>
          <w:szCs w:val="24"/>
        </w:rPr>
        <w:t xml:space="preserve"> site</w:t>
      </w:r>
      <w:r w:rsidRPr="00F85C00">
        <w:rPr>
          <w:rFonts w:ascii="Times New Roman" w:hAnsi="Times New Roman" w:hint="eastAsia"/>
          <w:sz w:val="24"/>
          <w:szCs w:val="24"/>
        </w:rPr>
        <w:t xml:space="preserve"> </w:t>
      </w:r>
      <w:bookmarkEnd w:id="0"/>
      <w:r w:rsidRPr="00F85C00">
        <w:rPr>
          <w:rFonts w:ascii="Times New Roman" w:hAnsi="Times New Roman" w:hint="eastAsia"/>
          <w:sz w:val="24"/>
          <w:szCs w:val="24"/>
        </w:rPr>
        <w:t>were underlined</w:t>
      </w:r>
      <w:r w:rsidRPr="00F85C00">
        <w:rPr>
          <w:rFonts w:ascii="Times New Roman" w:hAnsi="Times New Roman"/>
          <w:sz w:val="24"/>
          <w:szCs w:val="24"/>
        </w:rPr>
        <w:t>.</w:t>
      </w:r>
      <w:r w:rsidRPr="00F85C00">
        <w:rPr>
          <w:rFonts w:ascii="Times New Roman" w:hAnsi="Times New Roman" w:cs="Times New Roman"/>
          <w:sz w:val="24"/>
          <w:szCs w:val="24"/>
        </w:rPr>
        <w:t xml:space="preserve"> The sequences for mature </w:t>
      </w:r>
      <w:r w:rsidRPr="00F85C00">
        <w:rPr>
          <w:rFonts w:ascii="Times New Roman" w:hAnsi="Times New Roman" w:cs="Times New Roman"/>
          <w:i/>
          <w:iCs/>
          <w:sz w:val="24"/>
          <w:szCs w:val="24"/>
        </w:rPr>
        <w:t>miR-140-3p</w:t>
      </w:r>
      <w:r w:rsidRPr="00F85C00">
        <w:rPr>
          <w:rFonts w:ascii="Times New Roman" w:hAnsi="Times New Roman" w:cs="Times New Roman"/>
          <w:sz w:val="24"/>
          <w:szCs w:val="24"/>
        </w:rPr>
        <w:t xml:space="preserve"> and </w:t>
      </w:r>
      <w:r w:rsidRPr="00F85C00">
        <w:rPr>
          <w:rFonts w:ascii="Times New Roman" w:hAnsi="Times New Roman" w:cs="Times New Roman"/>
          <w:i/>
          <w:iCs/>
          <w:sz w:val="24"/>
          <w:szCs w:val="24"/>
        </w:rPr>
        <w:t>miR-122-5p</w:t>
      </w:r>
      <w:r w:rsidRPr="00F85C00">
        <w:rPr>
          <w:rFonts w:ascii="Times New Roman" w:hAnsi="Times New Roman" w:cs="Times New Roman"/>
          <w:sz w:val="24"/>
          <w:szCs w:val="24"/>
        </w:rPr>
        <w:t xml:space="preserve"> were red.</w:t>
      </w:r>
    </w:p>
    <w:p w14:paraId="5773F30C" w14:textId="77777777" w:rsidR="00F85C00" w:rsidRPr="00F85C00" w:rsidRDefault="00F85C00" w:rsidP="001279A6">
      <w:pPr>
        <w:rPr>
          <w:rFonts w:ascii="Times New Roman" w:hAnsi="Times New Roman" w:cs="Times New Roman"/>
          <w:sz w:val="24"/>
          <w:szCs w:val="24"/>
        </w:rPr>
      </w:pPr>
    </w:p>
    <w:sectPr w:rsidR="00F85C00" w:rsidRPr="00F85C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E1056" w14:textId="77777777" w:rsidR="00FC0382" w:rsidRDefault="00FC0382" w:rsidP="00467010">
      <w:r>
        <w:separator/>
      </w:r>
    </w:p>
  </w:endnote>
  <w:endnote w:type="continuationSeparator" w:id="0">
    <w:p w14:paraId="72C8470F" w14:textId="77777777" w:rsidR="00FC0382" w:rsidRDefault="00FC0382" w:rsidP="00467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03220" w14:textId="77777777" w:rsidR="00FC0382" w:rsidRDefault="00FC0382" w:rsidP="00467010">
      <w:r>
        <w:separator/>
      </w:r>
    </w:p>
  </w:footnote>
  <w:footnote w:type="continuationSeparator" w:id="0">
    <w:p w14:paraId="45A15013" w14:textId="77777777" w:rsidR="00FC0382" w:rsidRDefault="00FC0382" w:rsidP="004670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757"/>
    <w:rsid w:val="001279A6"/>
    <w:rsid w:val="00191500"/>
    <w:rsid w:val="002535B6"/>
    <w:rsid w:val="00420039"/>
    <w:rsid w:val="00467010"/>
    <w:rsid w:val="004E32DD"/>
    <w:rsid w:val="00752728"/>
    <w:rsid w:val="00774925"/>
    <w:rsid w:val="00832D1C"/>
    <w:rsid w:val="009805F3"/>
    <w:rsid w:val="00A944D1"/>
    <w:rsid w:val="00B73909"/>
    <w:rsid w:val="00CA0A54"/>
    <w:rsid w:val="00CC0E00"/>
    <w:rsid w:val="00DA737F"/>
    <w:rsid w:val="00E12309"/>
    <w:rsid w:val="00E82757"/>
    <w:rsid w:val="00EA75A6"/>
    <w:rsid w:val="00F12428"/>
    <w:rsid w:val="00F20E6C"/>
    <w:rsid w:val="00F85C00"/>
    <w:rsid w:val="00F96E95"/>
    <w:rsid w:val="00FC0382"/>
    <w:rsid w:val="00FC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A6BBBE"/>
  <w15:chartTrackingRefBased/>
  <w15:docId w15:val="{ACF2A9A5-DC81-421A-9B12-3A1236082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70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701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70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7010"/>
    <w:rPr>
      <w:sz w:val="18"/>
      <w:szCs w:val="18"/>
    </w:rPr>
  </w:style>
  <w:style w:type="table" w:styleId="a7">
    <w:name w:val="Table Grid"/>
    <w:basedOn w:val="a1"/>
    <w:uiPriority w:val="39"/>
    <w:rsid w:val="00DA7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380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ShuFang</dc:creator>
  <cp:keywords/>
  <dc:description/>
  <cp:lastModifiedBy>chao song</cp:lastModifiedBy>
  <cp:revision>13</cp:revision>
  <dcterms:created xsi:type="dcterms:W3CDTF">2024-01-17T14:57:00Z</dcterms:created>
  <dcterms:modified xsi:type="dcterms:W3CDTF">2024-03-21T09:40:00Z</dcterms:modified>
</cp:coreProperties>
</file>