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7F98A" w14:textId="77777777" w:rsidR="00D4644E" w:rsidRPr="00953C9E" w:rsidRDefault="00D4644E" w:rsidP="00D464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C9E">
        <w:rPr>
          <w:rFonts w:ascii="Times New Roman" w:hAnsi="Times New Roman" w:cs="Times New Roman"/>
          <w:b/>
          <w:bCs/>
          <w:sz w:val="24"/>
          <w:szCs w:val="24"/>
        </w:rPr>
        <w:t>Supplemental Methods</w:t>
      </w:r>
    </w:p>
    <w:p w14:paraId="1A9D0C8F" w14:textId="77777777" w:rsidR="00D4644E" w:rsidRDefault="00D4644E" w:rsidP="00D464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0BD9">
        <w:rPr>
          <w:rFonts w:ascii="Times New Roman" w:hAnsi="Times New Roman" w:cs="Times New Roman"/>
          <w:b/>
          <w:bCs/>
          <w:sz w:val="24"/>
          <w:szCs w:val="24"/>
        </w:rPr>
        <w:t>Methods</w:t>
      </w:r>
    </w:p>
    <w:p w14:paraId="15F7933B" w14:textId="77777777" w:rsidR="00D4644E" w:rsidRPr="008955C4" w:rsidRDefault="00D4644E" w:rsidP="00D4644E">
      <w:pPr>
        <w:rPr>
          <w:rFonts w:ascii="Times New Roman" w:hAnsi="Times New Roman" w:cs="Times New Roman"/>
          <w:sz w:val="24"/>
          <w:szCs w:val="24"/>
        </w:rPr>
      </w:pPr>
      <w:r w:rsidRPr="00F15B4A">
        <w:rPr>
          <w:rFonts w:ascii="Times New Roman" w:hAnsi="Times New Roman" w:cs="Times New Roman"/>
          <w:b/>
          <w:bCs/>
          <w:sz w:val="24"/>
          <w:szCs w:val="24"/>
        </w:rPr>
        <w:t>Participants</w:t>
      </w:r>
    </w:p>
    <w:p w14:paraId="55D80AA2" w14:textId="77777777" w:rsidR="00D4644E" w:rsidRDefault="00D4644E" w:rsidP="00D4644E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D4DA4">
        <w:rPr>
          <w:rFonts w:ascii="Times New Roman" w:hAnsi="Times New Roman" w:cs="Times New Roman"/>
          <w:sz w:val="24"/>
          <w:szCs w:val="24"/>
        </w:rPr>
        <w:t>The present study consisted of 30 individuals from the Tongji Hospital of Wuhan, including 20 patients</w:t>
      </w:r>
      <w:r w:rsidRPr="00771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type 2 diabetes mellitus (</w:t>
      </w:r>
      <w:r w:rsidRPr="00DD4DA4">
        <w:rPr>
          <w:rFonts w:ascii="Times New Roman" w:hAnsi="Times New Roman" w:cs="Times New Roman"/>
          <w:sz w:val="24"/>
          <w:szCs w:val="24"/>
        </w:rPr>
        <w:t>T2D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D4DA4">
        <w:rPr>
          <w:rFonts w:ascii="Times New Roman" w:hAnsi="Times New Roman" w:cs="Times New Roman"/>
          <w:sz w:val="24"/>
          <w:szCs w:val="24"/>
        </w:rPr>
        <w:t xml:space="preserve"> and 10 </w:t>
      </w:r>
      <w:r>
        <w:rPr>
          <w:rFonts w:ascii="Times New Roman" w:hAnsi="Times New Roman" w:cs="Times New Roman" w:hint="eastAsia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without</w:t>
      </w:r>
      <w:r w:rsidRPr="00771054">
        <w:rPr>
          <w:rFonts w:ascii="Times New Roman" w:hAnsi="Times New Roman" w:cs="Times New Roman"/>
          <w:sz w:val="24"/>
          <w:szCs w:val="24"/>
        </w:rPr>
        <w:t xml:space="preserve"> </w:t>
      </w:r>
      <w:r w:rsidRPr="00DD4DA4">
        <w:rPr>
          <w:rFonts w:ascii="Times New Roman" w:hAnsi="Times New Roman" w:cs="Times New Roman"/>
          <w:sz w:val="24"/>
          <w:szCs w:val="24"/>
        </w:rPr>
        <w:t>T2D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c</w:t>
      </w:r>
      <w:r w:rsidRPr="00DD4DA4">
        <w:rPr>
          <w:rFonts w:ascii="Times New Roman" w:hAnsi="Times New Roman" w:cs="Times New Roman"/>
          <w:sz w:val="24"/>
          <w:szCs w:val="24"/>
        </w:rPr>
        <w:t>ontrols.</w:t>
      </w:r>
    </w:p>
    <w:p w14:paraId="5C1CDEA3" w14:textId="77777777" w:rsidR="00D4644E" w:rsidRDefault="00D4644E" w:rsidP="00D4644E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Pr="00DD4DA4">
        <w:rPr>
          <w:rFonts w:ascii="Times New Roman" w:hAnsi="Times New Roman" w:cs="Times New Roman"/>
          <w:sz w:val="24"/>
          <w:szCs w:val="24"/>
        </w:rPr>
        <w:t>nclusion criteria</w:t>
      </w:r>
      <w:r>
        <w:rPr>
          <w:rFonts w:ascii="Times New Roman" w:hAnsi="Times New Roman" w:cs="Times New Roman"/>
          <w:sz w:val="24"/>
          <w:szCs w:val="24"/>
        </w:rPr>
        <w:t xml:space="preserve"> were as follows</w:t>
      </w:r>
      <w:r w:rsidRPr="00DD4DA4">
        <w:rPr>
          <w:rFonts w:ascii="Times New Roman" w:hAnsi="Times New Roman" w:cs="Times New Roman"/>
          <w:sz w:val="24"/>
          <w:szCs w:val="24"/>
        </w:rPr>
        <w:t xml:space="preserve">: </w:t>
      </w:r>
      <w:r w:rsidRPr="00C16CE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eastAsia="等线" w:hAnsi="Times New Roman" w:cs="Times New Roman"/>
          <w:sz w:val="24"/>
          <w:szCs w:val="24"/>
        </w:rPr>
        <w:t>Ⅰ</w:t>
      </w:r>
      <w:r w:rsidRPr="008955C4">
        <w:rPr>
          <w:rFonts w:ascii="Times New Roman" w:hAnsi="Times New Roman" w:cs="Times New Roman"/>
          <w:sz w:val="24"/>
          <w:szCs w:val="24"/>
        </w:rPr>
        <w:t>) T2D met the American Diabetes Association (ADA) diagnostic criteria</w:t>
      </w:r>
      <w:r>
        <w:rPr>
          <w:rStyle w:val="a3"/>
          <w:rFonts w:ascii="Times New Roman" w:hAnsi="Times New Roman" w:cs="Times New Roman"/>
          <w:sz w:val="24"/>
          <w:szCs w:val="24"/>
        </w:rPr>
        <w:t xml:space="preserve">, including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8521A8">
        <w:rPr>
          <w:rFonts w:ascii="Times New Roman" w:hAnsi="Times New Roman" w:cs="Times New Roman"/>
          <w:sz w:val="24"/>
          <w:szCs w:val="24"/>
        </w:rPr>
        <w:t>asting plasma glucose (FPG) ≥7.0 mmol/L and/or postprandial glucose (PPG) ≥11.1 mmol/L or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521A8">
        <w:rPr>
          <w:rFonts w:ascii="Times New Roman" w:hAnsi="Times New Roman" w:cs="Times New Roman"/>
          <w:sz w:val="24"/>
          <w:szCs w:val="24"/>
        </w:rPr>
        <w:t xml:space="preserve"> in a patient with classic symptoms of hyperglycemia or hyperglycemic crisis, a random plasma glucose</w:t>
      </w:r>
      <w:r>
        <w:rPr>
          <w:rFonts w:ascii="Times New Roman" w:hAnsi="Times New Roman" w:cs="Times New Roman"/>
          <w:sz w:val="24"/>
          <w:szCs w:val="24"/>
        </w:rPr>
        <w:t xml:space="preserve"> level</w:t>
      </w:r>
      <w:r w:rsidRPr="008521A8">
        <w:rPr>
          <w:rFonts w:ascii="Times New Roman" w:hAnsi="Times New Roman" w:cs="Times New Roman"/>
          <w:sz w:val="24"/>
          <w:szCs w:val="24"/>
        </w:rPr>
        <w:t xml:space="preserve"> ≥11.1 mmol/L, or hemoglobin A1c (HbA1c) ≥6.5%, and clearly classified as type 2</w:t>
      </w:r>
      <w:r w:rsidRPr="008955C4">
        <w:rPr>
          <w:rFonts w:ascii="Times New Roman" w:hAnsi="Times New Roman" w:cs="Times New Roman"/>
          <w:sz w:val="24"/>
          <w:szCs w:val="24"/>
        </w:rPr>
        <w:t>; (</w:t>
      </w:r>
      <w:r w:rsidRPr="008955C4">
        <w:rPr>
          <w:rFonts w:ascii="Times New Roman" w:eastAsia="等线" w:hAnsi="Times New Roman" w:cs="Times New Roman"/>
          <w:sz w:val="24"/>
          <w:szCs w:val="24"/>
        </w:rPr>
        <w:t>Ⅱ</w:t>
      </w:r>
      <w:r w:rsidRPr="008955C4">
        <w:rPr>
          <w:rFonts w:ascii="Times New Roman" w:hAnsi="Times New Roman" w:cs="Times New Roman"/>
          <w:sz w:val="24"/>
          <w:szCs w:val="24"/>
        </w:rPr>
        <w:t>) 45-74 years old; (</w:t>
      </w:r>
      <w:r w:rsidRPr="008955C4">
        <w:rPr>
          <w:rFonts w:ascii="Times New Roman" w:eastAsia="等线" w:hAnsi="Times New Roman" w:cs="Times New Roman"/>
          <w:sz w:val="24"/>
          <w:szCs w:val="24"/>
        </w:rPr>
        <w:t>Ⅲ</w:t>
      </w:r>
      <w:r w:rsidRPr="008955C4">
        <w:rPr>
          <w:rFonts w:ascii="Times New Roman" w:hAnsi="Times New Roman" w:cs="Times New Roman"/>
          <w:sz w:val="24"/>
          <w:szCs w:val="24"/>
        </w:rPr>
        <w:t>) clinical manifestations of memory deficit confirmed by others;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8955C4">
        <w:rPr>
          <w:rFonts w:ascii="Times New Roman" w:hAnsi="Times New Roman" w:cs="Times New Roman"/>
          <w:sz w:val="24"/>
          <w:szCs w:val="24"/>
        </w:rPr>
        <w:t xml:space="preserve"> (</w:t>
      </w:r>
      <w:r w:rsidRPr="008955C4">
        <w:rPr>
          <w:rFonts w:ascii="Times New Roman" w:eastAsia="等线" w:hAnsi="Times New Roman" w:cs="Times New Roman"/>
          <w:sz w:val="24"/>
          <w:szCs w:val="24"/>
        </w:rPr>
        <w:t>Ⅳ</w:t>
      </w:r>
      <w:r w:rsidRPr="008955C4">
        <w:rPr>
          <w:rFonts w:ascii="Times New Roman" w:hAnsi="Times New Roman" w:cs="Times New Roman"/>
          <w:sz w:val="24"/>
          <w:szCs w:val="24"/>
        </w:rPr>
        <w:t>) the visual and auditory ability to take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8955C4">
        <w:rPr>
          <w:rFonts w:ascii="Times New Roman" w:hAnsi="Times New Roman" w:cs="Times New Roman"/>
          <w:sz w:val="24"/>
          <w:szCs w:val="24"/>
        </w:rPr>
        <w:t xml:space="preserve"> neuropsychological test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955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9601BC" w14:textId="77777777" w:rsidR="00D4644E" w:rsidRDefault="00D4644E" w:rsidP="00D4644E">
      <w:pPr>
        <w:ind w:firstLineChars="200" w:firstLine="480"/>
      </w:pPr>
      <w:r>
        <w:rPr>
          <w:rFonts w:ascii="Times New Roman" w:hAnsi="Times New Roman" w:cs="Times New Roman"/>
          <w:sz w:val="24"/>
          <w:szCs w:val="24"/>
        </w:rPr>
        <w:t>The e</w:t>
      </w:r>
      <w:r w:rsidRPr="008955C4">
        <w:rPr>
          <w:rFonts w:ascii="Times New Roman" w:hAnsi="Times New Roman" w:cs="Times New Roman"/>
          <w:sz w:val="24"/>
          <w:szCs w:val="24"/>
        </w:rPr>
        <w:t>xclusion criteria</w:t>
      </w:r>
      <w:r>
        <w:rPr>
          <w:rFonts w:ascii="Times New Roman" w:hAnsi="Times New Roman" w:cs="Times New Roman"/>
          <w:sz w:val="24"/>
          <w:szCs w:val="24"/>
        </w:rPr>
        <w:t xml:space="preserve"> were as follows</w:t>
      </w:r>
      <w:r w:rsidRPr="008955C4">
        <w:rPr>
          <w:rFonts w:ascii="Times New Roman" w:hAnsi="Times New Roman" w:cs="Times New Roman"/>
          <w:sz w:val="24"/>
          <w:szCs w:val="24"/>
        </w:rPr>
        <w:t>: (</w:t>
      </w:r>
      <w:r w:rsidRPr="008955C4">
        <w:rPr>
          <w:rFonts w:ascii="Times New Roman" w:eastAsia="等线" w:hAnsi="Times New Roman" w:cs="Times New Roman"/>
          <w:sz w:val="24"/>
          <w:szCs w:val="24"/>
        </w:rPr>
        <w:t xml:space="preserve">Ⅰ) other types of diabetes; </w:t>
      </w:r>
      <w:r w:rsidRPr="008955C4">
        <w:rPr>
          <w:rFonts w:ascii="Times New Roman" w:hAnsi="Times New Roman" w:cs="Times New Roman"/>
          <w:sz w:val="24"/>
          <w:szCs w:val="24"/>
        </w:rPr>
        <w:t>(</w:t>
      </w:r>
      <w:r w:rsidRPr="008955C4">
        <w:rPr>
          <w:rFonts w:ascii="Times New Roman" w:eastAsia="等线" w:hAnsi="Times New Roman" w:cs="Times New Roman"/>
          <w:sz w:val="24"/>
          <w:szCs w:val="24"/>
        </w:rPr>
        <w:t>Ⅱ</w:t>
      </w:r>
      <w:r w:rsidRPr="008955C4">
        <w:rPr>
          <w:rFonts w:ascii="Times New Roman" w:hAnsi="Times New Roman" w:cs="Times New Roman"/>
          <w:sz w:val="24"/>
          <w:szCs w:val="24"/>
        </w:rPr>
        <w:t>) less than 6 years of education; (</w:t>
      </w:r>
      <w:r w:rsidRPr="008955C4">
        <w:rPr>
          <w:rFonts w:ascii="Times New Roman" w:eastAsia="等线" w:hAnsi="Times New Roman" w:cs="Times New Roman"/>
          <w:sz w:val="24"/>
          <w:szCs w:val="24"/>
        </w:rPr>
        <w:t>Ⅲ</w:t>
      </w:r>
      <w:r w:rsidRPr="008955C4">
        <w:rPr>
          <w:rFonts w:ascii="Times New Roman" w:hAnsi="Times New Roman" w:cs="Times New Roman"/>
          <w:sz w:val="24"/>
          <w:szCs w:val="24"/>
        </w:rPr>
        <w:t xml:space="preserve">) patients who were not able to complete neuropsychological scale screening, such as </w:t>
      </w:r>
      <w:r>
        <w:rPr>
          <w:rFonts w:ascii="Times New Roman" w:hAnsi="Times New Roman" w:cs="Times New Roman"/>
          <w:sz w:val="24"/>
          <w:szCs w:val="24"/>
        </w:rPr>
        <w:t xml:space="preserve">those with a </w:t>
      </w:r>
      <w:r w:rsidRPr="008955C4">
        <w:rPr>
          <w:rFonts w:ascii="Times New Roman" w:hAnsi="Times New Roman" w:cs="Times New Roman"/>
          <w:sz w:val="24"/>
          <w:szCs w:val="24"/>
        </w:rPr>
        <w:t>speech impairment</w:t>
      </w:r>
      <w:r>
        <w:rPr>
          <w:rFonts w:ascii="Times New Roman" w:hAnsi="Times New Roman" w:cs="Times New Roman"/>
          <w:sz w:val="24"/>
          <w:szCs w:val="24"/>
        </w:rPr>
        <w:t xml:space="preserve"> or</w:t>
      </w:r>
      <w:r w:rsidRPr="008955C4">
        <w:rPr>
          <w:rFonts w:ascii="Times New Roman" w:hAnsi="Times New Roman" w:cs="Times New Roman"/>
          <w:sz w:val="24"/>
          <w:szCs w:val="24"/>
        </w:rPr>
        <w:t xml:space="preserve"> hearing loss and </w:t>
      </w:r>
      <w:r>
        <w:rPr>
          <w:rFonts w:ascii="Times New Roman" w:hAnsi="Times New Roman" w:cs="Times New Roman"/>
          <w:sz w:val="24"/>
          <w:szCs w:val="24"/>
        </w:rPr>
        <w:t xml:space="preserve">those </w:t>
      </w:r>
      <w:r w:rsidRPr="008955C4">
        <w:rPr>
          <w:rFonts w:ascii="Times New Roman" w:hAnsi="Times New Roman" w:cs="Times New Roman"/>
          <w:sz w:val="24"/>
          <w:szCs w:val="24"/>
        </w:rPr>
        <w:t xml:space="preserve">reluctant to cooperate; (Ⅳ) metabolic diseases that may affect cognitive function temporarily, such as acute carbohydrate metabolic events in the last 3 months, including severe hypoglycemia, diabetic ketoacidosis, diabetic hyperglycemia hypertonic coma,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8955C4">
        <w:rPr>
          <w:rFonts w:ascii="Times New Roman" w:hAnsi="Times New Roman" w:cs="Times New Roman"/>
          <w:sz w:val="24"/>
          <w:szCs w:val="24"/>
        </w:rPr>
        <w:t>hypothyroidism; (Ⅴ) head trauma that might affect cognitive function, cerebral intake, mental and neurological disorders such as depression, anxiety, delirium, severe lung or kidney diseases, history of heart failure, malignant tumors, etc.; (</w:t>
      </w:r>
      <w:r w:rsidRPr="002336F8">
        <w:rPr>
          <w:rFonts w:ascii="Times New Roman" w:hAnsi="Times New Roman" w:cs="Times New Roman"/>
          <w:sz w:val="24"/>
          <w:szCs w:val="24"/>
        </w:rPr>
        <w:t>VI</w:t>
      </w:r>
      <w:r w:rsidRPr="008955C4">
        <w:rPr>
          <w:rFonts w:ascii="Times New Roman" w:hAnsi="Times New Roman" w:cs="Times New Roman"/>
          <w:sz w:val="24"/>
          <w:szCs w:val="24"/>
        </w:rPr>
        <w:t>) a history of drug dependence/abuse; (</w:t>
      </w:r>
      <w:r w:rsidRPr="002336F8">
        <w:rPr>
          <w:rFonts w:ascii="Times New Roman" w:hAnsi="Times New Roman" w:cs="Times New Roman"/>
          <w:sz w:val="24"/>
          <w:szCs w:val="24"/>
        </w:rPr>
        <w:t>VII</w:t>
      </w:r>
      <w:r w:rsidRPr="008955C4">
        <w:rPr>
          <w:rFonts w:ascii="Times New Roman" w:hAnsi="Times New Roman" w:cs="Times New Roman"/>
          <w:sz w:val="24"/>
          <w:szCs w:val="24"/>
        </w:rPr>
        <w:t>) use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8955C4">
        <w:rPr>
          <w:rFonts w:ascii="Times New Roman" w:hAnsi="Times New Roman" w:cs="Times New Roman"/>
          <w:sz w:val="24"/>
          <w:szCs w:val="24"/>
        </w:rPr>
        <w:t xml:space="preserve"> the following</w:t>
      </w:r>
      <w:r w:rsidRPr="008955C4">
        <w:rPr>
          <w:rFonts w:ascii="Times New Roman" w:eastAsia="等线" w:hAnsi="Times New Roman" w:cs="Times New Roman"/>
          <w:sz w:val="24"/>
          <w:szCs w:val="24"/>
        </w:rPr>
        <w:t xml:space="preserve"> drugs in the previous month: antidepressant drugs, anti-Parkinson drugs, anti-epileptic drugs, sedative hypnotic drugs, etc.;</w:t>
      </w:r>
      <w:r>
        <w:rPr>
          <w:rFonts w:ascii="Times New Roman" w:eastAsia="等线" w:hAnsi="Times New Roman" w:cs="Times New Roman"/>
          <w:sz w:val="24"/>
          <w:szCs w:val="24"/>
        </w:rPr>
        <w:t xml:space="preserve"> and</w:t>
      </w:r>
      <w:r w:rsidRPr="008955C4">
        <w:rPr>
          <w:rFonts w:ascii="Times New Roman" w:eastAsia="等线" w:hAnsi="Times New Roman" w:cs="Times New Roman"/>
          <w:sz w:val="24"/>
          <w:szCs w:val="24"/>
        </w:rPr>
        <w:t xml:space="preserve"> (Ⅷ) us</w:t>
      </w:r>
      <w:r>
        <w:rPr>
          <w:rFonts w:ascii="Times New Roman" w:eastAsia="等线" w:hAnsi="Times New Roman" w:cs="Times New Roman"/>
          <w:sz w:val="24"/>
          <w:szCs w:val="24"/>
        </w:rPr>
        <w:t>e of</w:t>
      </w:r>
      <w:r w:rsidRPr="008955C4">
        <w:rPr>
          <w:rFonts w:ascii="Times New Roman" w:eastAsia="等线" w:hAnsi="Times New Roman" w:cs="Times New Roman"/>
          <w:sz w:val="24"/>
          <w:szCs w:val="24"/>
        </w:rPr>
        <w:t xml:space="preserve"> cognitive dysfunction medications such as donepezil</w:t>
      </w:r>
      <w:r>
        <w:rPr>
          <w:rFonts w:ascii="Times New Roman" w:eastAsia="等线" w:hAnsi="Times New Roman" w:cs="Times New Roman"/>
          <w:sz w:val="24"/>
          <w:szCs w:val="24"/>
        </w:rPr>
        <w:t xml:space="preserve"> and</w:t>
      </w:r>
      <w:r w:rsidRPr="008955C4">
        <w:rPr>
          <w:rFonts w:ascii="Times New Roman" w:eastAsia="等线" w:hAnsi="Times New Roman" w:cs="Times New Roman"/>
          <w:sz w:val="24"/>
          <w:szCs w:val="24"/>
        </w:rPr>
        <w:t xml:space="preserve"> memantine.</w:t>
      </w:r>
    </w:p>
    <w:p w14:paraId="7322035C" w14:textId="20F702E4" w:rsidR="009D64F8" w:rsidRDefault="009D64F8">
      <w:pPr>
        <w:rPr>
          <w:rFonts w:hint="eastAsia"/>
        </w:rPr>
      </w:pPr>
    </w:p>
    <w:sectPr w:rsidR="009D6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CB"/>
    <w:rsid w:val="0013631A"/>
    <w:rsid w:val="0016576B"/>
    <w:rsid w:val="002218F7"/>
    <w:rsid w:val="00242E87"/>
    <w:rsid w:val="002972B3"/>
    <w:rsid w:val="002E333D"/>
    <w:rsid w:val="005A6E80"/>
    <w:rsid w:val="006154DB"/>
    <w:rsid w:val="006C0E00"/>
    <w:rsid w:val="00775E81"/>
    <w:rsid w:val="00834EF7"/>
    <w:rsid w:val="009D64F8"/>
    <w:rsid w:val="00A17352"/>
    <w:rsid w:val="00AF3742"/>
    <w:rsid w:val="00D4644E"/>
    <w:rsid w:val="00D470CB"/>
    <w:rsid w:val="00FB62DE"/>
    <w:rsid w:val="00FD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5E4B3"/>
  <w15:chartTrackingRefBased/>
  <w15:docId w15:val="{B1BABF6B-6AF7-44E3-8558-C9942659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4644E"/>
    <w:rPr>
      <w:sz w:val="21"/>
      <w:szCs w:val="21"/>
    </w:rPr>
  </w:style>
  <w:style w:type="table" w:styleId="a4">
    <w:name w:val="Table Grid"/>
    <w:basedOn w:val="a1"/>
    <w:uiPriority w:val="39"/>
    <w:rsid w:val="00D46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4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肖雨 孟</dc:creator>
  <cp:keywords/>
  <dc:description/>
  <cp:lastModifiedBy>肖雨 孟</cp:lastModifiedBy>
  <cp:revision>4</cp:revision>
  <dcterms:created xsi:type="dcterms:W3CDTF">2024-06-14T01:33:00Z</dcterms:created>
  <dcterms:modified xsi:type="dcterms:W3CDTF">2024-06-14T02:39:00Z</dcterms:modified>
</cp:coreProperties>
</file>