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ADB8" w14:textId="7AC01C7D" w:rsidR="00E23F47" w:rsidRPr="002873C0" w:rsidRDefault="00F05CC6" w:rsidP="00807A62">
      <w:pPr>
        <w:tabs>
          <w:tab w:val="left" w:pos="5825"/>
        </w:tabs>
        <w:rPr>
          <w:rFonts w:ascii="Arial" w:hAnsi="Arial" w:cs="Arial"/>
          <w:b/>
          <w:bCs/>
        </w:rPr>
      </w:pPr>
      <w:r w:rsidRPr="002873C0">
        <w:rPr>
          <w:rFonts w:ascii="Arial" w:hAnsi="Arial" w:cs="Arial"/>
          <w:b/>
          <w:bCs/>
        </w:rPr>
        <w:t>Supplementary information</w:t>
      </w:r>
      <w:r w:rsidR="00807A62" w:rsidRPr="002873C0">
        <w:rPr>
          <w:rFonts w:ascii="Arial" w:hAnsi="Arial" w:cs="Arial"/>
          <w:b/>
          <w:bCs/>
        </w:rPr>
        <w:tab/>
      </w:r>
    </w:p>
    <w:p w14:paraId="39C4BA42" w14:textId="77777777" w:rsidR="00F05CC6" w:rsidRDefault="00F05CC6"/>
    <w:p w14:paraId="33B4814D" w14:textId="77777777" w:rsidR="00105657" w:rsidRPr="002873C0" w:rsidRDefault="00105657" w:rsidP="00105657">
      <w:pPr>
        <w:rPr>
          <w:rFonts w:ascii="Arial" w:hAnsi="Arial" w:cs="Arial"/>
          <w:b/>
          <w:bCs/>
        </w:rPr>
      </w:pPr>
      <w:r w:rsidRPr="002873C0">
        <w:rPr>
          <w:rFonts w:ascii="Arial" w:hAnsi="Arial" w:cs="Arial"/>
          <w:b/>
          <w:bCs/>
        </w:rPr>
        <w:t>Bray-Curtis and PERMANOVA analysis</w:t>
      </w:r>
    </w:p>
    <w:p w14:paraId="757AE890" w14:textId="52818D20" w:rsidR="00F05CC6" w:rsidRPr="00105657" w:rsidRDefault="007475A3" w:rsidP="00105657">
      <w:pPr>
        <w:rPr>
          <w:b/>
          <w:bCs/>
        </w:rPr>
      </w:pPr>
      <w:r>
        <w:rPr>
          <w:rFonts w:ascii="Arial" w:hAnsi="Arial" w:cs="Arial"/>
        </w:rPr>
        <w:t xml:space="preserve">The </w:t>
      </w:r>
      <w:r w:rsidR="00F05CC6">
        <w:rPr>
          <w:rFonts w:ascii="Arial" w:hAnsi="Arial" w:cs="Arial"/>
        </w:rPr>
        <w:t xml:space="preserve">BC dissimilarity </w:t>
      </w:r>
      <w:r w:rsidR="00F05CC6">
        <w:rPr>
          <w:rFonts w:ascii="Arial" w:hAnsi="Arial" w:cs="Arial"/>
        </w:rPr>
        <w:t>index was calculated as follows:</w:t>
      </w:r>
    </w:p>
    <w:p w14:paraId="0738E150" w14:textId="77777777" w:rsidR="00F05CC6" w:rsidRDefault="00F05CC6" w:rsidP="00F05CC6">
      <w:pPr>
        <w:spacing w:after="120" w:line="480" w:lineRule="auto"/>
        <w:jc w:val="both"/>
        <w:rPr>
          <w:rFonts w:ascii="Arial" w:hAnsi="Arial" w:cs="Arial"/>
          <w:b/>
          <w:bCs/>
          <w:caps/>
        </w:rPr>
      </w:pPr>
      <w:proofErr w:type="spellStart"/>
      <w:r w:rsidRPr="00586494">
        <w:rPr>
          <w:rFonts w:ascii="Arial" w:hAnsi="Arial" w:cs="Arial"/>
          <w:i/>
          <w:iCs/>
        </w:rPr>
        <w:t>BCij</w:t>
      </w:r>
      <w:proofErr w:type="spellEnd"/>
      <w:r w:rsidRPr="00586494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 xml:space="preserve">=1- </m:t>
        </m:r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2Cij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Si+Sj</m:t>
            </m:r>
          </m:den>
        </m:f>
      </m:oMath>
      <w:r>
        <w:rPr>
          <w:rFonts w:ascii="Arial" w:hAnsi="Arial" w:cs="Arial"/>
        </w:rPr>
        <w:t xml:space="preserve"> </w:t>
      </w:r>
    </w:p>
    <w:p w14:paraId="3A449BC8" w14:textId="5E43DC9A" w:rsidR="00105657" w:rsidRDefault="00F05CC6" w:rsidP="001056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proofErr w:type="spellStart"/>
      <w:proofErr w:type="gramStart"/>
      <w:r>
        <w:rPr>
          <w:rFonts w:ascii="Arial" w:hAnsi="Arial" w:cs="Arial"/>
        </w:rPr>
        <w:t>i,j</w:t>
      </w:r>
      <w:proofErr w:type="spellEnd"/>
      <w:proofErr w:type="gramEnd"/>
      <w:r>
        <w:rPr>
          <w:rFonts w:ascii="Arial" w:hAnsi="Arial" w:cs="Arial"/>
        </w:rPr>
        <w:t xml:space="preserve"> are experimental groups; </w:t>
      </w:r>
      <w:proofErr w:type="spellStart"/>
      <w:r>
        <w:rPr>
          <w:rFonts w:ascii="Arial" w:hAnsi="Arial" w:cs="Arial"/>
        </w:rPr>
        <w:t>Cij</w:t>
      </w:r>
      <w:proofErr w:type="spellEnd"/>
      <w:r>
        <w:rPr>
          <w:rFonts w:ascii="Arial" w:hAnsi="Arial" w:cs="Arial"/>
        </w:rPr>
        <w:t xml:space="preserve"> is the sum of the lesser count of each species (mRNA); Si and </w:t>
      </w:r>
      <w:proofErr w:type="spellStart"/>
      <w:r>
        <w:rPr>
          <w:rFonts w:ascii="Arial" w:hAnsi="Arial" w:cs="Arial"/>
        </w:rPr>
        <w:t>Sj</w:t>
      </w:r>
      <w:proofErr w:type="spellEnd"/>
      <w:r>
        <w:rPr>
          <w:rFonts w:ascii="Arial" w:hAnsi="Arial" w:cs="Arial"/>
        </w:rPr>
        <w:t xml:space="preserve"> are the total number of </w:t>
      </w:r>
      <w:r>
        <w:rPr>
          <w:rFonts w:ascii="Arial" w:hAnsi="Arial" w:cs="Arial"/>
        </w:rPr>
        <w:t>specimen</w:t>
      </w:r>
      <w:r w:rsidR="007475A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 </w:t>
      </w:r>
      <w:r w:rsidR="007475A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group. </w:t>
      </w:r>
      <w:bookmarkStart w:id="0" w:name="_Hlk173096230"/>
      <w:r w:rsidR="007475A3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>mRNA fold change was used as</w:t>
      </w:r>
      <w:r w:rsidR="007475A3">
        <w:rPr>
          <w:rFonts w:ascii="Arial" w:hAnsi="Arial" w:cs="Arial"/>
        </w:rPr>
        <w:t xml:space="preserve"> the</w:t>
      </w:r>
      <w:r w:rsidR="00105657">
        <w:rPr>
          <w:rFonts w:ascii="Arial" w:hAnsi="Arial" w:cs="Arial"/>
        </w:rPr>
        <w:t xml:space="preserve"> “RNA count”. To calculate fold change,</w:t>
      </w:r>
      <w:r w:rsidR="006F47B7">
        <w:rPr>
          <w:rFonts w:ascii="Arial" w:hAnsi="Arial" w:cs="Arial"/>
        </w:rPr>
        <w:t xml:space="preserve"> the</w:t>
      </w:r>
      <w:r w:rsidR="00105657">
        <w:rPr>
          <w:rFonts w:ascii="Arial" w:hAnsi="Arial" w:cs="Arial"/>
        </w:rPr>
        <w:t xml:space="preserve"> </w:t>
      </w:r>
      <w:proofErr w:type="spellStart"/>
      <w:r w:rsidR="00105657">
        <w:rPr>
          <w:rFonts w:ascii="Calibri" w:hAnsi="Calibri" w:cs="Calibri"/>
        </w:rPr>
        <w:t>ΔΔ</w:t>
      </w:r>
      <w:r w:rsidR="00105657">
        <w:rPr>
          <w:rFonts w:ascii="Arial" w:hAnsi="Arial" w:cs="Arial"/>
        </w:rPr>
        <w:t>Ct</w:t>
      </w:r>
      <w:proofErr w:type="spellEnd"/>
      <w:r w:rsidR="00105657">
        <w:rPr>
          <w:rFonts w:ascii="Arial" w:hAnsi="Arial" w:cs="Arial"/>
        </w:rPr>
        <w:t xml:space="preserve"> of </w:t>
      </w:r>
      <w:r w:rsidR="006F47B7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 xml:space="preserve">control group </w:t>
      </w:r>
      <w:r w:rsidR="007475A3">
        <w:rPr>
          <w:rFonts w:ascii="Arial" w:hAnsi="Arial" w:cs="Arial"/>
        </w:rPr>
        <w:t>wa</w:t>
      </w:r>
      <w:r w:rsidR="00105657">
        <w:rPr>
          <w:rFonts w:ascii="Arial" w:hAnsi="Arial" w:cs="Arial"/>
        </w:rPr>
        <w:t xml:space="preserve">s set to 1 and </w:t>
      </w:r>
      <w:r w:rsidR="006F47B7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 xml:space="preserve">experimental group fold change </w:t>
      </w:r>
      <w:r w:rsidR="007475A3">
        <w:rPr>
          <w:rFonts w:ascii="Arial" w:hAnsi="Arial" w:cs="Arial"/>
        </w:rPr>
        <w:t>wa</w:t>
      </w:r>
      <w:r w:rsidR="00105657">
        <w:rPr>
          <w:rFonts w:ascii="Arial" w:hAnsi="Arial" w:cs="Arial"/>
        </w:rPr>
        <w:t xml:space="preserve">s calculated relative to </w:t>
      </w:r>
      <w:r w:rsidR="007475A3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>control. Thus</w:t>
      </w:r>
      <w:r w:rsidR="00105657">
        <w:rPr>
          <w:rFonts w:ascii="Arial" w:hAnsi="Arial" w:cs="Arial"/>
        </w:rPr>
        <w:t xml:space="preserve">, for </w:t>
      </w:r>
      <w:r w:rsidR="006F47B7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 xml:space="preserve">Bray-Curtis distance calculation, </w:t>
      </w:r>
      <w:r w:rsidR="00105657">
        <w:rPr>
          <w:rFonts w:ascii="Arial" w:hAnsi="Arial" w:cs="Arial"/>
        </w:rPr>
        <w:t xml:space="preserve">if </w:t>
      </w:r>
      <w:r w:rsidR="007475A3">
        <w:rPr>
          <w:rFonts w:ascii="Arial" w:hAnsi="Arial" w:cs="Arial"/>
        </w:rPr>
        <w:t xml:space="preserve">the </w:t>
      </w:r>
      <w:r w:rsidR="00105657">
        <w:rPr>
          <w:rFonts w:ascii="Arial" w:hAnsi="Arial" w:cs="Arial"/>
        </w:rPr>
        <w:t>fold change was 8.8</w:t>
      </w:r>
      <w:r w:rsidR="007475A3">
        <w:rPr>
          <w:rFonts w:ascii="Arial" w:hAnsi="Arial" w:cs="Arial"/>
        </w:rPr>
        <w:t>, the</w:t>
      </w:r>
      <w:r w:rsidR="00105657">
        <w:rPr>
          <w:rFonts w:ascii="Arial" w:hAnsi="Arial" w:cs="Arial"/>
        </w:rPr>
        <w:t xml:space="preserve"> </w:t>
      </w:r>
      <w:r w:rsidR="007475A3">
        <w:rPr>
          <w:rFonts w:ascii="Arial" w:hAnsi="Arial" w:cs="Arial"/>
        </w:rPr>
        <w:t xml:space="preserve">mRNA count </w:t>
      </w:r>
      <w:proofErr w:type="gramStart"/>
      <w:r w:rsidR="00105657">
        <w:rPr>
          <w:rFonts w:ascii="Arial" w:hAnsi="Arial" w:cs="Arial"/>
        </w:rPr>
        <w:t xml:space="preserve">was considered </w:t>
      </w:r>
      <w:r w:rsidR="007475A3">
        <w:rPr>
          <w:rFonts w:ascii="Arial" w:hAnsi="Arial" w:cs="Arial"/>
        </w:rPr>
        <w:t>to be</w:t>
      </w:r>
      <w:proofErr w:type="gramEnd"/>
      <w:r w:rsidR="007475A3">
        <w:rPr>
          <w:rFonts w:ascii="Arial" w:hAnsi="Arial" w:cs="Arial"/>
        </w:rPr>
        <w:t xml:space="preserve"> </w:t>
      </w:r>
      <w:r w:rsidR="00105657">
        <w:rPr>
          <w:rFonts w:ascii="Arial" w:hAnsi="Arial" w:cs="Arial"/>
        </w:rPr>
        <w:t>8.8</w:t>
      </w:r>
      <w:r w:rsidR="007475A3">
        <w:rPr>
          <w:rFonts w:ascii="Arial" w:hAnsi="Arial" w:cs="Arial"/>
        </w:rPr>
        <w:t xml:space="preserve"> and</w:t>
      </w:r>
      <w:r w:rsidR="006F47B7">
        <w:rPr>
          <w:rFonts w:ascii="Arial" w:hAnsi="Arial" w:cs="Arial"/>
        </w:rPr>
        <w:t xml:space="preserve"> the </w:t>
      </w:r>
      <w:r w:rsidR="00105657">
        <w:rPr>
          <w:rFonts w:ascii="Arial" w:hAnsi="Arial" w:cs="Arial"/>
        </w:rPr>
        <w:t>control</w:t>
      </w:r>
      <w:r w:rsidR="007475A3">
        <w:rPr>
          <w:rFonts w:ascii="Arial" w:hAnsi="Arial" w:cs="Arial"/>
        </w:rPr>
        <w:t xml:space="preserve"> mRNA count</w:t>
      </w:r>
      <w:r w:rsidR="00105657">
        <w:rPr>
          <w:rFonts w:ascii="Arial" w:hAnsi="Arial" w:cs="Arial"/>
        </w:rPr>
        <w:t xml:space="preserve"> was considered </w:t>
      </w:r>
      <w:r w:rsidR="007475A3">
        <w:rPr>
          <w:rFonts w:ascii="Arial" w:hAnsi="Arial" w:cs="Arial"/>
        </w:rPr>
        <w:t>to be</w:t>
      </w:r>
      <w:r w:rsidR="00105657">
        <w:rPr>
          <w:rFonts w:ascii="Arial" w:hAnsi="Arial" w:cs="Arial"/>
        </w:rPr>
        <w:t xml:space="preserve"> 1.  </w:t>
      </w:r>
    </w:p>
    <w:p w14:paraId="7EAD9969" w14:textId="77777777" w:rsidR="006F47B7" w:rsidRDefault="006F47B7" w:rsidP="00105657">
      <w:pPr>
        <w:spacing w:after="0" w:line="360" w:lineRule="auto"/>
        <w:jc w:val="both"/>
        <w:rPr>
          <w:rFonts w:ascii="Arial" w:hAnsi="Arial" w:cs="Arial"/>
        </w:rPr>
      </w:pPr>
    </w:p>
    <w:bookmarkEnd w:id="0"/>
    <w:p w14:paraId="6DB28A92" w14:textId="56D6E31B" w:rsidR="00F05CC6" w:rsidRDefault="00105657" w:rsidP="001056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16436">
        <w:rPr>
          <w:rFonts w:ascii="Arial" w:hAnsi="Arial" w:cs="Arial"/>
        </w:rPr>
        <w:t xml:space="preserve">e first performed sensitivity analyses to determine if this statistic was suitable to reflect </w:t>
      </w:r>
      <w:r>
        <w:rPr>
          <w:rFonts w:ascii="Arial" w:hAnsi="Arial" w:cs="Arial"/>
        </w:rPr>
        <w:t>changes</w:t>
      </w:r>
      <w:r w:rsidR="00E16436">
        <w:rPr>
          <w:rFonts w:ascii="Arial" w:hAnsi="Arial" w:cs="Arial"/>
        </w:rPr>
        <w:t xml:space="preserve"> between microglial gene expression among groups. </w:t>
      </w:r>
      <w:r>
        <w:rPr>
          <w:rFonts w:ascii="Arial" w:hAnsi="Arial" w:cs="Arial"/>
        </w:rPr>
        <w:t>As an example, w</w:t>
      </w:r>
      <w:r w:rsidR="00E16436">
        <w:rPr>
          <w:rFonts w:ascii="Arial" w:hAnsi="Arial" w:cs="Arial"/>
        </w:rPr>
        <w:t>e performed a sensitivity analysis using the expression of 3 genes (C/EBP</w:t>
      </w:r>
      <w:r w:rsidR="00E16436" w:rsidRPr="00586494">
        <w:rPr>
          <w:rFonts w:ascii="Symbol" w:hAnsi="Symbol" w:cs="Arial"/>
        </w:rPr>
        <w:t>b</w:t>
      </w:r>
      <w:r w:rsidR="00E16436">
        <w:rPr>
          <w:rFonts w:ascii="Arial" w:hAnsi="Arial" w:cs="Arial"/>
        </w:rPr>
        <w:t xml:space="preserve">, Ptgs2 and Arg-1), comparing cortical microglia from rats receiving LPS at P7 or P18 versus control rats receiving </w:t>
      </w:r>
      <w:r w:rsidR="00E16436">
        <w:rPr>
          <w:rFonts w:ascii="Arial" w:hAnsi="Arial" w:cs="Arial"/>
        </w:rPr>
        <w:t>saline</w:t>
      </w:r>
      <w:r w:rsidR="007475A3">
        <w:rPr>
          <w:rFonts w:ascii="Arial" w:hAnsi="Arial" w:cs="Arial"/>
        </w:rPr>
        <w:t xml:space="preserve"> at these ages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(Supplementary Fig 3)</w:t>
      </w:r>
      <w:r w:rsidR="00E16436">
        <w:rPr>
          <w:rFonts w:ascii="Arial" w:hAnsi="Arial" w:cs="Arial"/>
        </w:rPr>
        <w:t xml:space="preserve">. As illustrated in the 3D graphs in </w:t>
      </w:r>
      <w:r>
        <w:rPr>
          <w:rFonts w:ascii="Arial" w:hAnsi="Arial" w:cs="Arial"/>
        </w:rPr>
        <w:t xml:space="preserve">Suppl </w:t>
      </w:r>
      <w:r w:rsidR="00E16436">
        <w:rPr>
          <w:rFonts w:ascii="Arial" w:hAnsi="Arial" w:cs="Arial"/>
        </w:rPr>
        <w:t>Fig</w:t>
      </w:r>
      <w:r w:rsidR="004C25E3">
        <w:rPr>
          <w:rFonts w:ascii="Arial" w:hAnsi="Arial" w:cs="Arial"/>
        </w:rPr>
        <w:t>ures</w:t>
      </w:r>
      <w:r w:rsidR="00E164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E16436">
        <w:rPr>
          <w:rFonts w:ascii="Arial" w:hAnsi="Arial" w:cs="Arial"/>
        </w:rPr>
        <w:t>A</w:t>
      </w:r>
      <w:r w:rsidR="00C04A98">
        <w:rPr>
          <w:rFonts w:ascii="Arial" w:hAnsi="Arial" w:cs="Arial"/>
        </w:rPr>
        <w:t>, B</w:t>
      </w:r>
      <w:r w:rsidR="00E16436">
        <w:rPr>
          <w:rFonts w:ascii="Arial" w:hAnsi="Arial" w:cs="Arial"/>
        </w:rPr>
        <w:t xml:space="preserve">, basal </w:t>
      </w:r>
      <w:r w:rsidR="00E16436">
        <w:rPr>
          <w:rFonts w:ascii="Arial" w:hAnsi="Arial" w:cs="Arial"/>
        </w:rPr>
        <w:t xml:space="preserve">gene expression was comparable, regardless of </w:t>
      </w:r>
      <w:r w:rsidR="007475A3">
        <w:rPr>
          <w:rFonts w:ascii="Arial" w:hAnsi="Arial" w:cs="Arial"/>
        </w:rPr>
        <w:t xml:space="preserve">the </w:t>
      </w:r>
      <w:r w:rsidR="00E16436">
        <w:rPr>
          <w:rFonts w:ascii="Arial" w:hAnsi="Arial" w:cs="Arial"/>
        </w:rPr>
        <w:t>postnatal exposure (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>/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 xml:space="preserve"> </w:t>
      </w:r>
      <w:r w:rsidR="007475A3">
        <w:rPr>
          <w:rFonts w:ascii="Arial" w:hAnsi="Arial" w:cs="Arial"/>
        </w:rPr>
        <w:t xml:space="preserve">or </w:t>
      </w:r>
      <w:r w:rsidR="00E16436">
        <w:rPr>
          <w:rFonts w:ascii="Arial" w:hAnsi="Arial" w:cs="Arial"/>
        </w:rPr>
        <w:t>LPS/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 xml:space="preserve"> groups)</w:t>
      </w:r>
      <w:r w:rsidR="007475A3">
        <w:rPr>
          <w:rFonts w:ascii="Arial" w:hAnsi="Arial" w:cs="Arial"/>
        </w:rPr>
        <w:t>, a</w:t>
      </w:r>
      <w:r w:rsidR="00E16436">
        <w:rPr>
          <w:rFonts w:ascii="Arial" w:hAnsi="Arial" w:cs="Arial"/>
        </w:rPr>
        <w:t>dult LPS challenge upregulated all 3 genes in</w:t>
      </w:r>
      <w:r w:rsidR="007475A3">
        <w:rPr>
          <w:rFonts w:ascii="Arial" w:hAnsi="Arial" w:cs="Arial"/>
        </w:rPr>
        <w:t xml:space="preserve"> the</w:t>
      </w:r>
      <w:r w:rsidR="00E16436">
        <w:rPr>
          <w:rFonts w:ascii="Arial" w:hAnsi="Arial" w:cs="Arial"/>
        </w:rPr>
        <w:t xml:space="preserve"> 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>/LPS and LPS/LPS groups</w:t>
      </w:r>
      <w:r w:rsidR="007475A3">
        <w:rPr>
          <w:rFonts w:ascii="Arial" w:hAnsi="Arial" w:cs="Arial"/>
        </w:rPr>
        <w:t>. W</w:t>
      </w:r>
      <w:r w:rsidR="00E16436">
        <w:rPr>
          <w:rFonts w:ascii="Arial" w:hAnsi="Arial" w:cs="Arial"/>
        </w:rPr>
        <w:t xml:space="preserve">hereas </w:t>
      </w:r>
      <w:r w:rsidR="006F47B7">
        <w:rPr>
          <w:rFonts w:ascii="Arial" w:hAnsi="Arial" w:cs="Arial"/>
        </w:rPr>
        <w:t xml:space="preserve">LPS at </w:t>
      </w:r>
      <w:r w:rsidR="00E16436">
        <w:rPr>
          <w:rFonts w:ascii="Arial" w:hAnsi="Arial" w:cs="Arial"/>
        </w:rPr>
        <w:t xml:space="preserve">P7 had little effect on LPS-induced gene responses in adults, P18 LPS challenge </w:t>
      </w:r>
      <w:r w:rsidR="00E16436">
        <w:rPr>
          <w:rFonts w:ascii="Arial" w:hAnsi="Arial" w:cs="Arial"/>
        </w:rPr>
        <w:t xml:space="preserve">attenuated adult microglial responses. </w:t>
      </w:r>
      <w:r>
        <w:rPr>
          <w:rFonts w:ascii="Arial" w:hAnsi="Arial" w:cs="Arial"/>
        </w:rPr>
        <w:t xml:space="preserve">The figure </w:t>
      </w:r>
      <w:r w:rsidR="00E16436">
        <w:rPr>
          <w:rFonts w:ascii="Arial" w:hAnsi="Arial" w:cs="Arial"/>
        </w:rPr>
        <w:t xml:space="preserve">illustrates that gene expression in </w:t>
      </w:r>
      <w:r w:rsidR="006F47B7">
        <w:rPr>
          <w:rFonts w:ascii="Arial" w:hAnsi="Arial" w:cs="Arial"/>
        </w:rPr>
        <w:t xml:space="preserve">the 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>/LPS and LPS/LPS treatment groups were more similar when the postnatal LPS challenge occurred at P7</w:t>
      </w:r>
      <w:r w:rsidR="006F47B7">
        <w:rPr>
          <w:rFonts w:ascii="Arial" w:hAnsi="Arial" w:cs="Arial"/>
        </w:rPr>
        <w:t>,</w:t>
      </w:r>
      <w:r w:rsidR="00E16436">
        <w:rPr>
          <w:rFonts w:ascii="Arial" w:hAnsi="Arial" w:cs="Arial"/>
        </w:rPr>
        <w:t xml:space="preserve"> and </w:t>
      </w:r>
      <w:r w:rsidR="006F47B7">
        <w:rPr>
          <w:rFonts w:ascii="Arial" w:hAnsi="Arial" w:cs="Arial"/>
        </w:rPr>
        <w:t xml:space="preserve">they </w:t>
      </w:r>
      <w:r w:rsidR="00E16436">
        <w:rPr>
          <w:rFonts w:ascii="Arial" w:hAnsi="Arial" w:cs="Arial"/>
        </w:rPr>
        <w:t>were more distinct when the LPS challenge occurred at P18, indicating greater dissimilarity. The Bray-Curtis dissimilarity ind</w:t>
      </w:r>
      <w:r w:rsidR="006F47B7">
        <w:rPr>
          <w:rFonts w:ascii="Arial" w:hAnsi="Arial" w:cs="Arial"/>
        </w:rPr>
        <w:t>ice</w:t>
      </w:r>
      <w:r w:rsidR="00E16436">
        <w:rPr>
          <w:rFonts w:ascii="Arial" w:hAnsi="Arial" w:cs="Arial"/>
        </w:rPr>
        <w:t xml:space="preserve">s </w:t>
      </w:r>
      <w:r w:rsidR="002F7860">
        <w:rPr>
          <w:rFonts w:ascii="Arial" w:hAnsi="Arial" w:cs="Arial"/>
        </w:rPr>
        <w:t>(Suppl Fig</w:t>
      </w:r>
      <w:r w:rsidR="004C25E3">
        <w:rPr>
          <w:rFonts w:ascii="Arial" w:hAnsi="Arial" w:cs="Arial"/>
        </w:rPr>
        <w:t>ure</w:t>
      </w:r>
      <w:r w:rsidR="002F7860">
        <w:rPr>
          <w:rFonts w:ascii="Arial" w:hAnsi="Arial" w:cs="Arial"/>
        </w:rPr>
        <w:t xml:space="preserve"> 3C) </w:t>
      </w:r>
      <w:r w:rsidR="00E16436">
        <w:rPr>
          <w:rFonts w:ascii="Arial" w:hAnsi="Arial" w:cs="Arial"/>
        </w:rPr>
        <w:t>comparing basal gene expression in control animals (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>/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>) versus rats exposed to LPS at P7 or P18 (LPS/</w:t>
      </w:r>
      <w:proofErr w:type="spellStart"/>
      <w:r w:rsidR="00E16436">
        <w:rPr>
          <w:rFonts w:ascii="Arial" w:hAnsi="Arial" w:cs="Arial"/>
        </w:rPr>
        <w:t>sal</w:t>
      </w:r>
      <w:proofErr w:type="spellEnd"/>
      <w:r w:rsidR="00E16436">
        <w:rPr>
          <w:rFonts w:ascii="Arial" w:hAnsi="Arial" w:cs="Arial"/>
        </w:rPr>
        <w:t xml:space="preserve"> groups) were 0.</w:t>
      </w:r>
      <w:r w:rsidR="00C04A98">
        <w:rPr>
          <w:rFonts w:ascii="Arial" w:hAnsi="Arial" w:cs="Arial"/>
        </w:rPr>
        <w:t xml:space="preserve">309 </w:t>
      </w:r>
      <w:r w:rsidR="00E16436">
        <w:rPr>
          <w:rFonts w:ascii="Arial" w:hAnsi="Arial" w:cs="Arial"/>
        </w:rPr>
        <w:t>and 0.</w:t>
      </w:r>
      <w:r w:rsidR="00C04A98">
        <w:rPr>
          <w:rFonts w:ascii="Arial" w:hAnsi="Arial" w:cs="Arial"/>
        </w:rPr>
        <w:t>227</w:t>
      </w:r>
      <w:r w:rsidR="00E16436">
        <w:rPr>
          <w:rFonts w:ascii="Arial" w:hAnsi="Arial" w:cs="Arial"/>
        </w:rPr>
        <w:t xml:space="preserve">, indicating high similarity between </w:t>
      </w:r>
      <w:r w:rsidR="006F47B7">
        <w:rPr>
          <w:rFonts w:ascii="Arial" w:hAnsi="Arial" w:cs="Arial"/>
        </w:rPr>
        <w:t xml:space="preserve">these </w:t>
      </w:r>
      <w:r w:rsidR="00E16436">
        <w:rPr>
          <w:rFonts w:ascii="Arial" w:hAnsi="Arial" w:cs="Arial"/>
        </w:rPr>
        <w:t>groups</w:t>
      </w:r>
      <w:r w:rsidR="008F4B00">
        <w:rPr>
          <w:rFonts w:ascii="Arial" w:hAnsi="Arial" w:cs="Arial"/>
        </w:rPr>
        <w:t xml:space="preserve">. </w:t>
      </w:r>
      <w:r w:rsidR="00E16436">
        <w:rPr>
          <w:rFonts w:ascii="Arial" w:hAnsi="Arial" w:cs="Arial"/>
        </w:rPr>
        <w:t>In contrast,</w:t>
      </w:r>
      <w:r w:rsidR="004C12C1">
        <w:rPr>
          <w:rFonts w:ascii="Arial" w:hAnsi="Arial" w:cs="Arial"/>
        </w:rPr>
        <w:t xml:space="preserve"> the dissimilarity indices were high (and statistically significant) </w:t>
      </w:r>
      <w:r w:rsidR="002F7860">
        <w:rPr>
          <w:rFonts w:ascii="Arial" w:hAnsi="Arial" w:cs="Arial"/>
        </w:rPr>
        <w:t xml:space="preserve">comparing </w:t>
      </w:r>
      <w:r w:rsidR="004C12C1">
        <w:rPr>
          <w:rFonts w:ascii="Arial" w:hAnsi="Arial" w:cs="Arial"/>
        </w:rPr>
        <w:t>an</w:t>
      </w:r>
      <w:r w:rsidR="004C12C1">
        <w:rPr>
          <w:rFonts w:ascii="Arial" w:hAnsi="Arial" w:cs="Arial"/>
        </w:rPr>
        <w:t xml:space="preserve">imals </w:t>
      </w:r>
      <w:r w:rsidR="00EA5461">
        <w:rPr>
          <w:rFonts w:ascii="Arial" w:hAnsi="Arial" w:cs="Arial"/>
        </w:rPr>
        <w:t xml:space="preserve">receiving </w:t>
      </w:r>
      <w:r w:rsidR="004C12C1">
        <w:rPr>
          <w:rFonts w:ascii="Arial" w:hAnsi="Arial" w:cs="Arial"/>
        </w:rPr>
        <w:t xml:space="preserve">adult LPS treatment vs </w:t>
      </w:r>
      <w:r w:rsidR="002F7860">
        <w:rPr>
          <w:rFonts w:ascii="Arial" w:hAnsi="Arial" w:cs="Arial"/>
        </w:rPr>
        <w:t xml:space="preserve">saline treatment: </w:t>
      </w:r>
      <w:r w:rsidR="00E16436">
        <w:rPr>
          <w:rFonts w:ascii="Arial" w:hAnsi="Arial" w:cs="Arial"/>
        </w:rPr>
        <w:t>0.</w:t>
      </w:r>
      <w:r w:rsidR="00C04A98">
        <w:rPr>
          <w:rFonts w:ascii="Arial" w:hAnsi="Arial" w:cs="Arial"/>
        </w:rPr>
        <w:t xml:space="preserve">609 </w:t>
      </w:r>
      <w:r w:rsidR="00E16436">
        <w:rPr>
          <w:rFonts w:ascii="Arial" w:hAnsi="Arial" w:cs="Arial"/>
        </w:rPr>
        <w:t>and 0</w:t>
      </w:r>
      <w:r w:rsidR="00E16436">
        <w:rPr>
          <w:rFonts w:ascii="Arial" w:hAnsi="Arial" w:cs="Arial"/>
        </w:rPr>
        <w:t>.</w:t>
      </w:r>
      <w:r w:rsidR="00C04A98">
        <w:rPr>
          <w:rFonts w:ascii="Arial" w:hAnsi="Arial" w:cs="Arial"/>
        </w:rPr>
        <w:t>583</w:t>
      </w:r>
      <w:r w:rsidR="00E16436">
        <w:rPr>
          <w:rFonts w:ascii="Arial" w:hAnsi="Arial" w:cs="Arial"/>
        </w:rPr>
        <w:t xml:space="preserve"> for rats that had received saline at P7 </w:t>
      </w:r>
      <w:r w:rsidR="002F7860">
        <w:rPr>
          <w:rFonts w:ascii="Arial" w:hAnsi="Arial" w:cs="Arial"/>
        </w:rPr>
        <w:t xml:space="preserve">or </w:t>
      </w:r>
      <w:r w:rsidR="00E16436">
        <w:rPr>
          <w:rFonts w:ascii="Arial" w:hAnsi="Arial" w:cs="Arial"/>
        </w:rPr>
        <w:t xml:space="preserve">P18 </w:t>
      </w:r>
      <w:r w:rsidR="002F7860">
        <w:rPr>
          <w:rFonts w:ascii="Arial" w:hAnsi="Arial" w:cs="Arial"/>
        </w:rPr>
        <w:t>(</w:t>
      </w:r>
      <w:proofErr w:type="spellStart"/>
      <w:r w:rsidR="002F7860">
        <w:rPr>
          <w:rFonts w:ascii="Arial" w:hAnsi="Arial" w:cs="Arial"/>
        </w:rPr>
        <w:t>sal</w:t>
      </w:r>
      <w:proofErr w:type="spellEnd"/>
      <w:r w:rsidR="002F7860">
        <w:rPr>
          <w:rFonts w:ascii="Arial" w:hAnsi="Arial" w:cs="Arial"/>
        </w:rPr>
        <w:t>/</w:t>
      </w:r>
      <w:proofErr w:type="spellStart"/>
      <w:r w:rsidR="002F7860">
        <w:rPr>
          <w:rFonts w:ascii="Arial" w:hAnsi="Arial" w:cs="Arial"/>
        </w:rPr>
        <w:t>sal</w:t>
      </w:r>
      <w:proofErr w:type="spellEnd"/>
      <w:r w:rsidR="002F7860">
        <w:rPr>
          <w:rFonts w:ascii="Arial" w:hAnsi="Arial" w:cs="Arial"/>
        </w:rPr>
        <w:t xml:space="preserve"> vs </w:t>
      </w:r>
      <w:proofErr w:type="spellStart"/>
      <w:r w:rsidR="002F7860">
        <w:rPr>
          <w:rFonts w:ascii="Arial" w:hAnsi="Arial" w:cs="Arial"/>
        </w:rPr>
        <w:t>sal</w:t>
      </w:r>
      <w:proofErr w:type="spellEnd"/>
      <w:r w:rsidR="002F7860">
        <w:rPr>
          <w:rFonts w:ascii="Arial" w:hAnsi="Arial" w:cs="Arial"/>
        </w:rPr>
        <w:t>/LPS)</w:t>
      </w:r>
      <w:r w:rsidR="00E16436">
        <w:rPr>
          <w:rFonts w:ascii="Arial" w:hAnsi="Arial" w:cs="Arial"/>
        </w:rPr>
        <w:t>; and 0.</w:t>
      </w:r>
      <w:r w:rsidR="004C12C1">
        <w:rPr>
          <w:rFonts w:ascii="Arial" w:hAnsi="Arial" w:cs="Arial"/>
        </w:rPr>
        <w:t xml:space="preserve">583 </w:t>
      </w:r>
      <w:r w:rsidR="00E16436">
        <w:rPr>
          <w:rFonts w:ascii="Arial" w:hAnsi="Arial" w:cs="Arial"/>
        </w:rPr>
        <w:t>and 0.</w:t>
      </w:r>
      <w:r w:rsidR="004C12C1">
        <w:rPr>
          <w:rFonts w:ascii="Arial" w:hAnsi="Arial" w:cs="Arial"/>
        </w:rPr>
        <w:t xml:space="preserve">554 </w:t>
      </w:r>
      <w:r w:rsidR="00E16436">
        <w:rPr>
          <w:rFonts w:ascii="Arial" w:hAnsi="Arial" w:cs="Arial"/>
        </w:rPr>
        <w:t>for animals receiving LPS at P7 or P18</w:t>
      </w:r>
      <w:r w:rsidR="002F7860">
        <w:rPr>
          <w:rFonts w:ascii="Arial" w:hAnsi="Arial" w:cs="Arial"/>
        </w:rPr>
        <w:t xml:space="preserve"> (LPS/</w:t>
      </w:r>
      <w:proofErr w:type="spellStart"/>
      <w:r w:rsidR="002F7860">
        <w:rPr>
          <w:rFonts w:ascii="Arial" w:hAnsi="Arial" w:cs="Arial"/>
        </w:rPr>
        <w:t>sal</w:t>
      </w:r>
      <w:proofErr w:type="spellEnd"/>
      <w:r w:rsidR="002F7860">
        <w:rPr>
          <w:rFonts w:ascii="Arial" w:hAnsi="Arial" w:cs="Arial"/>
        </w:rPr>
        <w:t xml:space="preserve"> vs LPS/LPS).</w:t>
      </w:r>
      <w:r w:rsidR="00E16436">
        <w:rPr>
          <w:rFonts w:ascii="Arial" w:hAnsi="Arial" w:cs="Arial"/>
        </w:rPr>
        <w:t xml:space="preserve"> </w:t>
      </w:r>
      <w:r w:rsidR="002F7860">
        <w:rPr>
          <w:rFonts w:ascii="Arial" w:hAnsi="Arial" w:cs="Arial"/>
        </w:rPr>
        <w:t xml:space="preserve">We found statistically significant </w:t>
      </w:r>
      <w:r w:rsidR="002F7860">
        <w:rPr>
          <w:rFonts w:ascii="Arial" w:hAnsi="Arial" w:cs="Arial"/>
        </w:rPr>
        <w:t xml:space="preserve">differences in </w:t>
      </w:r>
      <w:r w:rsidR="00EA5461">
        <w:rPr>
          <w:rFonts w:ascii="Arial" w:hAnsi="Arial" w:cs="Arial"/>
        </w:rPr>
        <w:t xml:space="preserve">the </w:t>
      </w:r>
      <w:r w:rsidR="002F7860">
        <w:rPr>
          <w:rFonts w:ascii="Arial" w:hAnsi="Arial" w:cs="Arial"/>
        </w:rPr>
        <w:t>adult LPS response in rat</w:t>
      </w:r>
      <w:r w:rsidR="00EA5461">
        <w:rPr>
          <w:rFonts w:ascii="Arial" w:hAnsi="Arial" w:cs="Arial"/>
        </w:rPr>
        <w:t xml:space="preserve">s </w:t>
      </w:r>
      <w:r w:rsidR="002F7860">
        <w:rPr>
          <w:rFonts w:ascii="Arial" w:hAnsi="Arial" w:cs="Arial"/>
        </w:rPr>
        <w:t xml:space="preserve">receiving </w:t>
      </w:r>
      <w:r w:rsidR="002F7860">
        <w:rPr>
          <w:rFonts w:ascii="Arial" w:hAnsi="Arial" w:cs="Arial"/>
        </w:rPr>
        <w:t>LPS also at P18 (</w:t>
      </w:r>
      <w:r w:rsidR="00511F18">
        <w:rPr>
          <w:rFonts w:ascii="Arial" w:hAnsi="Arial" w:cs="Arial"/>
        </w:rPr>
        <w:t xml:space="preserve">BC index: 0.348), but not at P7 (BC Index 0.287). In Suppl Fig 3A and B we see that samples from </w:t>
      </w:r>
      <w:proofErr w:type="spellStart"/>
      <w:r w:rsidR="00511F18">
        <w:rPr>
          <w:rFonts w:ascii="Arial" w:hAnsi="Arial" w:cs="Arial"/>
        </w:rPr>
        <w:t>sal</w:t>
      </w:r>
      <w:proofErr w:type="spellEnd"/>
      <w:r w:rsidR="00511F18">
        <w:rPr>
          <w:rFonts w:ascii="Arial" w:hAnsi="Arial" w:cs="Arial"/>
        </w:rPr>
        <w:t xml:space="preserve">/LPS and LPS/LPS groups (blue vs red) clustered closer </w:t>
      </w:r>
      <w:r w:rsidR="00511F18">
        <w:rPr>
          <w:rFonts w:ascii="Arial" w:hAnsi="Arial" w:cs="Arial"/>
        </w:rPr>
        <w:t xml:space="preserve">together </w:t>
      </w:r>
      <w:r w:rsidR="00EA5461">
        <w:rPr>
          <w:rFonts w:ascii="Arial" w:hAnsi="Arial" w:cs="Arial"/>
        </w:rPr>
        <w:t xml:space="preserve">in the </w:t>
      </w:r>
      <w:r w:rsidR="00511F18">
        <w:rPr>
          <w:rFonts w:ascii="Arial" w:hAnsi="Arial" w:cs="Arial"/>
        </w:rPr>
        <w:t xml:space="preserve">P7 </w:t>
      </w:r>
      <w:r w:rsidR="00EA5461">
        <w:rPr>
          <w:rFonts w:ascii="Arial" w:hAnsi="Arial" w:cs="Arial"/>
        </w:rPr>
        <w:t xml:space="preserve">samples </w:t>
      </w:r>
      <w:r w:rsidR="00511F18">
        <w:rPr>
          <w:rFonts w:ascii="Arial" w:hAnsi="Arial" w:cs="Arial"/>
        </w:rPr>
        <w:t xml:space="preserve">than </w:t>
      </w:r>
      <w:r w:rsidR="00EA5461">
        <w:rPr>
          <w:rFonts w:ascii="Arial" w:hAnsi="Arial" w:cs="Arial"/>
        </w:rPr>
        <w:t xml:space="preserve">did the </w:t>
      </w:r>
      <w:r w:rsidR="00511F18">
        <w:rPr>
          <w:rFonts w:ascii="Arial" w:hAnsi="Arial" w:cs="Arial"/>
        </w:rPr>
        <w:t xml:space="preserve">P18 </w:t>
      </w:r>
      <w:r w:rsidR="00511F18">
        <w:rPr>
          <w:rFonts w:ascii="Arial" w:hAnsi="Arial" w:cs="Arial"/>
        </w:rPr>
        <w:lastRenderedPageBreak/>
        <w:t>cortex</w:t>
      </w:r>
      <w:r w:rsidR="00EA5461">
        <w:rPr>
          <w:rFonts w:ascii="Arial" w:hAnsi="Arial" w:cs="Arial"/>
        </w:rPr>
        <w:t xml:space="preserve"> samples,</w:t>
      </w:r>
      <w:r w:rsidR="00511F18">
        <w:rPr>
          <w:rFonts w:ascii="Arial" w:hAnsi="Arial" w:cs="Arial"/>
        </w:rPr>
        <w:t xml:space="preserve"> indicating that </w:t>
      </w:r>
      <w:r w:rsidR="00EA5461">
        <w:rPr>
          <w:rFonts w:ascii="Arial" w:hAnsi="Arial" w:cs="Arial"/>
        </w:rPr>
        <w:t xml:space="preserve">P7 cortex samples </w:t>
      </w:r>
      <w:r w:rsidR="00511F18">
        <w:rPr>
          <w:rFonts w:ascii="Arial" w:hAnsi="Arial" w:cs="Arial"/>
        </w:rPr>
        <w:t>were more “similar” than samples fr</w:t>
      </w:r>
      <w:r w:rsidR="00EA5461">
        <w:rPr>
          <w:rFonts w:ascii="Arial" w:hAnsi="Arial" w:cs="Arial"/>
        </w:rPr>
        <w:t>o</w:t>
      </w:r>
      <w:r w:rsidR="00511F18">
        <w:rPr>
          <w:rFonts w:ascii="Arial" w:hAnsi="Arial" w:cs="Arial"/>
        </w:rPr>
        <w:t xml:space="preserve">m </w:t>
      </w:r>
      <w:r w:rsidR="00EA5461">
        <w:rPr>
          <w:rFonts w:ascii="Arial" w:hAnsi="Arial" w:cs="Arial"/>
        </w:rPr>
        <w:t xml:space="preserve">the </w:t>
      </w:r>
      <w:r w:rsidR="00511F18">
        <w:rPr>
          <w:rFonts w:ascii="Arial" w:hAnsi="Arial" w:cs="Arial"/>
        </w:rPr>
        <w:t xml:space="preserve">P18 cortex. Accordingly, samples from </w:t>
      </w:r>
      <w:r w:rsidR="00EA5461">
        <w:rPr>
          <w:rFonts w:ascii="Arial" w:hAnsi="Arial" w:cs="Arial"/>
        </w:rPr>
        <w:t xml:space="preserve">the </w:t>
      </w:r>
      <w:r w:rsidR="00511F18">
        <w:rPr>
          <w:rFonts w:ascii="Arial" w:hAnsi="Arial" w:cs="Arial"/>
        </w:rPr>
        <w:t xml:space="preserve">P18 cortex had </w:t>
      </w:r>
      <w:r w:rsidR="00EA5461">
        <w:rPr>
          <w:rFonts w:ascii="Arial" w:hAnsi="Arial" w:cs="Arial"/>
        </w:rPr>
        <w:t xml:space="preserve">a </w:t>
      </w:r>
      <w:r w:rsidR="00511F18">
        <w:rPr>
          <w:rFonts w:ascii="Arial" w:hAnsi="Arial" w:cs="Arial"/>
        </w:rPr>
        <w:t xml:space="preserve">higher dissimilarity index (0.348) than </w:t>
      </w:r>
      <w:r w:rsidR="00EA5461">
        <w:rPr>
          <w:rFonts w:ascii="Arial" w:hAnsi="Arial" w:cs="Arial"/>
        </w:rPr>
        <w:t xml:space="preserve">those </w:t>
      </w:r>
      <w:r w:rsidR="00511F18">
        <w:rPr>
          <w:rFonts w:ascii="Arial" w:hAnsi="Arial" w:cs="Arial"/>
        </w:rPr>
        <w:t xml:space="preserve">from P7 cortex (0.287).  </w:t>
      </w:r>
    </w:p>
    <w:p w14:paraId="5CF77A4A" w14:textId="77777777" w:rsidR="00105657" w:rsidRDefault="00105657" w:rsidP="00105657">
      <w:pPr>
        <w:spacing w:after="0" w:line="360" w:lineRule="auto"/>
        <w:jc w:val="both"/>
      </w:pPr>
    </w:p>
    <w:p w14:paraId="290356EF" w14:textId="128B020C" w:rsidR="00D67D23" w:rsidRPr="00D67D23" w:rsidRDefault="00D67D23" w:rsidP="00105657">
      <w:pPr>
        <w:spacing w:after="0" w:line="360" w:lineRule="auto"/>
        <w:jc w:val="both"/>
        <w:rPr>
          <w:b/>
          <w:bCs/>
        </w:rPr>
      </w:pPr>
      <w:r w:rsidRPr="00D67D23">
        <w:rPr>
          <w:b/>
          <w:bCs/>
        </w:rPr>
        <w:t xml:space="preserve">Supplementary Figure </w:t>
      </w:r>
      <w:r w:rsidRPr="00D67D23">
        <w:rPr>
          <w:b/>
          <w:bCs/>
        </w:rPr>
        <w:t>legend</w:t>
      </w:r>
      <w:r w:rsidR="00EA5461">
        <w:rPr>
          <w:b/>
          <w:bCs/>
        </w:rPr>
        <w:t>s</w:t>
      </w:r>
    </w:p>
    <w:p w14:paraId="247661E0" w14:textId="77777777" w:rsidR="00D67D23" w:rsidRDefault="00D67D23" w:rsidP="00105657">
      <w:pPr>
        <w:spacing w:after="0" w:line="360" w:lineRule="auto"/>
        <w:jc w:val="both"/>
      </w:pPr>
    </w:p>
    <w:p w14:paraId="37413808" w14:textId="21F3769A" w:rsidR="00D67D23" w:rsidRPr="00D67D23" w:rsidRDefault="00D67D23" w:rsidP="00D67D23">
      <w:pPr>
        <w:spacing w:after="0" w:line="360" w:lineRule="auto"/>
        <w:jc w:val="both"/>
        <w:rPr>
          <w:rFonts w:ascii="Arial" w:hAnsi="Arial" w:cs="Arial"/>
        </w:rPr>
      </w:pPr>
      <w:r w:rsidRPr="00D67D23">
        <w:rPr>
          <w:rFonts w:ascii="Arial" w:hAnsi="Arial" w:cs="Arial"/>
          <w:b/>
          <w:bCs/>
        </w:rPr>
        <w:t xml:space="preserve">Suppl Figure 1: Analysis of CD11b cells by flow cytometry. </w:t>
      </w:r>
      <w:r w:rsidRPr="00D67D23">
        <w:rPr>
          <w:rFonts w:ascii="Arial" w:hAnsi="Arial" w:cs="Arial"/>
        </w:rPr>
        <w:t xml:space="preserve">Cortex tissues were dissociated into single cell </w:t>
      </w:r>
      <w:r w:rsidRPr="00D67D23">
        <w:rPr>
          <w:rFonts w:ascii="Arial" w:hAnsi="Arial" w:cs="Arial"/>
        </w:rPr>
        <w:t>suspension</w:t>
      </w:r>
      <w:r w:rsidR="00EA5461">
        <w:rPr>
          <w:rFonts w:ascii="Arial" w:hAnsi="Arial" w:cs="Arial"/>
        </w:rPr>
        <w:t>s</w:t>
      </w:r>
      <w:r w:rsidRPr="00D67D23">
        <w:rPr>
          <w:rFonts w:ascii="Arial" w:hAnsi="Arial" w:cs="Arial"/>
        </w:rPr>
        <w:t xml:space="preserve"> an</w:t>
      </w:r>
      <w:r w:rsidRPr="00D67D23">
        <w:rPr>
          <w:rFonts w:ascii="Arial" w:hAnsi="Arial" w:cs="Arial"/>
        </w:rPr>
        <w:t xml:space="preserve">d stained with fluorochrome-conjugated CD11b (PE) and CD45 (APC) antibodies. Samples were then analyzed </w:t>
      </w:r>
      <w:r w:rsidRPr="00D67D23">
        <w:rPr>
          <w:rFonts w:ascii="Arial" w:hAnsi="Arial" w:cs="Arial"/>
        </w:rPr>
        <w:t>by flow cytometry. Samples in the figure are from adult animals treated at P18 with saline or LPS.  As adult</w:t>
      </w:r>
      <w:r w:rsidR="00EA5461">
        <w:rPr>
          <w:rFonts w:ascii="Arial" w:hAnsi="Arial" w:cs="Arial"/>
        </w:rPr>
        <w:t>s, the</w:t>
      </w:r>
      <w:r w:rsidRPr="00D67D23">
        <w:rPr>
          <w:rFonts w:ascii="Arial" w:hAnsi="Arial" w:cs="Arial"/>
        </w:rPr>
        <w:t xml:space="preserve"> rats were treated with saline or LPS. LPS did not increase</w:t>
      </w:r>
      <w:r w:rsidR="00EA5461">
        <w:rPr>
          <w:rFonts w:ascii="Arial" w:hAnsi="Arial" w:cs="Arial"/>
        </w:rPr>
        <w:t xml:space="preserve"> the</w:t>
      </w:r>
      <w:r w:rsidRPr="00D67D23">
        <w:rPr>
          <w:rFonts w:ascii="Arial" w:hAnsi="Arial" w:cs="Arial"/>
        </w:rPr>
        <w:t xml:space="preserve"> CD11b</w:t>
      </w:r>
      <w:r w:rsidRPr="00D67D23">
        <w:rPr>
          <w:rFonts w:ascii="Arial" w:hAnsi="Arial" w:cs="Arial"/>
          <w:vertAlign w:val="superscript"/>
        </w:rPr>
        <w:t>+</w:t>
      </w:r>
      <w:r w:rsidRPr="00D67D23">
        <w:rPr>
          <w:rFonts w:ascii="Arial" w:hAnsi="Arial" w:cs="Arial"/>
        </w:rPr>
        <w:t xml:space="preserve"> CD45</w:t>
      </w:r>
      <w:r w:rsidRPr="00D67D23">
        <w:rPr>
          <w:rFonts w:ascii="Arial" w:hAnsi="Arial" w:cs="Arial"/>
          <w:vertAlign w:val="superscript"/>
        </w:rPr>
        <w:t>high</w:t>
      </w:r>
      <w:r w:rsidRPr="00D67D23">
        <w:rPr>
          <w:rFonts w:ascii="Arial" w:hAnsi="Arial" w:cs="Arial"/>
        </w:rPr>
        <w:t xml:space="preserve"> population (presum</w:t>
      </w:r>
      <w:r w:rsidR="00EA5461">
        <w:rPr>
          <w:rFonts w:ascii="Arial" w:hAnsi="Arial" w:cs="Arial"/>
        </w:rPr>
        <w:t>ed</w:t>
      </w:r>
      <w:r w:rsidRPr="00D67D23">
        <w:rPr>
          <w:rFonts w:ascii="Arial" w:hAnsi="Arial" w:cs="Arial"/>
        </w:rPr>
        <w:t xml:space="preserve"> macrophages). Similar results were obtained fr</w:t>
      </w:r>
      <w:r w:rsidR="00EA5461">
        <w:rPr>
          <w:rFonts w:ascii="Arial" w:hAnsi="Arial" w:cs="Arial"/>
        </w:rPr>
        <w:t>o</w:t>
      </w:r>
      <w:r w:rsidRPr="00D67D23">
        <w:rPr>
          <w:rFonts w:ascii="Arial" w:hAnsi="Arial" w:cs="Arial"/>
        </w:rPr>
        <w:t xml:space="preserve">m </w:t>
      </w:r>
      <w:r w:rsidR="00EA5461">
        <w:rPr>
          <w:rFonts w:ascii="Arial" w:hAnsi="Arial" w:cs="Arial"/>
        </w:rPr>
        <w:t xml:space="preserve">the </w:t>
      </w:r>
      <w:r w:rsidRPr="00D67D23">
        <w:rPr>
          <w:rFonts w:ascii="Arial" w:hAnsi="Arial" w:cs="Arial"/>
        </w:rPr>
        <w:t xml:space="preserve">spinal cord and from animals </w:t>
      </w:r>
      <w:r w:rsidR="00EA5461">
        <w:rPr>
          <w:rFonts w:ascii="Arial" w:hAnsi="Arial" w:cs="Arial"/>
        </w:rPr>
        <w:t>receiving</w:t>
      </w:r>
      <w:r w:rsidR="00EA5461" w:rsidRPr="00D67D23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 xml:space="preserve">LPS treatment </w:t>
      </w:r>
      <w:r w:rsidRPr="00D67D23">
        <w:rPr>
          <w:rFonts w:ascii="Arial" w:hAnsi="Arial" w:cs="Arial"/>
        </w:rPr>
        <w:t xml:space="preserve">at P7 or P12. </w:t>
      </w:r>
    </w:p>
    <w:p w14:paraId="3F894F85" w14:textId="55BC637B" w:rsidR="00D67D23" w:rsidRDefault="00D67D23" w:rsidP="00D67D23">
      <w:pPr>
        <w:spacing w:after="0" w:line="360" w:lineRule="auto"/>
        <w:jc w:val="both"/>
      </w:pPr>
    </w:p>
    <w:p w14:paraId="1BD69681" w14:textId="50D53B76" w:rsidR="00D67D23" w:rsidRPr="00D67D23" w:rsidRDefault="00D67D23" w:rsidP="00D67D23">
      <w:pPr>
        <w:spacing w:after="0" w:line="360" w:lineRule="auto"/>
        <w:jc w:val="both"/>
        <w:rPr>
          <w:rFonts w:ascii="Arial" w:hAnsi="Arial" w:cs="Arial"/>
        </w:rPr>
      </w:pPr>
      <w:r w:rsidRPr="00D67D23">
        <w:rPr>
          <w:rFonts w:ascii="Arial" w:hAnsi="Arial" w:cs="Arial"/>
          <w:b/>
          <w:bCs/>
        </w:rPr>
        <w:t xml:space="preserve">Suppl Figure 2: Ct values </w:t>
      </w:r>
      <w:r w:rsidRPr="00D67D23">
        <w:rPr>
          <w:rFonts w:ascii="Arial" w:hAnsi="Arial" w:cs="Arial"/>
          <w:b/>
          <w:bCs/>
        </w:rPr>
        <w:t>for</w:t>
      </w:r>
      <w:r w:rsidR="00EA5461">
        <w:rPr>
          <w:rFonts w:ascii="Arial" w:hAnsi="Arial" w:cs="Arial"/>
          <w:b/>
          <w:bCs/>
        </w:rPr>
        <w:t xml:space="preserve"> the</w:t>
      </w:r>
      <w:r w:rsidRPr="00D67D23">
        <w:rPr>
          <w:rFonts w:ascii="Arial" w:hAnsi="Arial" w:cs="Arial"/>
          <w:b/>
          <w:bCs/>
        </w:rPr>
        <w:t xml:space="preserve"> Hprt1 </w:t>
      </w:r>
      <w:r w:rsidRPr="00D67D23">
        <w:rPr>
          <w:rFonts w:ascii="Arial" w:hAnsi="Arial" w:cs="Arial"/>
          <w:b/>
          <w:bCs/>
        </w:rPr>
        <w:t xml:space="preserve">gene.  </w:t>
      </w:r>
      <w:r w:rsidR="00EA5461">
        <w:rPr>
          <w:rFonts w:ascii="Arial" w:hAnsi="Arial" w:cs="Arial"/>
        </w:rPr>
        <w:t>T</w:t>
      </w:r>
      <w:r w:rsidRPr="00D67D23">
        <w:rPr>
          <w:rFonts w:ascii="Arial" w:hAnsi="Arial" w:cs="Arial"/>
        </w:rPr>
        <w:t xml:space="preserve">he expression of </w:t>
      </w:r>
      <w:r w:rsidR="00EA5461">
        <w:rPr>
          <w:rFonts w:ascii="Arial" w:hAnsi="Arial" w:cs="Arial"/>
        </w:rPr>
        <w:t xml:space="preserve">the </w:t>
      </w:r>
      <w:r w:rsidRPr="00D67D23">
        <w:rPr>
          <w:rFonts w:ascii="Arial" w:hAnsi="Arial" w:cs="Arial"/>
        </w:rPr>
        <w:t xml:space="preserve">housekeeping gene Hprt1 was similar </w:t>
      </w:r>
      <w:r w:rsidR="00EA5461">
        <w:rPr>
          <w:rFonts w:ascii="Arial" w:hAnsi="Arial" w:cs="Arial"/>
        </w:rPr>
        <w:t>between</w:t>
      </w:r>
      <w:r w:rsidR="00EA5461" w:rsidRPr="00D67D23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>groups (G1-G</w:t>
      </w:r>
      <w:r w:rsidR="004C25E3">
        <w:rPr>
          <w:rFonts w:ascii="Arial" w:hAnsi="Arial" w:cs="Arial"/>
        </w:rPr>
        <w:t>4</w:t>
      </w:r>
      <w:r w:rsidRPr="00D67D23">
        <w:rPr>
          <w:rFonts w:ascii="Arial" w:hAnsi="Arial" w:cs="Arial"/>
        </w:rPr>
        <w:t>)</w:t>
      </w:r>
      <w:r w:rsidR="00EA5461">
        <w:rPr>
          <w:rFonts w:ascii="Arial" w:hAnsi="Arial" w:cs="Arial"/>
        </w:rPr>
        <w:t xml:space="preserve">; </w:t>
      </w:r>
      <w:r w:rsidRPr="00D67D23">
        <w:rPr>
          <w:rFonts w:ascii="Arial" w:hAnsi="Arial" w:cs="Arial"/>
        </w:rPr>
        <w:t>LPS treatment</w:t>
      </w:r>
      <w:r w:rsidR="00EA5461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 xml:space="preserve">did not affect its expression. </w:t>
      </w:r>
      <w:r w:rsidR="004269B1">
        <w:rPr>
          <w:rFonts w:ascii="Arial" w:hAnsi="Arial" w:cs="Arial"/>
        </w:rPr>
        <w:t xml:space="preserve">G1: </w:t>
      </w:r>
      <w:proofErr w:type="spellStart"/>
      <w:r w:rsidR="004269B1">
        <w:rPr>
          <w:rFonts w:ascii="Arial" w:hAnsi="Arial" w:cs="Arial"/>
        </w:rPr>
        <w:t>sal</w:t>
      </w:r>
      <w:proofErr w:type="spellEnd"/>
      <w:r w:rsidR="004269B1">
        <w:rPr>
          <w:rFonts w:ascii="Arial" w:hAnsi="Arial" w:cs="Arial"/>
        </w:rPr>
        <w:t>/</w:t>
      </w:r>
      <w:proofErr w:type="spellStart"/>
      <w:r w:rsidR="004269B1">
        <w:rPr>
          <w:rFonts w:ascii="Arial" w:hAnsi="Arial" w:cs="Arial"/>
        </w:rPr>
        <w:t>sal</w:t>
      </w:r>
      <w:proofErr w:type="spellEnd"/>
      <w:r w:rsidR="004269B1">
        <w:rPr>
          <w:rFonts w:ascii="Arial" w:hAnsi="Arial" w:cs="Arial"/>
        </w:rPr>
        <w:t xml:space="preserve">; G2: </w:t>
      </w:r>
      <w:proofErr w:type="spellStart"/>
      <w:r w:rsidR="004269B1">
        <w:rPr>
          <w:rFonts w:ascii="Arial" w:hAnsi="Arial" w:cs="Arial"/>
        </w:rPr>
        <w:t>sal</w:t>
      </w:r>
      <w:proofErr w:type="spellEnd"/>
      <w:r w:rsidR="004269B1">
        <w:rPr>
          <w:rFonts w:ascii="Arial" w:hAnsi="Arial" w:cs="Arial"/>
        </w:rPr>
        <w:t>/LPS; G3: LPS/</w:t>
      </w:r>
      <w:proofErr w:type="spellStart"/>
      <w:r w:rsidR="004269B1">
        <w:rPr>
          <w:rFonts w:ascii="Arial" w:hAnsi="Arial" w:cs="Arial"/>
        </w:rPr>
        <w:t>sal</w:t>
      </w:r>
      <w:proofErr w:type="spellEnd"/>
      <w:r w:rsidR="004269B1">
        <w:rPr>
          <w:rFonts w:ascii="Arial" w:hAnsi="Arial" w:cs="Arial"/>
        </w:rPr>
        <w:t>; G4: LPS/LPS</w:t>
      </w:r>
    </w:p>
    <w:p w14:paraId="1A1809A4" w14:textId="77777777" w:rsidR="00D67D23" w:rsidRPr="00D67D23" w:rsidRDefault="00D67D23" w:rsidP="00D67D23">
      <w:pPr>
        <w:spacing w:after="0" w:line="360" w:lineRule="auto"/>
        <w:jc w:val="both"/>
        <w:rPr>
          <w:rFonts w:ascii="Arial" w:hAnsi="Arial" w:cs="Arial"/>
        </w:rPr>
      </w:pPr>
    </w:p>
    <w:p w14:paraId="74948EF7" w14:textId="79BB4FDB" w:rsidR="00D67D23" w:rsidRDefault="00D67D23" w:rsidP="00D67D23">
      <w:pPr>
        <w:spacing w:after="0" w:line="360" w:lineRule="auto"/>
        <w:jc w:val="both"/>
      </w:pPr>
      <w:r w:rsidRPr="00D67D23">
        <w:rPr>
          <w:rFonts w:ascii="Arial" w:hAnsi="Arial" w:cs="Arial"/>
          <w:b/>
          <w:bCs/>
        </w:rPr>
        <w:t>Suppl Figure 3: Bray-</w:t>
      </w:r>
      <w:proofErr w:type="gramStart"/>
      <w:r w:rsidRPr="00D67D23">
        <w:rPr>
          <w:rFonts w:ascii="Arial" w:hAnsi="Arial" w:cs="Arial"/>
          <w:b/>
          <w:bCs/>
        </w:rPr>
        <w:t>Curtis</w:t>
      </w:r>
      <w:proofErr w:type="gramEnd"/>
      <w:r w:rsidRPr="00D67D23">
        <w:rPr>
          <w:rFonts w:ascii="Arial" w:hAnsi="Arial" w:cs="Arial"/>
          <w:b/>
          <w:bCs/>
        </w:rPr>
        <w:t xml:space="preserve"> analysis of differences in microglial responsiveness to LPS. </w:t>
      </w:r>
      <w:r w:rsidRPr="00D67D23">
        <w:rPr>
          <w:rFonts w:ascii="Arial" w:hAnsi="Arial" w:cs="Arial"/>
        </w:rPr>
        <w:t>Illustration of C/</w:t>
      </w:r>
      <w:proofErr w:type="spellStart"/>
      <w:r w:rsidRPr="00D67D23">
        <w:rPr>
          <w:rFonts w:ascii="Arial" w:hAnsi="Arial" w:cs="Arial"/>
        </w:rPr>
        <w:t>EBPb</w:t>
      </w:r>
      <w:proofErr w:type="spellEnd"/>
      <w:r w:rsidRPr="00D67D23">
        <w:rPr>
          <w:rFonts w:ascii="Arial" w:hAnsi="Arial" w:cs="Arial"/>
        </w:rPr>
        <w:t xml:space="preserve">, Arg-1 and Ptgs2 mRNA expression in cortical microglia. To visualize the impact of postnatal LPS challenge on adult microglial responses </w:t>
      </w:r>
      <w:r w:rsidRPr="00D67D23">
        <w:rPr>
          <w:rFonts w:ascii="Arial" w:hAnsi="Arial" w:cs="Arial"/>
        </w:rPr>
        <w:t xml:space="preserve">to </w:t>
      </w:r>
      <w:r w:rsidR="00F3730C">
        <w:rPr>
          <w:rFonts w:ascii="Arial" w:hAnsi="Arial" w:cs="Arial"/>
        </w:rPr>
        <w:t xml:space="preserve">a </w:t>
      </w:r>
      <w:r w:rsidRPr="00D67D23">
        <w:rPr>
          <w:rFonts w:ascii="Arial" w:hAnsi="Arial" w:cs="Arial"/>
        </w:rPr>
        <w:t xml:space="preserve">second </w:t>
      </w:r>
      <w:r w:rsidRPr="00D67D23">
        <w:rPr>
          <w:rFonts w:ascii="Arial" w:hAnsi="Arial" w:cs="Arial"/>
        </w:rPr>
        <w:t xml:space="preserve">LPS challenge, the expression </w:t>
      </w:r>
      <w:r w:rsidRPr="00D67D23">
        <w:rPr>
          <w:rFonts w:ascii="Arial" w:hAnsi="Arial" w:cs="Arial"/>
        </w:rPr>
        <w:t>of</w:t>
      </w:r>
      <w:r w:rsidR="00F3730C">
        <w:rPr>
          <w:rFonts w:ascii="Arial" w:hAnsi="Arial" w:cs="Arial"/>
        </w:rPr>
        <w:t xml:space="preserve"> the</w:t>
      </w:r>
      <w:r w:rsidRPr="00D67D23">
        <w:rPr>
          <w:rFonts w:ascii="Arial" w:hAnsi="Arial" w:cs="Arial"/>
        </w:rPr>
        <w:t xml:space="preserve"> 3 most affected genes </w:t>
      </w:r>
      <w:r w:rsidR="00F3730C">
        <w:rPr>
          <w:rFonts w:ascii="Arial" w:hAnsi="Arial" w:cs="Arial"/>
        </w:rPr>
        <w:t>was</w:t>
      </w:r>
      <w:r w:rsidR="00F3730C" w:rsidRPr="00D67D23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 xml:space="preserve">compared </w:t>
      </w:r>
      <w:r w:rsidRPr="00D67D23">
        <w:rPr>
          <w:rFonts w:ascii="Arial" w:hAnsi="Arial" w:cs="Arial"/>
        </w:rPr>
        <w:t xml:space="preserve">in microglia exposed to LPS or saline at P7 </w:t>
      </w:r>
      <w:r w:rsidRPr="00D67D23">
        <w:rPr>
          <w:rFonts w:ascii="Arial" w:hAnsi="Arial" w:cs="Arial"/>
          <w:b/>
          <w:bCs/>
        </w:rPr>
        <w:t>(A)</w:t>
      </w:r>
      <w:r w:rsidRPr="00D67D23">
        <w:rPr>
          <w:rFonts w:ascii="Arial" w:hAnsi="Arial" w:cs="Arial"/>
        </w:rPr>
        <w:t xml:space="preserve"> and P18 </w:t>
      </w:r>
      <w:r w:rsidRPr="00D67D23">
        <w:rPr>
          <w:rFonts w:ascii="Arial" w:hAnsi="Arial" w:cs="Arial"/>
          <w:b/>
          <w:bCs/>
        </w:rPr>
        <w:t>(B)</w:t>
      </w:r>
      <w:r w:rsidRPr="00D67D23">
        <w:rPr>
          <w:rFonts w:ascii="Arial" w:hAnsi="Arial" w:cs="Arial"/>
        </w:rPr>
        <w:t xml:space="preserve">. The basal expression of these genes was comparable in adult animals receiving saline (grey) or LPS (green) during </w:t>
      </w:r>
      <w:r w:rsidRPr="00D67D23">
        <w:rPr>
          <w:rFonts w:ascii="Arial" w:hAnsi="Arial" w:cs="Arial"/>
        </w:rPr>
        <w:t xml:space="preserve">postnatal </w:t>
      </w:r>
      <w:r w:rsidR="00F3730C">
        <w:rPr>
          <w:rFonts w:ascii="Arial" w:hAnsi="Arial" w:cs="Arial"/>
        </w:rPr>
        <w:t>development</w:t>
      </w:r>
      <w:r w:rsidRPr="00D67D23">
        <w:rPr>
          <w:rFonts w:ascii="Arial" w:hAnsi="Arial" w:cs="Arial"/>
        </w:rPr>
        <w:t xml:space="preserve">. </w:t>
      </w:r>
      <w:r w:rsidR="00F3730C">
        <w:rPr>
          <w:rFonts w:ascii="Arial" w:hAnsi="Arial" w:cs="Arial"/>
        </w:rPr>
        <w:t>The b</w:t>
      </w:r>
      <w:r w:rsidRPr="00D67D23">
        <w:rPr>
          <w:rFonts w:ascii="Arial" w:hAnsi="Arial" w:cs="Arial"/>
        </w:rPr>
        <w:t xml:space="preserve">ottom figures show basal gene expression </w:t>
      </w:r>
      <w:r w:rsidR="00F3730C">
        <w:rPr>
          <w:rFonts w:ascii="Arial" w:hAnsi="Arial" w:cs="Arial"/>
        </w:rPr>
        <w:t>on a</w:t>
      </w:r>
      <w:r w:rsidR="00F3730C" w:rsidRPr="00D67D23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>different scale. L</w:t>
      </w:r>
      <w:r w:rsidRPr="00D67D23">
        <w:rPr>
          <w:rFonts w:ascii="Arial" w:hAnsi="Arial" w:cs="Arial"/>
        </w:rPr>
        <w:t xml:space="preserve">PS at 12 weeks of age increased expression of all three genes (red, blue), however, </w:t>
      </w:r>
      <w:r w:rsidRPr="00D67D23">
        <w:rPr>
          <w:rFonts w:ascii="Arial" w:hAnsi="Arial" w:cs="Arial"/>
        </w:rPr>
        <w:t>we d</w:t>
      </w:r>
      <w:r w:rsidR="00F3730C">
        <w:rPr>
          <w:rFonts w:ascii="Arial" w:hAnsi="Arial" w:cs="Arial"/>
        </w:rPr>
        <w:t>id</w:t>
      </w:r>
      <w:r w:rsidRPr="00D67D23">
        <w:rPr>
          <w:rFonts w:ascii="Arial" w:hAnsi="Arial" w:cs="Arial"/>
        </w:rPr>
        <w:t xml:space="preserve"> not see a </w:t>
      </w:r>
      <w:r w:rsidRPr="00D67D23">
        <w:rPr>
          <w:rFonts w:ascii="Arial" w:hAnsi="Arial" w:cs="Arial"/>
        </w:rPr>
        <w:t xml:space="preserve">clear separation between animals receiving saline (blue) or LPS (red) at P7. </w:t>
      </w:r>
      <w:r w:rsidRPr="00D67D23">
        <w:rPr>
          <w:rFonts w:ascii="Arial" w:hAnsi="Arial" w:cs="Arial"/>
        </w:rPr>
        <w:t xml:space="preserve">On the other hand, there </w:t>
      </w:r>
      <w:r w:rsidR="00F3730C">
        <w:rPr>
          <w:rFonts w:ascii="Arial" w:hAnsi="Arial" w:cs="Arial"/>
        </w:rPr>
        <w:t>wa</w:t>
      </w:r>
      <w:r w:rsidRPr="00D67D23">
        <w:rPr>
          <w:rFonts w:ascii="Arial" w:hAnsi="Arial" w:cs="Arial"/>
        </w:rPr>
        <w:t xml:space="preserve">s distinct grouping </w:t>
      </w:r>
      <w:r w:rsidR="00F3730C">
        <w:rPr>
          <w:rFonts w:ascii="Arial" w:hAnsi="Arial" w:cs="Arial"/>
        </w:rPr>
        <w:t>when the</w:t>
      </w:r>
      <w:r w:rsidRPr="00D67D23">
        <w:rPr>
          <w:rFonts w:ascii="Arial" w:hAnsi="Arial" w:cs="Arial"/>
        </w:rPr>
        <w:t xml:space="preserve"> postnatal treatment </w:t>
      </w:r>
      <w:r w:rsidR="00F3730C">
        <w:rPr>
          <w:rFonts w:ascii="Arial" w:hAnsi="Arial" w:cs="Arial"/>
        </w:rPr>
        <w:t xml:space="preserve">was </w:t>
      </w:r>
      <w:r w:rsidRPr="00D67D23">
        <w:rPr>
          <w:rFonts w:ascii="Arial" w:hAnsi="Arial" w:cs="Arial"/>
        </w:rPr>
        <w:t>received at P18</w:t>
      </w:r>
      <w:r w:rsidR="00F3730C">
        <w:rPr>
          <w:rFonts w:ascii="Arial" w:hAnsi="Arial" w:cs="Arial"/>
        </w:rPr>
        <w:t>,</w:t>
      </w:r>
      <w:r w:rsidRPr="00D67D23">
        <w:rPr>
          <w:rFonts w:ascii="Arial" w:hAnsi="Arial" w:cs="Arial"/>
        </w:rPr>
        <w:t xml:space="preserve"> suggesting</w:t>
      </w:r>
      <w:r w:rsidR="00F3730C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>differential response</w:t>
      </w:r>
      <w:r w:rsidR="00F3730C">
        <w:rPr>
          <w:rFonts w:ascii="Arial" w:hAnsi="Arial" w:cs="Arial"/>
        </w:rPr>
        <w:t>s</w:t>
      </w:r>
      <w:r w:rsidRPr="00D67D23">
        <w:rPr>
          <w:rFonts w:ascii="Arial" w:hAnsi="Arial" w:cs="Arial"/>
        </w:rPr>
        <w:t xml:space="preserve"> of microglia with and without prior LPS exposure.  Data from both sexes are pooled. </w:t>
      </w:r>
      <w:r w:rsidRPr="00D67D23">
        <w:rPr>
          <w:rFonts w:ascii="Arial" w:hAnsi="Arial" w:cs="Arial"/>
          <w:b/>
          <w:bCs/>
        </w:rPr>
        <w:t>(C)</w:t>
      </w:r>
      <w:r w:rsidRPr="00D67D23">
        <w:rPr>
          <w:rFonts w:ascii="Arial" w:hAnsi="Arial" w:cs="Arial"/>
        </w:rPr>
        <w:t xml:space="preserve"> Sensitivity analysis of quantifying group differences by </w:t>
      </w:r>
      <w:r w:rsidRPr="00D67D23">
        <w:rPr>
          <w:rFonts w:ascii="Arial" w:hAnsi="Arial" w:cs="Arial"/>
        </w:rPr>
        <w:t>Bray-</w:t>
      </w:r>
      <w:proofErr w:type="gramStart"/>
      <w:r w:rsidRPr="00D67D23">
        <w:rPr>
          <w:rFonts w:ascii="Arial" w:hAnsi="Arial" w:cs="Arial"/>
        </w:rPr>
        <w:t>Curtis</w:t>
      </w:r>
      <w:proofErr w:type="gramEnd"/>
      <w:r w:rsidRPr="00D67D23">
        <w:rPr>
          <w:rFonts w:ascii="Arial" w:hAnsi="Arial" w:cs="Arial"/>
        </w:rPr>
        <w:t xml:space="preserve"> dissimilarity index. This index </w:t>
      </w:r>
      <w:r w:rsidRPr="00D67D23">
        <w:rPr>
          <w:rFonts w:ascii="Arial" w:hAnsi="Arial" w:cs="Arial"/>
        </w:rPr>
        <w:t>measure</w:t>
      </w:r>
      <w:r w:rsidR="00F3730C">
        <w:rPr>
          <w:rFonts w:ascii="Arial" w:hAnsi="Arial" w:cs="Arial"/>
        </w:rPr>
        <w:t>s the</w:t>
      </w:r>
      <w:r w:rsidRPr="00D67D23">
        <w:rPr>
          <w:rFonts w:ascii="Arial" w:hAnsi="Arial" w:cs="Arial"/>
        </w:rPr>
        <w:t xml:space="preserve"> distance </w:t>
      </w:r>
      <w:r w:rsidRPr="00D67D23">
        <w:rPr>
          <w:rFonts w:ascii="Arial" w:hAnsi="Arial" w:cs="Arial"/>
        </w:rPr>
        <w:t xml:space="preserve">between individual points within and between groups. As expected, the dissimilarity index was highest </w:t>
      </w:r>
      <w:r w:rsidR="00F3730C">
        <w:rPr>
          <w:rFonts w:ascii="Arial" w:hAnsi="Arial" w:cs="Arial"/>
        </w:rPr>
        <w:t>when</w:t>
      </w:r>
      <w:r w:rsidR="00F3730C" w:rsidRPr="00D67D23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>basal and LPS induced gene expression</w:t>
      </w:r>
      <w:r w:rsidR="00F3730C">
        <w:rPr>
          <w:rFonts w:ascii="Arial" w:hAnsi="Arial" w:cs="Arial"/>
        </w:rPr>
        <w:t xml:space="preserve"> were compared</w:t>
      </w:r>
      <w:r w:rsidRPr="00D67D23">
        <w:rPr>
          <w:rFonts w:ascii="Arial" w:hAnsi="Arial" w:cs="Arial"/>
        </w:rPr>
        <w:t xml:space="preserve">. On </w:t>
      </w:r>
      <w:r w:rsidRPr="00D67D23">
        <w:rPr>
          <w:rFonts w:ascii="Arial" w:hAnsi="Arial" w:cs="Arial"/>
        </w:rPr>
        <w:t>the other</w:t>
      </w:r>
      <w:r w:rsidR="00F3730C">
        <w:rPr>
          <w:rFonts w:ascii="Arial" w:hAnsi="Arial" w:cs="Arial"/>
        </w:rPr>
        <w:t xml:space="preserve"> </w:t>
      </w:r>
      <w:r w:rsidRPr="00D67D23">
        <w:rPr>
          <w:rFonts w:ascii="Arial" w:hAnsi="Arial" w:cs="Arial"/>
        </w:rPr>
        <w:t xml:space="preserve">hand, the index was lower (suggesting greater similarity) for basal gene expression in animals </w:t>
      </w:r>
      <w:r w:rsidR="00F3730C">
        <w:rPr>
          <w:rFonts w:ascii="Arial" w:hAnsi="Arial" w:cs="Arial"/>
        </w:rPr>
        <w:t xml:space="preserve">that </w:t>
      </w:r>
      <w:r w:rsidRPr="00D67D23">
        <w:rPr>
          <w:rFonts w:ascii="Arial" w:hAnsi="Arial" w:cs="Arial"/>
        </w:rPr>
        <w:t>receiv</w:t>
      </w:r>
      <w:r w:rsidR="00F3730C">
        <w:rPr>
          <w:rFonts w:ascii="Arial" w:hAnsi="Arial" w:cs="Arial"/>
        </w:rPr>
        <w:t>ed</w:t>
      </w:r>
      <w:r w:rsidRPr="00D67D23">
        <w:rPr>
          <w:rFonts w:ascii="Arial" w:hAnsi="Arial" w:cs="Arial"/>
        </w:rPr>
        <w:t xml:space="preserve"> either </w:t>
      </w:r>
      <w:r w:rsidRPr="00D67D23">
        <w:rPr>
          <w:rFonts w:ascii="Arial" w:hAnsi="Arial" w:cs="Arial"/>
        </w:rPr>
        <w:lastRenderedPageBreak/>
        <w:t xml:space="preserve">saline or LPS postnatally. Statistical significance was determined by </w:t>
      </w:r>
      <w:r w:rsidR="00F3730C">
        <w:rPr>
          <w:rFonts w:ascii="Arial" w:hAnsi="Arial" w:cs="Arial"/>
        </w:rPr>
        <w:t xml:space="preserve">a </w:t>
      </w:r>
      <w:r w:rsidRPr="00D67D23">
        <w:rPr>
          <w:rFonts w:ascii="Arial" w:hAnsi="Arial" w:cs="Arial"/>
        </w:rPr>
        <w:t>PERMANOVA test.  ns, not significa</w:t>
      </w:r>
      <w:r w:rsidR="006004A4">
        <w:rPr>
          <w:rFonts w:ascii="Arial" w:hAnsi="Arial" w:cs="Arial"/>
        </w:rPr>
        <w:t>nt</w:t>
      </w:r>
      <w:r w:rsidR="006004A4">
        <w:t>.</w:t>
      </w:r>
    </w:p>
    <w:sectPr w:rsidR="00D6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C6"/>
    <w:rsid w:val="00037595"/>
    <w:rsid w:val="00105657"/>
    <w:rsid w:val="002873C0"/>
    <w:rsid w:val="002E69F1"/>
    <w:rsid w:val="002F7860"/>
    <w:rsid w:val="00347663"/>
    <w:rsid w:val="004269B1"/>
    <w:rsid w:val="004A373A"/>
    <w:rsid w:val="004C12C1"/>
    <w:rsid w:val="004C25E3"/>
    <w:rsid w:val="00511F18"/>
    <w:rsid w:val="00563EFB"/>
    <w:rsid w:val="005A7777"/>
    <w:rsid w:val="006004A4"/>
    <w:rsid w:val="006403D5"/>
    <w:rsid w:val="006F0A87"/>
    <w:rsid w:val="006F47B7"/>
    <w:rsid w:val="007475A3"/>
    <w:rsid w:val="00807A62"/>
    <w:rsid w:val="008F4B00"/>
    <w:rsid w:val="008F6B38"/>
    <w:rsid w:val="00B7380D"/>
    <w:rsid w:val="00BB7CCF"/>
    <w:rsid w:val="00C04A98"/>
    <w:rsid w:val="00D67D23"/>
    <w:rsid w:val="00E16436"/>
    <w:rsid w:val="00E23F47"/>
    <w:rsid w:val="00EA5461"/>
    <w:rsid w:val="00F05CC6"/>
    <w:rsid w:val="00F3730C"/>
    <w:rsid w:val="00F7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4C30B"/>
  <w15:chartTrackingRefBased/>
  <w15:docId w15:val="{DCCD9EFB-1F21-4ADA-AE9B-DA37B3DF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F47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4586-CC20-4F43-8508-1922EB013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Nikodemova, Maria</dc:creator>
  <cp:keywords/>
  <dc:description/>
  <cp:lastModifiedBy>Nikodemova, Maria</cp:lastModifiedBy>
  <cp:revision>2</cp:revision>
  <dcterms:created xsi:type="dcterms:W3CDTF">2024-09-25T16:00:00Z</dcterms:created>
  <dcterms:modified xsi:type="dcterms:W3CDTF">2024-09-25T16:00:00Z</dcterms:modified>
</cp:coreProperties>
</file>