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ED032" w14:textId="77777777" w:rsidR="004B3076" w:rsidRPr="0069023D" w:rsidRDefault="004B3076" w:rsidP="004B3076">
      <w:pPr>
        <w:spacing w:line="480" w:lineRule="auto"/>
        <w:jc w:val="left"/>
        <w:rPr>
          <w:rFonts w:ascii="Calibri" w:eastAsiaTheme="minorEastAsia" w:hAnsi="Calibri" w:cs="Calibri"/>
          <w:sz w:val="22"/>
        </w:rPr>
      </w:pPr>
      <w:r w:rsidRPr="0069023D">
        <w:rPr>
          <w:rFonts w:ascii="Calibri" w:eastAsiaTheme="minorEastAsia" w:hAnsi="Calibri" w:cs="Calibri"/>
          <w:noProof/>
          <w:sz w:val="22"/>
        </w:rPr>
        <w:drawing>
          <wp:inline distT="0" distB="0" distL="0" distR="0" wp14:anchorId="7A0BB7D2" wp14:editId="2E97E27C">
            <wp:extent cx="5274310" cy="5276850"/>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5276850"/>
                    </a:xfrm>
                    <a:prstGeom prst="rect">
                      <a:avLst/>
                    </a:prstGeom>
                  </pic:spPr>
                </pic:pic>
              </a:graphicData>
            </a:graphic>
          </wp:inline>
        </w:drawing>
      </w:r>
    </w:p>
    <w:p w14:paraId="59360D51" w14:textId="77777777" w:rsidR="004B3076" w:rsidRPr="0069023D" w:rsidRDefault="004B3076" w:rsidP="004B3076">
      <w:pPr>
        <w:spacing w:line="480" w:lineRule="auto"/>
        <w:jc w:val="left"/>
        <w:rPr>
          <w:rFonts w:ascii="Calibri" w:eastAsiaTheme="minorEastAsia" w:hAnsi="Calibri" w:cs="Calibri"/>
          <w:sz w:val="22"/>
        </w:rPr>
      </w:pPr>
      <w:r>
        <w:rPr>
          <w:rFonts w:ascii="Calibri" w:eastAsiaTheme="minorEastAsia" w:hAnsi="Calibri" w:cs="Calibri"/>
          <w:sz w:val="22"/>
        </w:rPr>
        <w:t xml:space="preserve">Supplement Figure </w:t>
      </w:r>
      <w:r w:rsidRPr="0069023D">
        <w:rPr>
          <w:rFonts w:ascii="Calibri" w:eastAsiaTheme="minorEastAsia" w:hAnsi="Calibri" w:cs="Calibri"/>
          <w:sz w:val="22"/>
        </w:rPr>
        <w:t>S1</w:t>
      </w:r>
      <w:r>
        <w:rPr>
          <w:rFonts w:ascii="Calibri" w:eastAsiaTheme="minorEastAsia" w:hAnsi="Calibri" w:cs="Calibri"/>
          <w:sz w:val="22"/>
        </w:rPr>
        <w:t>.</w:t>
      </w:r>
      <w:r w:rsidRPr="0069023D">
        <w:rPr>
          <w:rFonts w:ascii="Calibri" w:eastAsiaTheme="minorEastAsia" w:hAnsi="Calibri" w:cs="Calibri"/>
          <w:sz w:val="22"/>
        </w:rPr>
        <w:t xml:space="preserve"> Establishment of the model.</w:t>
      </w:r>
    </w:p>
    <w:p w14:paraId="09A9BFB6" w14:textId="03D4A674" w:rsidR="004B3076" w:rsidRDefault="004B3076" w:rsidP="004B3076">
      <w:pPr>
        <w:spacing w:line="480" w:lineRule="auto"/>
        <w:jc w:val="left"/>
        <w:rPr>
          <w:rFonts w:ascii="Calibri" w:eastAsiaTheme="minorEastAsia" w:hAnsi="Calibri" w:cs="Calibri"/>
          <w:sz w:val="22"/>
        </w:rPr>
      </w:pPr>
      <w:r w:rsidRPr="0069023D">
        <w:rPr>
          <w:rFonts w:ascii="Calibri" w:eastAsiaTheme="minorEastAsia" w:hAnsi="Calibri" w:cs="Calibri"/>
          <w:sz w:val="22"/>
        </w:rPr>
        <w:t xml:space="preserve">(A, B) The body weights and blood glucose levels of rats from baseline (BL) to week 4 following streptozotocin (STZ) injection. (C, D) The evaluation involved the performance of the Intraperitoneal Glucose Tolerance Test (IPGTT) and the calculation of the Area Under the Curve (AUC) derived from IPGTT at week 4 post-STZ injection. (E) The statistical analysis of sensory nerve conduction velocity (SNCV) at week 4 post-STZ injection. (F, G) The test of mechanical allodynia and thermal hyperalgesia from BL to week 4 post-STZ injection. </w:t>
      </w:r>
      <w:r w:rsidRPr="0069023D">
        <w:rPr>
          <w:rFonts w:ascii="Calibri" w:eastAsiaTheme="minorEastAsia" w:hAnsi="Calibri" w:cs="Calibri"/>
          <w:i/>
          <w:iCs/>
          <w:sz w:val="22"/>
        </w:rPr>
        <w:t>n</w:t>
      </w:r>
      <w:r w:rsidRPr="0069023D">
        <w:rPr>
          <w:rFonts w:ascii="Calibri" w:eastAsiaTheme="minorEastAsia" w:hAnsi="Calibri" w:cs="Calibri"/>
          <w:sz w:val="22"/>
        </w:rPr>
        <w:t xml:space="preserve"> = 10 for each group. Data are presented as mean ± SEM. *</w:t>
      </w:r>
      <w:r w:rsidRPr="0069023D">
        <w:rPr>
          <w:rFonts w:ascii="Calibri" w:eastAsiaTheme="minorEastAsia" w:hAnsi="Calibri" w:cs="Calibri"/>
          <w:i/>
          <w:iCs/>
          <w:sz w:val="22"/>
        </w:rPr>
        <w:t>P</w:t>
      </w:r>
      <w:r w:rsidRPr="0069023D">
        <w:rPr>
          <w:rFonts w:ascii="Calibri" w:eastAsiaTheme="minorEastAsia" w:hAnsi="Calibri" w:cs="Calibri"/>
          <w:sz w:val="22"/>
        </w:rPr>
        <w:t xml:space="preserve"> &lt; 0.05, ***</w:t>
      </w:r>
      <w:r w:rsidRPr="0069023D">
        <w:rPr>
          <w:rFonts w:ascii="Calibri" w:eastAsiaTheme="minorEastAsia" w:hAnsi="Calibri" w:cs="Calibri"/>
          <w:i/>
          <w:iCs/>
          <w:sz w:val="22"/>
        </w:rPr>
        <w:t xml:space="preserve">P </w:t>
      </w:r>
      <w:r w:rsidRPr="0069023D">
        <w:rPr>
          <w:rFonts w:ascii="Calibri" w:eastAsiaTheme="minorEastAsia" w:hAnsi="Calibri" w:cs="Calibri"/>
          <w:sz w:val="22"/>
        </w:rPr>
        <w:t xml:space="preserve">&lt; 0.001 </w:t>
      </w:r>
      <w:r w:rsidRPr="0069023D">
        <w:rPr>
          <w:rFonts w:ascii="Calibri" w:eastAsiaTheme="minorEastAsia" w:hAnsi="Calibri" w:cs="Calibri"/>
          <w:i/>
          <w:iCs/>
          <w:sz w:val="22"/>
        </w:rPr>
        <w:t>versus</w:t>
      </w:r>
      <w:r w:rsidRPr="0069023D">
        <w:rPr>
          <w:rFonts w:ascii="Calibri" w:eastAsiaTheme="minorEastAsia" w:hAnsi="Calibri" w:cs="Calibri"/>
          <w:sz w:val="22"/>
        </w:rPr>
        <w:t xml:space="preserve"> the control group; one-way ANOVA with Tukey’s multiple comparisons test for (D), (E); two-way </w:t>
      </w:r>
      <w:r w:rsidRPr="0069023D">
        <w:rPr>
          <w:rFonts w:ascii="Calibri" w:eastAsiaTheme="minorEastAsia" w:hAnsi="Calibri" w:cs="Calibri"/>
          <w:sz w:val="22"/>
        </w:rPr>
        <w:lastRenderedPageBreak/>
        <w:t>ANOVA with Sidak’s multiple comparisons test for (A-C), (F), and (G).</w:t>
      </w:r>
    </w:p>
    <w:p w14:paraId="4F08FA7D" w14:textId="77777777" w:rsidR="004B3076" w:rsidRDefault="004B3076" w:rsidP="004B3076">
      <w:pPr>
        <w:spacing w:line="480" w:lineRule="auto"/>
        <w:jc w:val="left"/>
        <w:rPr>
          <w:rFonts w:ascii="Calibri" w:eastAsiaTheme="minorEastAsia" w:hAnsi="Calibri" w:cs="Calibri"/>
          <w:sz w:val="22"/>
        </w:rPr>
      </w:pPr>
      <w:r>
        <w:rPr>
          <w:rFonts w:ascii="Calibri" w:eastAsiaTheme="minorEastAsia" w:hAnsi="Calibri" w:cs="Calibri"/>
          <w:noProof/>
          <w:sz w:val="22"/>
        </w:rPr>
        <w:drawing>
          <wp:inline distT="0" distB="0" distL="0" distR="0" wp14:anchorId="13D877CE" wp14:editId="7278DB9F">
            <wp:extent cx="5274310" cy="2346960"/>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2346960"/>
                    </a:xfrm>
                    <a:prstGeom prst="rect">
                      <a:avLst/>
                    </a:prstGeom>
                  </pic:spPr>
                </pic:pic>
              </a:graphicData>
            </a:graphic>
          </wp:inline>
        </w:drawing>
      </w:r>
    </w:p>
    <w:p w14:paraId="267E647B" w14:textId="77777777" w:rsidR="004B3076" w:rsidRPr="0069023D" w:rsidRDefault="004B3076" w:rsidP="004B3076">
      <w:pPr>
        <w:spacing w:line="480" w:lineRule="auto"/>
        <w:jc w:val="left"/>
        <w:rPr>
          <w:rFonts w:ascii="Calibri" w:eastAsiaTheme="minorEastAsia" w:hAnsi="Calibri" w:cs="Calibri"/>
          <w:sz w:val="22"/>
        </w:rPr>
      </w:pPr>
      <w:r>
        <w:rPr>
          <w:rFonts w:ascii="Calibri" w:eastAsiaTheme="minorEastAsia" w:hAnsi="Calibri" w:cs="Calibri"/>
          <w:sz w:val="22"/>
        </w:rPr>
        <w:t xml:space="preserve">Supplement Figure </w:t>
      </w:r>
      <w:r w:rsidRPr="0069023D">
        <w:rPr>
          <w:rFonts w:ascii="Calibri" w:eastAsiaTheme="minorEastAsia" w:hAnsi="Calibri" w:cs="Calibri"/>
          <w:sz w:val="22"/>
        </w:rPr>
        <w:t>S</w:t>
      </w:r>
      <w:r>
        <w:rPr>
          <w:rFonts w:ascii="Calibri" w:eastAsiaTheme="minorEastAsia" w:hAnsi="Calibri" w:cs="Calibri"/>
          <w:sz w:val="22"/>
        </w:rPr>
        <w:t>2.</w:t>
      </w:r>
      <w:r w:rsidRPr="0069023D">
        <w:rPr>
          <w:rFonts w:ascii="Calibri" w:eastAsiaTheme="minorEastAsia" w:hAnsi="Calibri" w:cs="Calibri"/>
          <w:sz w:val="22"/>
        </w:rPr>
        <w:t xml:space="preserve"> </w:t>
      </w:r>
      <w:r>
        <w:rPr>
          <w:rFonts w:ascii="Calibri" w:eastAsiaTheme="minorEastAsia" w:hAnsi="Calibri" w:cs="Calibri"/>
          <w:sz w:val="22"/>
        </w:rPr>
        <w:t>The changes in the serum SCFAs of PDN rats.</w:t>
      </w:r>
    </w:p>
    <w:p w14:paraId="59E178B5" w14:textId="77777777" w:rsidR="004B3076" w:rsidRPr="002927B3" w:rsidRDefault="004B3076" w:rsidP="004B3076">
      <w:pPr>
        <w:tabs>
          <w:tab w:val="left" w:pos="1148"/>
        </w:tabs>
        <w:spacing w:line="480" w:lineRule="auto"/>
        <w:jc w:val="left"/>
        <w:rPr>
          <w:rFonts w:ascii="Calibri" w:eastAsiaTheme="minorEastAsia" w:hAnsi="Calibri" w:cs="Calibri"/>
          <w:sz w:val="22"/>
        </w:rPr>
      </w:pPr>
      <w:r>
        <w:rPr>
          <w:rFonts w:ascii="Calibri" w:eastAsiaTheme="minorEastAsia" w:hAnsi="Calibri" w:cs="Calibri"/>
          <w:sz w:val="22"/>
        </w:rPr>
        <w:t xml:space="preserve">(A) </w:t>
      </w:r>
      <w:r w:rsidRPr="002927B3">
        <w:rPr>
          <w:rFonts w:ascii="Calibri" w:eastAsiaTheme="minorEastAsia" w:hAnsi="Calibri" w:cs="Calibri"/>
          <w:sz w:val="22"/>
        </w:rPr>
        <w:t xml:space="preserve">The heatmap of </w:t>
      </w:r>
      <w:r>
        <w:rPr>
          <w:rFonts w:ascii="Calibri" w:eastAsiaTheme="minorEastAsia" w:hAnsi="Calibri" w:cs="Calibri"/>
          <w:sz w:val="22"/>
        </w:rPr>
        <w:t>serum SCFAs (</w:t>
      </w:r>
      <w:r w:rsidRPr="0069023D">
        <w:rPr>
          <w:rFonts w:ascii="Calibri" w:eastAsiaTheme="minorEastAsia" w:hAnsi="Calibri" w:cs="Calibri"/>
          <w:i/>
          <w:iCs/>
          <w:sz w:val="22"/>
        </w:rPr>
        <w:t>n</w:t>
      </w:r>
      <w:r w:rsidRPr="0069023D">
        <w:rPr>
          <w:rFonts w:ascii="Calibri" w:eastAsiaTheme="minorEastAsia" w:hAnsi="Calibri" w:cs="Calibri"/>
          <w:sz w:val="22"/>
        </w:rPr>
        <w:t xml:space="preserve"> = 10 for each group</w:t>
      </w:r>
      <w:r>
        <w:rPr>
          <w:rFonts w:ascii="Calibri" w:eastAsiaTheme="minorEastAsia" w:hAnsi="Calibri" w:cs="Calibri"/>
          <w:sz w:val="22"/>
        </w:rPr>
        <w:t xml:space="preserve">). </w:t>
      </w:r>
      <w:r w:rsidRPr="0069023D">
        <w:rPr>
          <w:rFonts w:ascii="Calibri" w:eastAsiaTheme="minorEastAsia" w:hAnsi="Calibri" w:cs="Calibri"/>
          <w:sz w:val="22"/>
        </w:rPr>
        <w:t>(</w:t>
      </w:r>
      <w:r>
        <w:rPr>
          <w:rFonts w:ascii="Calibri" w:eastAsiaTheme="minorEastAsia" w:hAnsi="Calibri" w:cs="Calibri"/>
          <w:sz w:val="22"/>
        </w:rPr>
        <w:t>B</w:t>
      </w:r>
      <w:r w:rsidRPr="0069023D">
        <w:rPr>
          <w:rFonts w:ascii="Calibri" w:eastAsiaTheme="minorEastAsia" w:hAnsi="Calibri" w:cs="Calibri"/>
          <w:sz w:val="22"/>
        </w:rPr>
        <w:t>)</w:t>
      </w:r>
      <w:r w:rsidRPr="0096533D">
        <w:t xml:space="preserve"> </w:t>
      </w:r>
      <w:r w:rsidRPr="0096533D">
        <w:rPr>
          <w:rFonts w:ascii="Calibri" w:eastAsiaTheme="minorEastAsia" w:hAnsi="Calibri" w:cs="Calibri"/>
          <w:sz w:val="22"/>
        </w:rPr>
        <w:t xml:space="preserve">Serum </w:t>
      </w:r>
      <w:r>
        <w:rPr>
          <w:rFonts w:ascii="Calibri" w:eastAsiaTheme="minorEastAsia" w:hAnsi="Calibri" w:cs="Calibri"/>
          <w:sz w:val="22"/>
        </w:rPr>
        <w:t>propionate</w:t>
      </w:r>
      <w:r w:rsidRPr="0096533D">
        <w:rPr>
          <w:rFonts w:ascii="Calibri" w:eastAsiaTheme="minorEastAsia" w:hAnsi="Calibri" w:cs="Calibri"/>
          <w:sz w:val="22"/>
        </w:rPr>
        <w:t xml:space="preserve"> concentration of </w:t>
      </w:r>
      <w:r>
        <w:rPr>
          <w:rFonts w:ascii="Calibri" w:eastAsiaTheme="minorEastAsia" w:hAnsi="Calibri" w:cs="Calibri"/>
          <w:sz w:val="22"/>
        </w:rPr>
        <w:t>control and PDN rats (</w:t>
      </w:r>
      <w:r w:rsidRPr="00B859A0">
        <w:rPr>
          <w:rFonts w:ascii="Calibri" w:eastAsiaTheme="minorEastAsia" w:hAnsi="Calibri" w:cs="Calibri"/>
          <w:i/>
          <w:iCs/>
          <w:sz w:val="22"/>
        </w:rPr>
        <w:t>n</w:t>
      </w:r>
      <w:r w:rsidRPr="00DC278A">
        <w:rPr>
          <w:rFonts w:ascii="Calibri" w:eastAsiaTheme="minorEastAsia" w:hAnsi="Calibri" w:cs="Calibri"/>
          <w:sz w:val="22"/>
        </w:rPr>
        <w:t> = </w:t>
      </w:r>
      <w:r>
        <w:rPr>
          <w:rFonts w:ascii="Calibri" w:eastAsiaTheme="minorEastAsia" w:hAnsi="Calibri" w:cs="Calibri"/>
          <w:sz w:val="22"/>
        </w:rPr>
        <w:t>10</w:t>
      </w:r>
      <w:r w:rsidRPr="00DC278A">
        <w:rPr>
          <w:rFonts w:ascii="Calibri" w:eastAsiaTheme="minorEastAsia" w:hAnsi="Calibri" w:cs="Calibri"/>
          <w:sz w:val="22"/>
        </w:rPr>
        <w:t xml:space="preserve"> at </w:t>
      </w:r>
      <w:r>
        <w:rPr>
          <w:rFonts w:ascii="Calibri" w:eastAsiaTheme="minorEastAsia" w:hAnsi="Calibri" w:cs="Calibri"/>
          <w:sz w:val="22"/>
        </w:rPr>
        <w:t>Control</w:t>
      </w:r>
      <w:r w:rsidRPr="00DC278A">
        <w:rPr>
          <w:rFonts w:ascii="Calibri" w:eastAsiaTheme="minorEastAsia" w:hAnsi="Calibri" w:cs="Calibri"/>
          <w:sz w:val="22"/>
        </w:rPr>
        <w:t xml:space="preserve">, </w:t>
      </w:r>
      <w:r w:rsidRPr="00B859A0">
        <w:rPr>
          <w:rFonts w:ascii="Calibri" w:eastAsiaTheme="minorEastAsia" w:hAnsi="Calibri" w:cs="Calibri"/>
          <w:i/>
          <w:iCs/>
          <w:sz w:val="22"/>
        </w:rPr>
        <w:t>n</w:t>
      </w:r>
      <w:r w:rsidRPr="00DC278A">
        <w:rPr>
          <w:rFonts w:ascii="Calibri" w:eastAsiaTheme="minorEastAsia" w:hAnsi="Calibri" w:cs="Calibri"/>
          <w:sz w:val="22"/>
        </w:rPr>
        <w:t> = </w:t>
      </w:r>
      <w:r>
        <w:rPr>
          <w:rFonts w:ascii="Calibri" w:eastAsiaTheme="minorEastAsia" w:hAnsi="Calibri" w:cs="Calibri"/>
          <w:sz w:val="22"/>
        </w:rPr>
        <w:t>9</w:t>
      </w:r>
      <w:r w:rsidRPr="00DC278A">
        <w:rPr>
          <w:rFonts w:ascii="Calibri" w:eastAsiaTheme="minorEastAsia" w:hAnsi="Calibri" w:cs="Calibri"/>
          <w:sz w:val="22"/>
        </w:rPr>
        <w:t xml:space="preserve"> at </w:t>
      </w:r>
      <w:r>
        <w:rPr>
          <w:rFonts w:ascii="Calibri" w:eastAsiaTheme="minorEastAsia" w:hAnsi="Calibri" w:cs="Calibri"/>
          <w:sz w:val="22"/>
        </w:rPr>
        <w:t>PDN</w:t>
      </w:r>
      <w:r w:rsidRPr="00DC278A">
        <w:rPr>
          <w:rFonts w:ascii="Calibri" w:eastAsiaTheme="minorEastAsia" w:hAnsi="Calibri" w:cs="Calibri"/>
          <w:sz w:val="22"/>
        </w:rPr>
        <w:t>)</w:t>
      </w:r>
      <w:r>
        <w:rPr>
          <w:rFonts w:ascii="Calibri" w:eastAsiaTheme="minorEastAsia" w:hAnsi="Calibri" w:cs="Calibri"/>
          <w:sz w:val="22"/>
        </w:rPr>
        <w:t>. One</w:t>
      </w:r>
      <w:r w:rsidRPr="00DC278A">
        <w:rPr>
          <w:rFonts w:ascii="Calibri" w:eastAsiaTheme="minorEastAsia" w:hAnsi="Calibri" w:cs="Calibri"/>
          <w:sz w:val="22"/>
        </w:rPr>
        <w:t xml:space="preserve"> </w:t>
      </w:r>
      <w:r>
        <w:rPr>
          <w:rFonts w:ascii="Calibri" w:eastAsiaTheme="minorEastAsia" w:hAnsi="Calibri" w:cs="Calibri"/>
          <w:sz w:val="22"/>
        </w:rPr>
        <w:t>PDN</w:t>
      </w:r>
      <w:r w:rsidRPr="00DC278A">
        <w:rPr>
          <w:rFonts w:ascii="Calibri" w:eastAsiaTheme="minorEastAsia" w:hAnsi="Calibri" w:cs="Calibri"/>
          <w:sz w:val="22"/>
        </w:rPr>
        <w:t xml:space="preserve"> data point was removed based on the </w:t>
      </w:r>
      <w:r>
        <w:rPr>
          <w:rFonts w:ascii="Calibri" w:eastAsiaTheme="minorEastAsia" w:hAnsi="Calibri" w:cs="Calibri"/>
          <w:sz w:val="22"/>
        </w:rPr>
        <w:t>ROUT</w:t>
      </w:r>
      <w:r w:rsidRPr="00DC278A">
        <w:rPr>
          <w:rFonts w:ascii="Calibri" w:eastAsiaTheme="minorEastAsia" w:hAnsi="Calibri" w:cs="Calibri"/>
          <w:sz w:val="22"/>
        </w:rPr>
        <w:t xml:space="preserve"> </w:t>
      </w:r>
      <w:r>
        <w:rPr>
          <w:rFonts w:ascii="Calibri" w:eastAsiaTheme="minorEastAsia" w:hAnsi="Calibri" w:cs="Calibri"/>
          <w:sz w:val="22"/>
        </w:rPr>
        <w:t>method</w:t>
      </w:r>
      <w:r w:rsidRPr="00DC278A">
        <w:rPr>
          <w:rFonts w:ascii="Calibri" w:eastAsiaTheme="minorEastAsia" w:hAnsi="Calibri" w:cs="Calibri"/>
          <w:sz w:val="22"/>
        </w:rPr>
        <w:t xml:space="preserve"> to identify outliers</w:t>
      </w:r>
      <w:r>
        <w:rPr>
          <w:rFonts w:ascii="Calibri" w:eastAsiaTheme="minorEastAsia" w:hAnsi="Calibri" w:cs="Calibri"/>
          <w:sz w:val="22"/>
        </w:rPr>
        <w:t xml:space="preserve">. </w:t>
      </w:r>
      <w:r w:rsidRPr="0069023D">
        <w:rPr>
          <w:rFonts w:ascii="Calibri" w:eastAsiaTheme="minorEastAsia" w:hAnsi="Calibri" w:cs="Calibri"/>
          <w:sz w:val="22"/>
        </w:rPr>
        <w:t>Data are presented as mean ± SEM. *</w:t>
      </w:r>
      <w:r w:rsidRPr="0069023D">
        <w:rPr>
          <w:rFonts w:ascii="Calibri" w:eastAsiaTheme="minorEastAsia" w:hAnsi="Calibri" w:cs="Calibri"/>
          <w:i/>
          <w:iCs/>
          <w:sz w:val="22"/>
        </w:rPr>
        <w:t>P</w:t>
      </w:r>
      <w:r w:rsidRPr="0069023D">
        <w:rPr>
          <w:rFonts w:ascii="Calibri" w:eastAsiaTheme="minorEastAsia" w:hAnsi="Calibri" w:cs="Calibri"/>
          <w:sz w:val="22"/>
        </w:rPr>
        <w:t xml:space="preserve"> &lt; 0.05</w:t>
      </w:r>
      <w:r>
        <w:rPr>
          <w:rFonts w:ascii="Calibri" w:eastAsiaTheme="minorEastAsia" w:hAnsi="Calibri" w:cs="Calibri" w:hint="eastAsia"/>
          <w:sz w:val="22"/>
        </w:rPr>
        <w:t>.</w:t>
      </w:r>
      <w:r>
        <w:rPr>
          <w:rFonts w:ascii="Calibri" w:eastAsiaTheme="minorEastAsia" w:hAnsi="Calibri" w:cs="Calibri"/>
          <w:sz w:val="22"/>
        </w:rPr>
        <w:t xml:space="preserve"> </w:t>
      </w:r>
      <w:r w:rsidRPr="0069023D">
        <w:rPr>
          <w:rFonts w:ascii="Calibri" w:eastAsiaTheme="minorEastAsia" w:hAnsi="Calibri" w:cs="Calibri"/>
          <w:sz w:val="22"/>
        </w:rPr>
        <w:t xml:space="preserve">Student's </w:t>
      </w:r>
      <w:r w:rsidRPr="0069023D">
        <w:rPr>
          <w:rFonts w:ascii="Calibri" w:eastAsiaTheme="minorEastAsia" w:hAnsi="Calibri" w:cs="Calibri"/>
          <w:i/>
          <w:iCs/>
          <w:sz w:val="22"/>
        </w:rPr>
        <w:t>t</w:t>
      </w:r>
      <w:r w:rsidRPr="0069023D">
        <w:rPr>
          <w:rFonts w:ascii="Calibri" w:eastAsiaTheme="minorEastAsia" w:hAnsi="Calibri" w:cs="Calibri"/>
          <w:sz w:val="22"/>
        </w:rPr>
        <w:t>-test</w:t>
      </w:r>
      <w:r>
        <w:rPr>
          <w:rFonts w:ascii="Calibri" w:eastAsiaTheme="minorEastAsia" w:hAnsi="Calibri" w:cs="Calibri"/>
          <w:sz w:val="22"/>
        </w:rPr>
        <w:t xml:space="preserve"> </w:t>
      </w:r>
      <w:r w:rsidRPr="0069023D">
        <w:rPr>
          <w:rFonts w:ascii="Calibri" w:eastAsiaTheme="minorEastAsia" w:hAnsi="Calibri" w:cs="Calibri"/>
          <w:sz w:val="22"/>
        </w:rPr>
        <w:t>for (B)</w:t>
      </w:r>
      <w:r>
        <w:rPr>
          <w:rFonts w:ascii="Calibri" w:eastAsiaTheme="minorEastAsia" w:hAnsi="Calibri" w:cs="Calibri" w:hint="eastAsia"/>
          <w:sz w:val="22"/>
        </w:rPr>
        <w:t>.</w:t>
      </w:r>
    </w:p>
    <w:p w14:paraId="6D8B0ED2" w14:textId="77777777" w:rsidR="004B3076" w:rsidRDefault="004B3076" w:rsidP="004B3076">
      <w:pPr>
        <w:tabs>
          <w:tab w:val="left" w:pos="1148"/>
        </w:tabs>
        <w:rPr>
          <w:rFonts w:ascii="Calibri" w:eastAsiaTheme="minorEastAsia" w:hAnsi="Calibri" w:cs="Calibri"/>
          <w:sz w:val="22"/>
        </w:rPr>
      </w:pPr>
    </w:p>
    <w:p w14:paraId="7707A858" w14:textId="77777777" w:rsidR="004B3076" w:rsidRPr="0069023D" w:rsidRDefault="004B3076" w:rsidP="004B3076">
      <w:pPr>
        <w:spacing w:line="480" w:lineRule="auto"/>
        <w:jc w:val="left"/>
        <w:rPr>
          <w:rFonts w:ascii="Calibri" w:eastAsiaTheme="minorEastAsia" w:hAnsi="Calibri" w:cs="Calibri"/>
          <w:sz w:val="22"/>
        </w:rPr>
        <w:sectPr w:rsidR="004B3076" w:rsidRPr="0069023D" w:rsidSect="004B3076">
          <w:type w:val="continuous"/>
          <w:pgSz w:w="11906" w:h="16838"/>
          <w:pgMar w:top="1440" w:right="1800" w:bottom="1440" w:left="1800" w:header="851" w:footer="992" w:gutter="0"/>
          <w:cols w:space="425"/>
          <w:docGrid w:type="lines" w:linePitch="312"/>
        </w:sectPr>
      </w:pPr>
    </w:p>
    <w:p w14:paraId="7BD2394B" w14:textId="77777777" w:rsidR="004B3076" w:rsidRPr="0069023D" w:rsidRDefault="004B3076" w:rsidP="004B3076">
      <w:pPr>
        <w:spacing w:line="480" w:lineRule="auto"/>
        <w:jc w:val="left"/>
        <w:rPr>
          <w:rFonts w:ascii="Calibri" w:eastAsiaTheme="minorEastAsia" w:hAnsi="Calibri" w:cs="Calibri"/>
          <w:sz w:val="22"/>
        </w:rPr>
      </w:pPr>
      <w:r w:rsidRPr="0069023D">
        <w:rPr>
          <w:rFonts w:ascii="Calibri" w:hAnsi="Calibri" w:cs="Calibri"/>
          <w:noProof/>
          <w:sz w:val="22"/>
        </w:rPr>
        <w:lastRenderedPageBreak/>
        <w:drawing>
          <wp:inline distT="0" distB="0" distL="0" distR="0" wp14:anchorId="218E4F09" wp14:editId="6B7AD1E0">
            <wp:extent cx="5274310" cy="2099310"/>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2099310"/>
                    </a:xfrm>
                    <a:prstGeom prst="rect">
                      <a:avLst/>
                    </a:prstGeom>
                    <a:noFill/>
                    <a:ln>
                      <a:noFill/>
                    </a:ln>
                  </pic:spPr>
                </pic:pic>
              </a:graphicData>
            </a:graphic>
          </wp:inline>
        </w:drawing>
      </w:r>
    </w:p>
    <w:p w14:paraId="4AECDFDE" w14:textId="77777777" w:rsidR="004B3076" w:rsidRPr="0069023D" w:rsidRDefault="004B3076" w:rsidP="004B3076">
      <w:pPr>
        <w:spacing w:line="480" w:lineRule="auto"/>
        <w:jc w:val="left"/>
        <w:rPr>
          <w:rFonts w:ascii="Calibri" w:eastAsiaTheme="minorEastAsia" w:hAnsi="Calibri" w:cs="Calibri"/>
          <w:sz w:val="22"/>
        </w:rPr>
      </w:pPr>
      <w:r>
        <w:rPr>
          <w:rFonts w:ascii="Calibri" w:eastAsiaTheme="minorEastAsia" w:hAnsi="Calibri" w:cs="Calibri"/>
          <w:sz w:val="22"/>
        </w:rPr>
        <w:t xml:space="preserve">Supplement Figure S3. </w:t>
      </w:r>
      <w:r w:rsidRPr="0069023D">
        <w:rPr>
          <w:rFonts w:ascii="Calibri" w:eastAsiaTheme="minorEastAsia" w:hAnsi="Calibri" w:cs="Calibri"/>
          <w:sz w:val="22"/>
        </w:rPr>
        <w:t>Probiotics treatment changed the body weight and blood glucose in PDN rats.</w:t>
      </w:r>
    </w:p>
    <w:p w14:paraId="7C551798" w14:textId="77777777" w:rsidR="004B3076" w:rsidRPr="0069023D" w:rsidRDefault="004B3076" w:rsidP="004B3076">
      <w:pPr>
        <w:spacing w:line="480" w:lineRule="auto"/>
        <w:jc w:val="left"/>
        <w:rPr>
          <w:rFonts w:ascii="Calibri" w:eastAsiaTheme="minorEastAsia" w:hAnsi="Calibri" w:cs="Calibri"/>
          <w:sz w:val="22"/>
        </w:rPr>
      </w:pPr>
      <w:r w:rsidRPr="0069023D">
        <w:rPr>
          <w:rFonts w:ascii="Calibri" w:eastAsiaTheme="minorEastAsia" w:hAnsi="Calibri" w:cs="Calibri"/>
          <w:sz w:val="22"/>
        </w:rPr>
        <w:t xml:space="preserve">(A, B) The body weights and blood glucose levels of rats from baseline (BL) to week 4 after streptozotocin (STZ) injection. </w:t>
      </w:r>
      <w:r w:rsidRPr="0069023D">
        <w:rPr>
          <w:rFonts w:ascii="Calibri" w:eastAsiaTheme="minorEastAsia" w:hAnsi="Calibri" w:cs="Calibri"/>
          <w:i/>
          <w:iCs/>
          <w:sz w:val="22"/>
        </w:rPr>
        <w:t>n</w:t>
      </w:r>
      <w:r w:rsidRPr="0069023D">
        <w:rPr>
          <w:rFonts w:ascii="Calibri" w:eastAsiaTheme="minorEastAsia" w:hAnsi="Calibri" w:cs="Calibri"/>
          <w:sz w:val="22"/>
        </w:rPr>
        <w:t xml:space="preserve"> = 10 for each group. Data are presented as mean ± SEM. ***</w:t>
      </w:r>
      <w:r w:rsidRPr="0069023D">
        <w:rPr>
          <w:rFonts w:ascii="Calibri" w:eastAsiaTheme="minorEastAsia" w:hAnsi="Calibri" w:cs="Calibri"/>
          <w:i/>
          <w:iCs/>
          <w:sz w:val="22"/>
        </w:rPr>
        <w:t xml:space="preserve">P </w:t>
      </w:r>
      <w:r w:rsidRPr="0069023D">
        <w:rPr>
          <w:rFonts w:ascii="Calibri" w:eastAsiaTheme="minorEastAsia" w:hAnsi="Calibri" w:cs="Calibri"/>
          <w:sz w:val="22"/>
        </w:rPr>
        <w:t xml:space="preserve">&lt; 0.001 </w:t>
      </w:r>
      <w:r w:rsidRPr="0069023D">
        <w:rPr>
          <w:rFonts w:ascii="Calibri" w:eastAsiaTheme="minorEastAsia" w:hAnsi="Calibri" w:cs="Calibri"/>
          <w:i/>
          <w:iCs/>
          <w:sz w:val="22"/>
        </w:rPr>
        <w:t>versus</w:t>
      </w:r>
      <w:r w:rsidRPr="0069023D">
        <w:rPr>
          <w:rFonts w:ascii="Calibri" w:eastAsiaTheme="minorEastAsia" w:hAnsi="Calibri" w:cs="Calibri"/>
          <w:sz w:val="22"/>
        </w:rPr>
        <w:t xml:space="preserve"> the control group; </w:t>
      </w:r>
      <w:r w:rsidRPr="0069023D">
        <w:rPr>
          <w:rFonts w:ascii="Calibri" w:eastAsiaTheme="minorEastAsia" w:hAnsi="Calibri" w:cs="Calibri"/>
          <w:sz w:val="22"/>
          <w:vertAlign w:val="superscript"/>
        </w:rPr>
        <w:t>#</w:t>
      </w:r>
      <w:r w:rsidRPr="0069023D">
        <w:rPr>
          <w:rFonts w:ascii="Calibri" w:eastAsiaTheme="minorEastAsia" w:hAnsi="Calibri" w:cs="Calibri"/>
          <w:i/>
          <w:iCs/>
          <w:sz w:val="22"/>
        </w:rPr>
        <w:t>P</w:t>
      </w:r>
      <w:r w:rsidRPr="0069023D">
        <w:rPr>
          <w:rFonts w:ascii="Calibri" w:eastAsiaTheme="minorEastAsia" w:hAnsi="Calibri" w:cs="Calibri"/>
          <w:sz w:val="22"/>
        </w:rPr>
        <w:t xml:space="preserve"> &lt; 0.05, </w:t>
      </w:r>
      <w:r w:rsidRPr="0069023D">
        <w:rPr>
          <w:rFonts w:ascii="Calibri" w:eastAsiaTheme="minorEastAsia" w:hAnsi="Calibri" w:cs="Calibri"/>
          <w:sz w:val="22"/>
          <w:vertAlign w:val="superscript"/>
        </w:rPr>
        <w:t>###</w:t>
      </w:r>
      <w:r w:rsidRPr="0069023D">
        <w:rPr>
          <w:rFonts w:ascii="Calibri" w:eastAsiaTheme="minorEastAsia" w:hAnsi="Calibri" w:cs="Calibri"/>
          <w:i/>
          <w:iCs/>
          <w:sz w:val="22"/>
        </w:rPr>
        <w:t xml:space="preserve">P </w:t>
      </w:r>
      <w:r w:rsidRPr="0069023D">
        <w:rPr>
          <w:rFonts w:ascii="Calibri" w:eastAsiaTheme="minorEastAsia" w:hAnsi="Calibri" w:cs="Calibri"/>
          <w:sz w:val="22"/>
        </w:rPr>
        <w:t xml:space="preserve">&lt; 0.001 </w:t>
      </w:r>
      <w:r w:rsidRPr="0069023D">
        <w:rPr>
          <w:rFonts w:ascii="Calibri" w:eastAsiaTheme="minorEastAsia" w:hAnsi="Calibri" w:cs="Calibri"/>
          <w:i/>
          <w:iCs/>
          <w:sz w:val="22"/>
        </w:rPr>
        <w:t>versus</w:t>
      </w:r>
      <w:r w:rsidRPr="0069023D">
        <w:rPr>
          <w:rFonts w:ascii="Calibri" w:eastAsiaTheme="minorEastAsia" w:hAnsi="Calibri" w:cs="Calibri"/>
          <w:sz w:val="22"/>
        </w:rPr>
        <w:t xml:space="preserve"> the PDN group, two-way ANOVA with Sidak’s multiple comparisons test for (A, B). </w:t>
      </w:r>
    </w:p>
    <w:p w14:paraId="67771B27" w14:textId="77777777" w:rsidR="004B3076" w:rsidRDefault="004B3076" w:rsidP="004B3076">
      <w:pPr>
        <w:spacing w:line="480" w:lineRule="auto"/>
        <w:jc w:val="left"/>
        <w:rPr>
          <w:rFonts w:ascii="Calibri" w:eastAsiaTheme="minorEastAsia" w:hAnsi="Calibri" w:cs="Calibri"/>
          <w:sz w:val="22"/>
        </w:rPr>
        <w:sectPr w:rsidR="004B3076" w:rsidSect="004B3076">
          <w:pgSz w:w="11906" w:h="16838"/>
          <w:pgMar w:top="1440" w:right="1800" w:bottom="1440" w:left="1800" w:header="851" w:footer="992" w:gutter="0"/>
          <w:cols w:space="425"/>
          <w:docGrid w:type="lines" w:linePitch="312"/>
        </w:sectPr>
      </w:pPr>
    </w:p>
    <w:p w14:paraId="5F598799" w14:textId="77777777" w:rsidR="004B3076" w:rsidRDefault="004B3076" w:rsidP="004B3076">
      <w:pPr>
        <w:spacing w:line="480" w:lineRule="auto"/>
        <w:jc w:val="left"/>
        <w:rPr>
          <w:rFonts w:ascii="Calibri" w:eastAsiaTheme="minorEastAsia" w:hAnsi="Calibri" w:cs="Calibri"/>
          <w:sz w:val="22"/>
        </w:rPr>
      </w:pPr>
      <w:r>
        <w:rPr>
          <w:noProof/>
        </w:rPr>
        <w:lastRenderedPageBreak/>
        <w:drawing>
          <wp:inline distT="0" distB="0" distL="0" distR="0" wp14:anchorId="61D274C3" wp14:editId="61D63661">
            <wp:extent cx="5274310" cy="6176010"/>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6176010"/>
                    </a:xfrm>
                    <a:prstGeom prst="rect">
                      <a:avLst/>
                    </a:prstGeom>
                    <a:noFill/>
                    <a:ln>
                      <a:noFill/>
                    </a:ln>
                  </pic:spPr>
                </pic:pic>
              </a:graphicData>
            </a:graphic>
          </wp:inline>
        </w:drawing>
      </w:r>
    </w:p>
    <w:p w14:paraId="08B3F005" w14:textId="77777777" w:rsidR="004B3076" w:rsidRPr="00E60200" w:rsidRDefault="004B3076" w:rsidP="004B3076">
      <w:pPr>
        <w:spacing w:line="480" w:lineRule="auto"/>
        <w:jc w:val="left"/>
        <w:rPr>
          <w:rFonts w:ascii="Calibri" w:eastAsiaTheme="minorEastAsia" w:hAnsi="Calibri" w:cs="Calibri"/>
          <w:sz w:val="22"/>
        </w:rPr>
      </w:pPr>
      <w:r>
        <w:rPr>
          <w:rFonts w:ascii="Calibri" w:eastAsiaTheme="minorEastAsia" w:hAnsi="Calibri" w:cs="Calibri"/>
          <w:sz w:val="22"/>
        </w:rPr>
        <w:t xml:space="preserve">Supplement Figure S4. </w:t>
      </w:r>
      <w:r w:rsidRPr="004B6199">
        <w:rPr>
          <w:rFonts w:ascii="Calibri" w:eastAsiaTheme="minorEastAsia" w:hAnsi="Calibri" w:cs="Calibri"/>
          <w:sz w:val="22"/>
        </w:rPr>
        <w:t>Probiotic treatment improved gut microbiota dysbiosis in PDN rats.</w:t>
      </w:r>
      <w:r>
        <w:rPr>
          <w:rFonts w:ascii="Calibri" w:eastAsiaTheme="minorEastAsia" w:hAnsi="Calibri" w:cs="Calibri"/>
          <w:sz w:val="22"/>
        </w:rPr>
        <w:t xml:space="preserve"> (A) </w:t>
      </w:r>
      <w:r w:rsidRPr="00FC5778">
        <w:rPr>
          <w:rFonts w:ascii="Calibri" w:eastAsiaTheme="minorEastAsia" w:hAnsi="Calibri" w:cs="Calibri"/>
          <w:sz w:val="22"/>
        </w:rPr>
        <w:t>The microbial dysbiosis index (MDI)</w:t>
      </w:r>
      <w:r>
        <w:rPr>
          <w:rFonts w:ascii="Calibri" w:eastAsiaTheme="minorEastAsia" w:hAnsi="Calibri" w:cs="Calibri"/>
          <w:sz w:val="22"/>
        </w:rPr>
        <w:t xml:space="preserve">. (B) </w:t>
      </w:r>
      <w:r w:rsidRPr="006A2641">
        <w:rPr>
          <w:rFonts w:ascii="Calibri" w:eastAsiaTheme="minorEastAsia" w:hAnsi="Calibri" w:cs="Calibri"/>
          <w:sz w:val="22"/>
        </w:rPr>
        <w:t>Three-Dimension Principal Component Analysis (3D PCA)</w:t>
      </w:r>
      <w:r>
        <w:rPr>
          <w:rFonts w:ascii="Calibri" w:eastAsiaTheme="minorEastAsia" w:hAnsi="Calibri" w:cs="Calibri"/>
          <w:sz w:val="22"/>
        </w:rPr>
        <w:t xml:space="preserve"> plot (</w:t>
      </w:r>
      <w:r w:rsidRPr="00F64757">
        <w:rPr>
          <w:rFonts w:ascii="Calibri" w:eastAsiaTheme="minorEastAsia" w:hAnsi="Calibri" w:cs="Calibri"/>
          <w:sz w:val="22"/>
        </w:rPr>
        <w:t>PERMANOVA</w:t>
      </w:r>
      <w:r>
        <w:rPr>
          <w:rFonts w:ascii="Calibri" w:eastAsiaTheme="minorEastAsia" w:hAnsi="Calibri" w:cs="Calibri"/>
          <w:sz w:val="22"/>
        </w:rPr>
        <w:t xml:space="preserve">). (C) </w:t>
      </w:r>
      <w:r w:rsidRPr="00522CD5">
        <w:rPr>
          <w:rFonts w:ascii="Calibri" w:eastAsiaTheme="minorEastAsia" w:hAnsi="Calibri" w:cs="Calibri"/>
          <w:sz w:val="22"/>
        </w:rPr>
        <w:t>Principal Coordinates Analysis (PCoA) plot of Bray-Curtis dissimilarity at the ASV level (</w:t>
      </w:r>
      <w:r w:rsidRPr="009C0F71">
        <w:rPr>
          <w:rFonts w:ascii="Calibri" w:eastAsiaTheme="minorEastAsia" w:hAnsi="Calibri" w:cs="Calibri"/>
          <w:sz w:val="22"/>
        </w:rPr>
        <w:t>PERMANOVA</w:t>
      </w:r>
      <w:r w:rsidRPr="00522CD5">
        <w:rPr>
          <w:rFonts w:ascii="Calibri" w:eastAsiaTheme="minorEastAsia" w:hAnsi="Calibri" w:cs="Calibri"/>
          <w:sz w:val="22"/>
        </w:rPr>
        <w:t>)</w:t>
      </w:r>
      <w:r>
        <w:rPr>
          <w:rFonts w:ascii="Calibri" w:eastAsiaTheme="minorEastAsia" w:hAnsi="Calibri" w:cs="Calibri"/>
          <w:sz w:val="22"/>
        </w:rPr>
        <w:t xml:space="preserve">. (D) </w:t>
      </w:r>
      <w:r w:rsidRPr="00A7440A">
        <w:rPr>
          <w:rFonts w:ascii="Calibri" w:eastAsiaTheme="minorEastAsia" w:hAnsi="Calibri" w:cs="Calibri"/>
          <w:sz w:val="22"/>
        </w:rPr>
        <w:t>Gut microbiota composition at the phylum level</w:t>
      </w:r>
      <w:r>
        <w:rPr>
          <w:rFonts w:ascii="Calibri" w:eastAsiaTheme="minorEastAsia" w:hAnsi="Calibri" w:cs="Calibri"/>
          <w:sz w:val="22"/>
        </w:rPr>
        <w:t xml:space="preserve">. (E) </w:t>
      </w:r>
      <w:r w:rsidRPr="0069023D">
        <w:rPr>
          <w:rFonts w:ascii="Calibri" w:eastAsiaTheme="minorEastAsia" w:hAnsi="Calibri" w:cs="Calibri"/>
          <w:sz w:val="22"/>
        </w:rPr>
        <w:t xml:space="preserve">Relative abundance of gut microbiota at the </w:t>
      </w:r>
      <w:r>
        <w:rPr>
          <w:rFonts w:ascii="Calibri" w:eastAsiaTheme="minorEastAsia" w:hAnsi="Calibri" w:cs="Calibri"/>
          <w:sz w:val="22"/>
        </w:rPr>
        <w:t>genus</w:t>
      </w:r>
      <w:r w:rsidRPr="0069023D">
        <w:rPr>
          <w:rFonts w:ascii="Calibri" w:eastAsiaTheme="minorEastAsia" w:hAnsi="Calibri" w:cs="Calibri"/>
          <w:sz w:val="22"/>
        </w:rPr>
        <w:t xml:space="preserve"> level</w:t>
      </w:r>
      <w:r>
        <w:rPr>
          <w:rFonts w:ascii="Calibri" w:eastAsiaTheme="minorEastAsia" w:hAnsi="Calibri" w:cs="Calibri"/>
          <w:sz w:val="22"/>
        </w:rPr>
        <w:t xml:space="preserve">. (F) </w:t>
      </w:r>
      <w:r w:rsidRPr="0069023D">
        <w:rPr>
          <w:rFonts w:ascii="Calibri" w:eastAsiaTheme="minorEastAsia" w:hAnsi="Calibri" w:cs="Calibri"/>
          <w:sz w:val="22"/>
        </w:rPr>
        <w:t xml:space="preserve">Relative abundance of gut microbiota at the </w:t>
      </w:r>
      <w:r>
        <w:rPr>
          <w:rFonts w:ascii="Calibri" w:eastAsiaTheme="minorEastAsia" w:hAnsi="Calibri" w:cs="Calibri"/>
          <w:sz w:val="22"/>
        </w:rPr>
        <w:t>species</w:t>
      </w:r>
      <w:r w:rsidRPr="0069023D">
        <w:rPr>
          <w:rFonts w:ascii="Calibri" w:eastAsiaTheme="minorEastAsia" w:hAnsi="Calibri" w:cs="Calibri"/>
          <w:sz w:val="22"/>
        </w:rPr>
        <w:t xml:space="preserve"> level</w:t>
      </w:r>
      <w:r>
        <w:rPr>
          <w:rFonts w:ascii="Calibri" w:eastAsiaTheme="minorEastAsia" w:hAnsi="Calibri" w:cs="Calibri"/>
          <w:sz w:val="22"/>
        </w:rPr>
        <w:t xml:space="preserve">. (G) </w:t>
      </w:r>
      <w:r w:rsidRPr="00976368">
        <w:rPr>
          <w:rFonts w:ascii="Calibri" w:eastAsiaTheme="minorEastAsia" w:hAnsi="Calibri" w:cs="Calibri"/>
          <w:sz w:val="22"/>
        </w:rPr>
        <w:t>Linear Discriminant Analysis (LDA)</w:t>
      </w:r>
      <w:r>
        <w:rPr>
          <w:rFonts w:ascii="Calibri" w:eastAsiaTheme="minorEastAsia" w:hAnsi="Calibri" w:cs="Calibri"/>
          <w:sz w:val="22"/>
        </w:rPr>
        <w:t xml:space="preserve"> </w:t>
      </w:r>
      <w:r w:rsidRPr="006E4226">
        <w:rPr>
          <w:rFonts w:ascii="Calibri" w:eastAsiaTheme="minorEastAsia" w:hAnsi="Calibri" w:cs="Calibri"/>
          <w:sz w:val="22"/>
        </w:rPr>
        <w:t xml:space="preserve">scores of </w:t>
      </w:r>
      <w:r w:rsidRPr="006E4226">
        <w:rPr>
          <w:rFonts w:ascii="Calibri" w:eastAsiaTheme="minorEastAsia" w:hAnsi="Calibri" w:cs="Calibri"/>
          <w:sz w:val="22"/>
        </w:rPr>
        <w:lastRenderedPageBreak/>
        <w:t>differentially enriched bacterial species identified through LEfSe analysis</w:t>
      </w:r>
      <w:r>
        <w:rPr>
          <w:rFonts w:ascii="Calibri" w:eastAsiaTheme="minorEastAsia" w:hAnsi="Calibri" w:cs="Calibri"/>
          <w:sz w:val="22"/>
        </w:rPr>
        <w:t>, with LDA</w:t>
      </w:r>
      <w:r w:rsidRPr="0069023D">
        <w:rPr>
          <w:rFonts w:ascii="Calibri" w:eastAsiaTheme="minorEastAsia" w:hAnsi="Calibri" w:cs="Calibri"/>
          <w:sz w:val="22"/>
        </w:rPr>
        <w:t xml:space="preserve"> &gt; 3.5 and </w:t>
      </w:r>
      <w:r w:rsidRPr="0069023D">
        <w:rPr>
          <w:rFonts w:ascii="Calibri" w:eastAsiaTheme="minorEastAsia" w:hAnsi="Calibri" w:cs="Calibri"/>
          <w:i/>
          <w:iCs/>
          <w:sz w:val="22"/>
        </w:rPr>
        <w:t>P</w:t>
      </w:r>
      <w:r w:rsidRPr="0069023D">
        <w:rPr>
          <w:rFonts w:ascii="Calibri" w:eastAsiaTheme="minorEastAsia" w:hAnsi="Calibri" w:cs="Calibri"/>
          <w:sz w:val="22"/>
        </w:rPr>
        <w:t xml:space="preserve"> &lt; 0.05</w:t>
      </w:r>
      <w:r w:rsidRPr="006E4226">
        <w:rPr>
          <w:rFonts w:ascii="Calibri" w:eastAsiaTheme="minorEastAsia" w:hAnsi="Calibri" w:cs="Calibri"/>
          <w:sz w:val="22"/>
        </w:rPr>
        <w:t>.</w:t>
      </w:r>
      <w:r>
        <w:rPr>
          <w:rFonts w:ascii="Calibri" w:eastAsiaTheme="minorEastAsia" w:hAnsi="Calibri" w:cs="Calibri"/>
          <w:sz w:val="22"/>
        </w:rPr>
        <w:t xml:space="preserve"> </w:t>
      </w:r>
      <w:r w:rsidRPr="0069023D">
        <w:rPr>
          <w:rFonts w:ascii="Calibri" w:eastAsiaTheme="minorEastAsia" w:hAnsi="Calibri" w:cs="Calibri"/>
          <w:sz w:val="22"/>
        </w:rPr>
        <w:t>(</w:t>
      </w:r>
      <w:r>
        <w:rPr>
          <w:rFonts w:ascii="Calibri" w:eastAsiaTheme="minorEastAsia" w:hAnsi="Calibri" w:cs="Calibri"/>
          <w:sz w:val="22"/>
        </w:rPr>
        <w:t>H</w:t>
      </w:r>
      <w:r w:rsidRPr="0069023D">
        <w:rPr>
          <w:rFonts w:ascii="Calibri" w:eastAsiaTheme="minorEastAsia" w:hAnsi="Calibri" w:cs="Calibri"/>
          <w:sz w:val="22"/>
        </w:rPr>
        <w:t>) Pathway enrichment analysis of significantly altered KEGG</w:t>
      </w:r>
      <w:r>
        <w:rPr>
          <w:rFonts w:ascii="Calibri" w:eastAsiaTheme="minorEastAsia" w:hAnsi="Calibri" w:cs="Calibri"/>
          <w:sz w:val="22"/>
        </w:rPr>
        <w:t xml:space="preserve"> pathways. </w:t>
      </w:r>
      <w:r w:rsidRPr="0069023D">
        <w:rPr>
          <w:rFonts w:ascii="Calibri" w:eastAsiaTheme="minorEastAsia" w:hAnsi="Calibri" w:cs="Calibri"/>
          <w:i/>
          <w:iCs/>
          <w:sz w:val="22"/>
        </w:rPr>
        <w:t>n</w:t>
      </w:r>
      <w:r w:rsidRPr="0069023D">
        <w:rPr>
          <w:rFonts w:ascii="Calibri" w:eastAsiaTheme="minorEastAsia" w:hAnsi="Calibri" w:cs="Calibri"/>
          <w:sz w:val="22"/>
        </w:rPr>
        <w:t xml:space="preserve"> = 10 for each group. Data are presented as mean ± S</w:t>
      </w:r>
      <w:r>
        <w:rPr>
          <w:rFonts w:ascii="Calibri" w:eastAsiaTheme="minorEastAsia" w:hAnsi="Calibri" w:cs="Calibri"/>
          <w:sz w:val="22"/>
        </w:rPr>
        <w:t xml:space="preserve">D. </w:t>
      </w:r>
      <w:r w:rsidRPr="0069023D">
        <w:rPr>
          <w:rFonts w:ascii="Calibri" w:eastAsiaTheme="minorEastAsia" w:hAnsi="Calibri" w:cs="Calibri"/>
          <w:sz w:val="22"/>
        </w:rPr>
        <w:t>***</w:t>
      </w:r>
      <w:r w:rsidRPr="0069023D">
        <w:rPr>
          <w:rFonts w:ascii="Calibri" w:eastAsiaTheme="minorEastAsia" w:hAnsi="Calibri" w:cs="Calibri"/>
          <w:i/>
          <w:iCs/>
          <w:sz w:val="22"/>
        </w:rPr>
        <w:t>P</w:t>
      </w:r>
      <w:r w:rsidRPr="0069023D">
        <w:rPr>
          <w:rFonts w:ascii="Calibri" w:eastAsiaTheme="minorEastAsia" w:hAnsi="Calibri" w:cs="Calibri"/>
          <w:sz w:val="22"/>
        </w:rPr>
        <w:t xml:space="preserve"> &lt; 0.001, </w:t>
      </w:r>
      <w:r w:rsidRPr="00E60200">
        <w:rPr>
          <w:rFonts w:ascii="Calibri" w:eastAsiaTheme="minorEastAsia" w:hAnsi="Calibri" w:cs="Calibri"/>
          <w:sz w:val="22"/>
        </w:rPr>
        <w:t>Mann-Whitney U test</w:t>
      </w:r>
      <w:r w:rsidRPr="0069023D">
        <w:rPr>
          <w:rFonts w:ascii="Calibri" w:eastAsiaTheme="minorEastAsia" w:hAnsi="Calibri" w:cs="Calibri"/>
          <w:sz w:val="22"/>
        </w:rPr>
        <w:t xml:space="preserve"> for (</w:t>
      </w:r>
      <w:r>
        <w:rPr>
          <w:rFonts w:ascii="Calibri" w:eastAsiaTheme="minorEastAsia" w:hAnsi="Calibri" w:cs="Calibri"/>
          <w:sz w:val="22"/>
        </w:rPr>
        <w:t>A</w:t>
      </w:r>
      <w:r w:rsidRPr="0069023D">
        <w:rPr>
          <w:rFonts w:ascii="Calibri" w:eastAsiaTheme="minorEastAsia" w:hAnsi="Calibri" w:cs="Calibri"/>
          <w:sz w:val="22"/>
        </w:rPr>
        <w:t xml:space="preserve">), </w:t>
      </w:r>
      <w:r w:rsidRPr="009C0F71">
        <w:rPr>
          <w:rFonts w:ascii="Calibri" w:eastAsiaTheme="minorEastAsia" w:hAnsi="Calibri" w:cs="Calibri"/>
          <w:sz w:val="22"/>
        </w:rPr>
        <w:t>PERMANOVA</w:t>
      </w:r>
      <w:r>
        <w:rPr>
          <w:rFonts w:ascii="Calibri" w:eastAsiaTheme="minorEastAsia" w:hAnsi="Calibri" w:cs="Calibri"/>
          <w:sz w:val="22"/>
        </w:rPr>
        <w:t xml:space="preserve"> </w:t>
      </w:r>
      <w:r>
        <w:rPr>
          <w:rFonts w:ascii="Calibri" w:eastAsiaTheme="minorEastAsia" w:hAnsi="Calibri" w:cs="Calibri" w:hint="eastAsia"/>
          <w:sz w:val="22"/>
        </w:rPr>
        <w:t>for</w:t>
      </w:r>
      <w:r>
        <w:rPr>
          <w:rFonts w:ascii="Calibri" w:eastAsiaTheme="minorEastAsia" w:hAnsi="Calibri" w:cs="Calibri"/>
          <w:sz w:val="22"/>
        </w:rPr>
        <w:t xml:space="preserve"> (B) and (C), Welch</w:t>
      </w:r>
      <w:r w:rsidRPr="0069023D">
        <w:rPr>
          <w:rFonts w:ascii="Calibri" w:eastAsiaTheme="minorEastAsia" w:hAnsi="Calibri" w:cs="Calibri"/>
          <w:sz w:val="22"/>
        </w:rPr>
        <w:t xml:space="preserve">'s </w:t>
      </w:r>
      <w:r w:rsidRPr="0069023D">
        <w:rPr>
          <w:rFonts w:ascii="Calibri" w:eastAsiaTheme="minorEastAsia" w:hAnsi="Calibri" w:cs="Calibri"/>
          <w:i/>
          <w:iCs/>
          <w:sz w:val="22"/>
        </w:rPr>
        <w:t>t</w:t>
      </w:r>
      <w:r w:rsidRPr="0069023D">
        <w:rPr>
          <w:rFonts w:ascii="Calibri" w:eastAsiaTheme="minorEastAsia" w:hAnsi="Calibri" w:cs="Calibri"/>
          <w:sz w:val="22"/>
        </w:rPr>
        <w:t>-test for (</w:t>
      </w:r>
      <w:r>
        <w:rPr>
          <w:rFonts w:ascii="Calibri" w:eastAsiaTheme="minorEastAsia" w:hAnsi="Calibri" w:cs="Calibri"/>
          <w:sz w:val="22"/>
        </w:rPr>
        <w:t>H</w:t>
      </w:r>
      <w:r w:rsidRPr="0069023D">
        <w:rPr>
          <w:rFonts w:ascii="Calibri" w:eastAsiaTheme="minorEastAsia" w:hAnsi="Calibri" w:cs="Calibri"/>
          <w:sz w:val="22"/>
        </w:rPr>
        <w:t xml:space="preserve">). </w:t>
      </w:r>
      <w:r>
        <w:rPr>
          <w:rFonts w:ascii="Calibri" w:eastAsiaTheme="minorEastAsia" w:hAnsi="Calibri" w:cs="Calibri"/>
          <w:sz w:val="22"/>
        </w:rPr>
        <w:fldChar w:fldCharType="begin"/>
      </w:r>
      <w:r>
        <w:rPr>
          <w:rFonts w:ascii="Calibri" w:eastAsiaTheme="minorEastAsia" w:hAnsi="Calibri" w:cs="Calibri"/>
          <w:sz w:val="22"/>
        </w:rPr>
        <w:instrText xml:space="preserve"> ADDIN </w:instrText>
      </w:r>
      <w:r>
        <w:rPr>
          <w:rFonts w:ascii="Calibri" w:eastAsiaTheme="minorEastAsia" w:hAnsi="Calibri" w:cs="Calibri"/>
          <w:sz w:val="22"/>
        </w:rPr>
        <w:fldChar w:fldCharType="end"/>
      </w:r>
    </w:p>
    <w:p w14:paraId="12C3A3A2" w14:textId="77777777" w:rsidR="00EA45B9" w:rsidRDefault="00EA45B9"/>
    <w:sectPr w:rsidR="00EA45B9" w:rsidSect="004B307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076"/>
    <w:rsid w:val="00426988"/>
    <w:rsid w:val="004B3076"/>
    <w:rsid w:val="00893CAA"/>
    <w:rsid w:val="00936A2E"/>
    <w:rsid w:val="00951B66"/>
    <w:rsid w:val="00EA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E2589"/>
  <w15:chartTrackingRefBased/>
  <w15:docId w15:val="{D8EA3FC9-B6BB-416F-B531-20B365C69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076"/>
    <w:pPr>
      <w:widowControl w:val="0"/>
      <w:spacing w:after="0" w:line="240" w:lineRule="auto"/>
      <w:jc w:val="both"/>
    </w:pPr>
    <w:rPr>
      <w:rFonts w:ascii="Times New Roman" w:eastAsia="Times New Roman" w:hAnsi="Times New Roman"/>
      <w:sz w:val="21"/>
      <w:lang w:eastAsia="zh-CN"/>
      <w14:ligatures w14:val="none"/>
    </w:rPr>
  </w:style>
  <w:style w:type="paragraph" w:styleId="Heading1">
    <w:name w:val="heading 1"/>
    <w:basedOn w:val="Normal"/>
    <w:next w:val="Normal"/>
    <w:link w:val="Heading1Char"/>
    <w:uiPriority w:val="9"/>
    <w:qFormat/>
    <w:rsid w:val="004B3076"/>
    <w:pPr>
      <w:keepNext/>
      <w:keepLines/>
      <w:widowControl/>
      <w:spacing w:before="360" w:after="80" w:line="259" w:lineRule="auto"/>
      <w:jc w:val="left"/>
      <w:outlineLvl w:val="0"/>
    </w:pPr>
    <w:rPr>
      <w:rFonts w:asciiTheme="majorHAnsi" w:eastAsiaTheme="majorEastAsia" w:hAnsiTheme="majorHAnsi" w:cstheme="majorBidi"/>
      <w:color w:val="0F4761" w:themeColor="accent1" w:themeShade="BF"/>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B3076"/>
    <w:pPr>
      <w:keepNext/>
      <w:keepLines/>
      <w:widowControl/>
      <w:spacing w:before="160" w:after="80" w:line="259" w:lineRule="auto"/>
      <w:jc w:val="left"/>
      <w:outlineLvl w:val="1"/>
    </w:pPr>
    <w:rPr>
      <w:rFonts w:asciiTheme="majorHAnsi" w:eastAsiaTheme="majorEastAsia" w:hAnsiTheme="majorHAnsi" w:cstheme="majorBidi"/>
      <w:color w:val="0F4761" w:themeColor="accent1" w:themeShade="BF"/>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B3076"/>
    <w:pPr>
      <w:keepNext/>
      <w:keepLines/>
      <w:widowControl/>
      <w:spacing w:before="160" w:after="80" w:line="259" w:lineRule="auto"/>
      <w:jc w:val="left"/>
      <w:outlineLvl w:val="2"/>
    </w:pPr>
    <w:rPr>
      <w:rFonts w:asciiTheme="minorHAnsi" w:eastAsiaTheme="majorEastAsia" w:hAnsiTheme="minorHAnsi" w:cstheme="majorBidi"/>
      <w:color w:val="0F4761" w:themeColor="accent1" w:themeShade="BF"/>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B3076"/>
    <w:pPr>
      <w:keepNext/>
      <w:keepLines/>
      <w:widowControl/>
      <w:spacing w:before="80" w:after="40" w:line="259" w:lineRule="auto"/>
      <w:jc w:val="left"/>
      <w:outlineLvl w:val="3"/>
    </w:pPr>
    <w:rPr>
      <w:rFonts w:asciiTheme="minorHAnsi" w:eastAsiaTheme="majorEastAsia" w:hAnsiTheme="minorHAnsi" w:cstheme="majorBidi"/>
      <w:i/>
      <w:iCs/>
      <w:color w:val="0F4761" w:themeColor="accent1" w:themeShade="BF"/>
      <w:sz w:val="22"/>
      <w:lang w:eastAsia="en-US"/>
      <w14:ligatures w14:val="standardContextual"/>
    </w:rPr>
  </w:style>
  <w:style w:type="paragraph" w:styleId="Heading5">
    <w:name w:val="heading 5"/>
    <w:basedOn w:val="Normal"/>
    <w:next w:val="Normal"/>
    <w:link w:val="Heading5Char"/>
    <w:uiPriority w:val="9"/>
    <w:semiHidden/>
    <w:unhideWhenUsed/>
    <w:qFormat/>
    <w:rsid w:val="004B3076"/>
    <w:pPr>
      <w:keepNext/>
      <w:keepLines/>
      <w:widowControl/>
      <w:spacing w:before="80" w:after="40" w:line="259" w:lineRule="auto"/>
      <w:jc w:val="left"/>
      <w:outlineLvl w:val="4"/>
    </w:pPr>
    <w:rPr>
      <w:rFonts w:asciiTheme="minorHAnsi" w:eastAsiaTheme="majorEastAsia" w:hAnsiTheme="minorHAnsi" w:cstheme="majorBidi"/>
      <w:color w:val="0F4761" w:themeColor="accent1" w:themeShade="BF"/>
      <w:sz w:val="22"/>
      <w:lang w:eastAsia="en-US"/>
      <w14:ligatures w14:val="standardContextual"/>
    </w:rPr>
  </w:style>
  <w:style w:type="paragraph" w:styleId="Heading6">
    <w:name w:val="heading 6"/>
    <w:basedOn w:val="Normal"/>
    <w:next w:val="Normal"/>
    <w:link w:val="Heading6Char"/>
    <w:uiPriority w:val="9"/>
    <w:semiHidden/>
    <w:unhideWhenUsed/>
    <w:qFormat/>
    <w:rsid w:val="004B3076"/>
    <w:pPr>
      <w:keepNext/>
      <w:keepLines/>
      <w:widowControl/>
      <w:spacing w:before="40" w:line="259" w:lineRule="auto"/>
      <w:jc w:val="left"/>
      <w:outlineLvl w:val="5"/>
    </w:pPr>
    <w:rPr>
      <w:rFonts w:asciiTheme="minorHAnsi" w:eastAsiaTheme="majorEastAsia" w:hAnsiTheme="minorHAnsi" w:cstheme="majorBidi"/>
      <w:i/>
      <w:iCs/>
      <w:color w:val="595959" w:themeColor="text1" w:themeTint="A6"/>
      <w:sz w:val="22"/>
      <w:lang w:eastAsia="en-US"/>
      <w14:ligatures w14:val="standardContextual"/>
    </w:rPr>
  </w:style>
  <w:style w:type="paragraph" w:styleId="Heading7">
    <w:name w:val="heading 7"/>
    <w:basedOn w:val="Normal"/>
    <w:next w:val="Normal"/>
    <w:link w:val="Heading7Char"/>
    <w:uiPriority w:val="9"/>
    <w:semiHidden/>
    <w:unhideWhenUsed/>
    <w:qFormat/>
    <w:rsid w:val="004B3076"/>
    <w:pPr>
      <w:keepNext/>
      <w:keepLines/>
      <w:widowControl/>
      <w:spacing w:before="40" w:line="259" w:lineRule="auto"/>
      <w:jc w:val="left"/>
      <w:outlineLvl w:val="6"/>
    </w:pPr>
    <w:rPr>
      <w:rFonts w:asciiTheme="minorHAnsi" w:eastAsiaTheme="majorEastAsia" w:hAnsiTheme="minorHAnsi" w:cstheme="majorBidi"/>
      <w:color w:val="595959" w:themeColor="text1" w:themeTint="A6"/>
      <w:sz w:val="22"/>
      <w:lang w:eastAsia="en-US"/>
      <w14:ligatures w14:val="standardContextual"/>
    </w:rPr>
  </w:style>
  <w:style w:type="paragraph" w:styleId="Heading8">
    <w:name w:val="heading 8"/>
    <w:basedOn w:val="Normal"/>
    <w:next w:val="Normal"/>
    <w:link w:val="Heading8Char"/>
    <w:uiPriority w:val="9"/>
    <w:semiHidden/>
    <w:unhideWhenUsed/>
    <w:qFormat/>
    <w:rsid w:val="004B3076"/>
    <w:pPr>
      <w:keepNext/>
      <w:keepLines/>
      <w:widowControl/>
      <w:spacing w:line="259" w:lineRule="auto"/>
      <w:jc w:val="left"/>
      <w:outlineLvl w:val="7"/>
    </w:pPr>
    <w:rPr>
      <w:rFonts w:asciiTheme="minorHAnsi" w:eastAsiaTheme="majorEastAsia" w:hAnsiTheme="minorHAnsi" w:cstheme="majorBidi"/>
      <w:i/>
      <w:iCs/>
      <w:color w:val="272727" w:themeColor="text1" w:themeTint="D8"/>
      <w:sz w:val="22"/>
      <w:lang w:eastAsia="en-US"/>
      <w14:ligatures w14:val="standardContextual"/>
    </w:rPr>
  </w:style>
  <w:style w:type="paragraph" w:styleId="Heading9">
    <w:name w:val="heading 9"/>
    <w:basedOn w:val="Normal"/>
    <w:next w:val="Normal"/>
    <w:link w:val="Heading9Char"/>
    <w:uiPriority w:val="9"/>
    <w:semiHidden/>
    <w:unhideWhenUsed/>
    <w:qFormat/>
    <w:rsid w:val="004B3076"/>
    <w:pPr>
      <w:keepNext/>
      <w:keepLines/>
      <w:widowControl/>
      <w:spacing w:line="259" w:lineRule="auto"/>
      <w:jc w:val="left"/>
      <w:outlineLvl w:val="8"/>
    </w:pPr>
    <w:rPr>
      <w:rFonts w:asciiTheme="minorHAnsi" w:eastAsiaTheme="majorEastAsia" w:hAnsiTheme="minorHAnsi" w:cstheme="majorBidi"/>
      <w:color w:val="272727" w:themeColor="text1" w:themeTint="D8"/>
      <w:sz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30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30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30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30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30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30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30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30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3076"/>
    <w:rPr>
      <w:rFonts w:eastAsiaTheme="majorEastAsia" w:cstheme="majorBidi"/>
      <w:color w:val="272727" w:themeColor="text1" w:themeTint="D8"/>
    </w:rPr>
  </w:style>
  <w:style w:type="paragraph" w:styleId="Title">
    <w:name w:val="Title"/>
    <w:basedOn w:val="Normal"/>
    <w:next w:val="Normal"/>
    <w:link w:val="TitleChar"/>
    <w:uiPriority w:val="10"/>
    <w:qFormat/>
    <w:rsid w:val="004B3076"/>
    <w:pPr>
      <w:widowControl/>
      <w:spacing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B30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3076"/>
    <w:pPr>
      <w:widowControl/>
      <w:numPr>
        <w:ilvl w:val="1"/>
      </w:numPr>
      <w:spacing w:after="160" w:line="259" w:lineRule="auto"/>
      <w:jc w:val="left"/>
    </w:pPr>
    <w:rPr>
      <w:rFonts w:asciiTheme="minorHAnsi" w:eastAsiaTheme="majorEastAsia" w:hAnsiTheme="minorHAnsi" w:cstheme="majorBidi"/>
      <w:color w:val="595959" w:themeColor="text1" w:themeTint="A6"/>
      <w:spacing w:val="15"/>
      <w:sz w:val="28"/>
      <w:szCs w:val="28"/>
      <w:lang w:eastAsia="en-US"/>
      <w14:ligatures w14:val="standardContextual"/>
    </w:rPr>
  </w:style>
  <w:style w:type="character" w:customStyle="1" w:styleId="SubtitleChar">
    <w:name w:val="Subtitle Char"/>
    <w:basedOn w:val="DefaultParagraphFont"/>
    <w:link w:val="Subtitle"/>
    <w:uiPriority w:val="11"/>
    <w:rsid w:val="004B30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3076"/>
    <w:pPr>
      <w:widowControl/>
      <w:spacing w:before="160" w:after="160" w:line="259" w:lineRule="auto"/>
      <w:jc w:val="center"/>
    </w:pPr>
    <w:rPr>
      <w:rFonts w:asciiTheme="minorHAnsi" w:eastAsiaTheme="minorHAnsi" w:hAnsiTheme="minorHAnsi"/>
      <w:i/>
      <w:iCs/>
      <w:color w:val="404040" w:themeColor="text1" w:themeTint="BF"/>
      <w:sz w:val="22"/>
      <w:lang w:eastAsia="en-US"/>
      <w14:ligatures w14:val="standardContextual"/>
    </w:rPr>
  </w:style>
  <w:style w:type="character" w:customStyle="1" w:styleId="QuoteChar">
    <w:name w:val="Quote Char"/>
    <w:basedOn w:val="DefaultParagraphFont"/>
    <w:link w:val="Quote"/>
    <w:uiPriority w:val="29"/>
    <w:rsid w:val="004B3076"/>
    <w:rPr>
      <w:i/>
      <w:iCs/>
      <w:color w:val="404040" w:themeColor="text1" w:themeTint="BF"/>
    </w:rPr>
  </w:style>
  <w:style w:type="paragraph" w:styleId="ListParagraph">
    <w:name w:val="List Paragraph"/>
    <w:basedOn w:val="Normal"/>
    <w:uiPriority w:val="34"/>
    <w:qFormat/>
    <w:rsid w:val="004B3076"/>
    <w:pPr>
      <w:widowControl/>
      <w:spacing w:after="160" w:line="259" w:lineRule="auto"/>
      <w:ind w:left="720"/>
      <w:contextualSpacing/>
      <w:jc w:val="left"/>
    </w:pPr>
    <w:rPr>
      <w:rFonts w:asciiTheme="minorHAnsi" w:eastAsiaTheme="minorHAnsi" w:hAnsiTheme="minorHAnsi"/>
      <w:sz w:val="22"/>
      <w:lang w:eastAsia="en-US"/>
      <w14:ligatures w14:val="standardContextual"/>
    </w:rPr>
  </w:style>
  <w:style w:type="character" w:styleId="IntenseEmphasis">
    <w:name w:val="Intense Emphasis"/>
    <w:basedOn w:val="DefaultParagraphFont"/>
    <w:uiPriority w:val="21"/>
    <w:qFormat/>
    <w:rsid w:val="004B3076"/>
    <w:rPr>
      <w:i/>
      <w:iCs/>
      <w:color w:val="0F4761" w:themeColor="accent1" w:themeShade="BF"/>
    </w:rPr>
  </w:style>
  <w:style w:type="paragraph" w:styleId="IntenseQuote">
    <w:name w:val="Intense Quote"/>
    <w:basedOn w:val="Normal"/>
    <w:next w:val="Normal"/>
    <w:link w:val="IntenseQuoteChar"/>
    <w:uiPriority w:val="30"/>
    <w:qFormat/>
    <w:rsid w:val="004B3076"/>
    <w:pPr>
      <w:widowControl/>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i/>
      <w:iCs/>
      <w:color w:val="0F4761" w:themeColor="accent1" w:themeShade="BF"/>
      <w:sz w:val="22"/>
      <w:lang w:eastAsia="en-US"/>
      <w14:ligatures w14:val="standardContextual"/>
    </w:rPr>
  </w:style>
  <w:style w:type="character" w:customStyle="1" w:styleId="IntenseQuoteChar">
    <w:name w:val="Intense Quote Char"/>
    <w:basedOn w:val="DefaultParagraphFont"/>
    <w:link w:val="IntenseQuote"/>
    <w:uiPriority w:val="30"/>
    <w:rsid w:val="004B3076"/>
    <w:rPr>
      <w:i/>
      <w:iCs/>
      <w:color w:val="0F4761" w:themeColor="accent1" w:themeShade="BF"/>
    </w:rPr>
  </w:style>
  <w:style w:type="character" w:styleId="IntenseReference">
    <w:name w:val="Intense Reference"/>
    <w:basedOn w:val="DefaultParagraphFont"/>
    <w:uiPriority w:val="32"/>
    <w:qFormat/>
    <w:rsid w:val="004B307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376</Words>
  <Characters>2146</Characters>
  <Application>Microsoft Office Word</Application>
  <DocSecurity>0</DocSecurity>
  <Lines>17</Lines>
  <Paragraphs>5</Paragraphs>
  <ScaleCrop>false</ScaleCrop>
  <Company>Springer Nature</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Anoop B</dc:creator>
  <cp:keywords/>
  <dc:description/>
  <cp:lastModifiedBy>Anoop B</cp:lastModifiedBy>
  <cp:revision>2</cp:revision>
  <dcterms:created xsi:type="dcterms:W3CDTF">2025-01-24T15:31:00Z</dcterms:created>
  <dcterms:modified xsi:type="dcterms:W3CDTF">2025-01-24T15:34:00Z</dcterms:modified>
</cp:coreProperties>
</file>