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2FB730" w14:textId="38998E8B" w:rsidR="00DB6197" w:rsidRPr="00134782" w:rsidRDefault="00B050C0" w:rsidP="00DB6197">
      <w:pPr>
        <w:rPr>
          <w:rFonts w:ascii="Times New Roman" w:eastAsia="PMingLiU" w:hAnsi="Times New Roman" w:cs="Times New Roman"/>
          <w:b/>
          <w:bCs/>
        </w:rPr>
      </w:pPr>
      <w:r w:rsidRPr="00134782">
        <w:rPr>
          <w:rFonts w:ascii="Times New Roman" w:eastAsia="PMingLiU" w:hAnsi="Times New Roman" w:cs="Times New Roman"/>
          <w:b/>
          <w:bCs/>
          <w:noProof/>
        </w:rPr>
        <w:drawing>
          <wp:inline distT="0" distB="0" distL="0" distR="0" wp14:anchorId="720BBF7E" wp14:editId="14FFE8FA">
            <wp:extent cx="5724525" cy="5000625"/>
            <wp:effectExtent l="0" t="0" r="9525" b="9525"/>
            <wp:docPr id="7995856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500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35A11" w14:textId="7110D044" w:rsidR="00DB6197" w:rsidRPr="00134782" w:rsidRDefault="00DB6197" w:rsidP="00DB6197">
      <w:pPr>
        <w:rPr>
          <w:rFonts w:ascii="Times New Roman" w:eastAsia="PMingLiU" w:hAnsi="Times New Roman" w:cs="Times New Roman"/>
          <w:lang w:eastAsia="zh-HK"/>
        </w:rPr>
      </w:pPr>
      <w:r w:rsidRPr="00134782">
        <w:rPr>
          <w:rFonts w:ascii="Times New Roman" w:eastAsia="PMingLiU" w:hAnsi="Times New Roman" w:cs="Times New Roman"/>
          <w:b/>
          <w:bCs/>
        </w:rPr>
        <w:t xml:space="preserve">Fig. S1 </w:t>
      </w:r>
      <w:r w:rsidRPr="00134782">
        <w:rPr>
          <w:rFonts w:ascii="Times New Roman" w:eastAsia="PMingLiU" w:hAnsi="Times New Roman" w:cs="Times New Roman"/>
          <w:b/>
          <w:bCs/>
        </w:rPr>
        <w:br/>
        <w:t xml:space="preserve">sCD22 promotes neuroinflammation </w:t>
      </w:r>
      <w:r w:rsidRPr="00134782">
        <w:rPr>
          <w:rFonts w:ascii="Times New Roman" w:eastAsia="PMingLiU" w:hAnsi="Times New Roman" w:cs="Times New Roman"/>
          <w:b/>
          <w:bCs/>
          <w:i/>
          <w:iCs/>
        </w:rPr>
        <w:t>in vivo</w:t>
      </w:r>
      <w:r w:rsidRPr="00134782">
        <w:rPr>
          <w:rFonts w:ascii="Times New Roman" w:eastAsia="PMingLiU" w:hAnsi="Times New Roman" w:cs="Times New Roman"/>
          <w:b/>
          <w:bCs/>
        </w:rPr>
        <w:t xml:space="preserve">. A </w:t>
      </w:r>
      <w:r w:rsidRPr="00134782">
        <w:rPr>
          <w:rFonts w:ascii="Times New Roman" w:eastAsia="PMingLiU" w:hAnsi="Times New Roman" w:cs="Times New Roman"/>
        </w:rPr>
        <w:t xml:space="preserve">Principal component analysis showing sCD22 treated hippocampus versus control hippocampus. N=3. </w:t>
      </w:r>
      <w:r w:rsidRPr="00134782">
        <w:rPr>
          <w:rFonts w:ascii="Times New Roman" w:eastAsia="PMingLiU" w:hAnsi="Times New Roman" w:cs="Times New Roman"/>
          <w:b/>
          <w:bCs/>
        </w:rPr>
        <w:t>B</w:t>
      </w:r>
      <w:r w:rsidRPr="00134782">
        <w:rPr>
          <w:rFonts w:ascii="Times New Roman" w:eastAsia="PMingLiU" w:hAnsi="Times New Roman" w:cs="Times New Roman"/>
        </w:rPr>
        <w:t xml:space="preserve"> Volcano plot of sCD22-treated mouse hippocampus after 3 days</w:t>
      </w:r>
      <w:r w:rsidR="00134782">
        <w:rPr>
          <w:rFonts w:ascii="Times New Roman" w:eastAsia="PMingLiU" w:hAnsi="Times New Roman" w:cs="Times New Roman"/>
        </w:rPr>
        <w:t xml:space="preserve"> of sCD22</w:t>
      </w:r>
      <w:r w:rsidRPr="00134782">
        <w:rPr>
          <w:rFonts w:ascii="Times New Roman" w:eastAsia="PMingLiU" w:hAnsi="Times New Roman" w:cs="Times New Roman"/>
        </w:rPr>
        <w:t xml:space="preserve"> treatment. N=3. </w:t>
      </w:r>
      <w:r w:rsidRPr="00134782">
        <w:rPr>
          <w:rFonts w:ascii="Times New Roman" w:eastAsia="PMingLiU" w:hAnsi="Times New Roman" w:cs="Times New Roman"/>
          <w:b/>
          <w:bCs/>
        </w:rPr>
        <w:t>C</w:t>
      </w:r>
      <w:r w:rsidRPr="00134782">
        <w:rPr>
          <w:rFonts w:ascii="Times New Roman" w:eastAsia="PMingLiU" w:hAnsi="Times New Roman" w:cs="Times New Roman"/>
        </w:rPr>
        <w:t xml:space="preserve"> Heatmap sho</w:t>
      </w:r>
      <w:r w:rsidR="00296D77" w:rsidRPr="00134782">
        <w:rPr>
          <w:rFonts w:ascii="Times New Roman" w:eastAsia="PMingLiU" w:hAnsi="Times New Roman" w:cs="Times New Roman"/>
        </w:rPr>
        <w:t>wing the</w:t>
      </w:r>
      <w:r w:rsidRPr="00134782">
        <w:rPr>
          <w:rFonts w:ascii="Times New Roman" w:eastAsia="PMingLiU" w:hAnsi="Times New Roman" w:cs="Times New Roman"/>
        </w:rPr>
        <w:t xml:space="preserve"> </w:t>
      </w:r>
      <w:r w:rsidR="00296D77" w:rsidRPr="002113F9">
        <w:rPr>
          <w:rFonts w:ascii="Times New Roman" w:eastAsia="PMingLiU" w:hAnsi="Times New Roman" w:cs="Times New Roman"/>
        </w:rPr>
        <w:t>co</w:t>
      </w:r>
      <w:r w:rsidR="00296D77" w:rsidRPr="00134782">
        <w:rPr>
          <w:rFonts w:ascii="Times New Roman" w:eastAsia="PMingLiU" w:hAnsi="Times New Roman" w:cs="Times New Roman"/>
        </w:rPr>
        <w:t xml:space="preserve">rtical </w:t>
      </w:r>
      <w:r w:rsidR="00134782">
        <w:rPr>
          <w:rFonts w:ascii="Times New Roman" w:eastAsia="PMingLiU" w:hAnsi="Times New Roman" w:cs="Times New Roman"/>
        </w:rPr>
        <w:t xml:space="preserve">differential expressed </w:t>
      </w:r>
      <w:r w:rsidRPr="00134782">
        <w:rPr>
          <w:rFonts w:ascii="Times New Roman" w:eastAsia="PMingLiU" w:hAnsi="Times New Roman" w:cs="Times New Roman"/>
        </w:rPr>
        <w:t xml:space="preserve">inflammatory gene </w:t>
      </w:r>
      <w:r w:rsidR="00134782">
        <w:rPr>
          <w:rFonts w:ascii="Times New Roman" w:eastAsia="PMingLiU" w:hAnsi="Times New Roman" w:cs="Times New Roman"/>
        </w:rPr>
        <w:t>list</w:t>
      </w:r>
      <w:r w:rsidR="00296D77" w:rsidRPr="00134782">
        <w:rPr>
          <w:rFonts w:ascii="Times New Roman" w:eastAsia="PMingLiU" w:hAnsi="Times New Roman" w:cs="Times New Roman"/>
        </w:rPr>
        <w:t xml:space="preserve"> </w:t>
      </w:r>
      <w:r w:rsidRPr="00134782">
        <w:rPr>
          <w:rFonts w:ascii="Times New Roman" w:eastAsia="PMingLiU" w:hAnsi="Times New Roman" w:cs="Times New Roman"/>
        </w:rPr>
        <w:t xml:space="preserve">in mouse hippocampus treated with sCD22. </w:t>
      </w:r>
      <w:r w:rsidRPr="00134782">
        <w:rPr>
          <w:rFonts w:ascii="Times New Roman" w:eastAsia="PMingLiU" w:hAnsi="Times New Roman" w:cs="Times New Roman"/>
          <w:b/>
          <w:bCs/>
        </w:rPr>
        <w:t>D</w:t>
      </w:r>
      <w:r w:rsidRPr="00134782">
        <w:rPr>
          <w:rFonts w:ascii="Times New Roman" w:eastAsia="PMingLiU" w:hAnsi="Times New Roman" w:cs="Times New Roman"/>
          <w:lang w:eastAsia="zh-HK"/>
        </w:rPr>
        <w:t xml:space="preserve"> GSEA showing positive enrichment of inflammatory response, interferon gamma response, interferon alpha response and complement activation of mouse cortex after 7 days </w:t>
      </w:r>
      <w:r w:rsidR="00134782">
        <w:rPr>
          <w:rFonts w:ascii="Times New Roman" w:eastAsia="PMingLiU" w:hAnsi="Times New Roman" w:cs="Times New Roman"/>
          <w:lang w:eastAsia="zh-HK"/>
        </w:rPr>
        <w:t xml:space="preserve">of sCD22 </w:t>
      </w:r>
      <w:r w:rsidRPr="00134782">
        <w:rPr>
          <w:rFonts w:ascii="Times New Roman" w:eastAsia="PMingLiU" w:hAnsi="Times New Roman" w:cs="Times New Roman"/>
          <w:lang w:eastAsia="zh-HK"/>
        </w:rPr>
        <w:t xml:space="preserve">treatment relative to Control group. </w:t>
      </w:r>
      <w:r w:rsidRPr="00134782">
        <w:rPr>
          <w:rFonts w:ascii="Times New Roman" w:eastAsia="PMingLiU" w:hAnsi="Times New Roman" w:cs="Times New Roman"/>
          <w:b/>
          <w:bCs/>
          <w:lang w:eastAsia="zh-HK"/>
        </w:rPr>
        <w:t>E</w:t>
      </w:r>
      <w:r w:rsidRPr="00134782">
        <w:rPr>
          <w:rFonts w:ascii="Times New Roman" w:eastAsia="PMingLiU" w:hAnsi="Times New Roman" w:cs="Times New Roman"/>
          <w:lang w:eastAsia="zh-HK"/>
        </w:rPr>
        <w:t xml:space="preserve"> GSEA showing </w:t>
      </w:r>
      <w:r w:rsidR="00296D77" w:rsidRPr="00134782">
        <w:rPr>
          <w:rFonts w:ascii="Times New Roman" w:eastAsia="PMingLiU" w:hAnsi="Times New Roman" w:cs="Times New Roman"/>
          <w:lang w:eastAsia="zh-HK"/>
        </w:rPr>
        <w:t>negative</w:t>
      </w:r>
      <w:r w:rsidRPr="00134782">
        <w:rPr>
          <w:rFonts w:ascii="Times New Roman" w:eastAsia="PMingLiU" w:hAnsi="Times New Roman" w:cs="Times New Roman"/>
          <w:lang w:eastAsia="zh-HK"/>
        </w:rPr>
        <w:t xml:space="preserve"> enrichment of PI3K/AKT/MTOR signaling and MTORC1 </w:t>
      </w:r>
      <w:r w:rsidR="006B2CCE" w:rsidRPr="00134782">
        <w:rPr>
          <w:rFonts w:ascii="Times New Roman" w:eastAsia="PMingLiU" w:hAnsi="Times New Roman" w:cs="Times New Roman"/>
          <w:lang w:eastAsia="zh-HK"/>
        </w:rPr>
        <w:t>signaling</w:t>
      </w:r>
      <w:r w:rsidRPr="00134782">
        <w:rPr>
          <w:rFonts w:ascii="Times New Roman" w:eastAsia="PMingLiU" w:hAnsi="Times New Roman" w:cs="Times New Roman"/>
          <w:lang w:eastAsia="zh-HK"/>
        </w:rPr>
        <w:t xml:space="preserve"> of mouse cortex after 7 days </w:t>
      </w:r>
      <w:r w:rsidR="00134782">
        <w:rPr>
          <w:rFonts w:ascii="Times New Roman" w:eastAsia="PMingLiU" w:hAnsi="Times New Roman" w:cs="Times New Roman"/>
          <w:lang w:eastAsia="zh-HK"/>
        </w:rPr>
        <w:t xml:space="preserve">of sCD22 </w:t>
      </w:r>
      <w:r w:rsidRPr="00134782">
        <w:rPr>
          <w:rFonts w:ascii="Times New Roman" w:eastAsia="PMingLiU" w:hAnsi="Times New Roman" w:cs="Times New Roman"/>
          <w:lang w:eastAsia="zh-HK"/>
        </w:rPr>
        <w:t>treatment relative to Control group.</w:t>
      </w:r>
      <w:r w:rsidR="00B050C0" w:rsidRPr="00134782">
        <w:rPr>
          <w:rFonts w:ascii="Times New Roman" w:eastAsia="PMingLiU" w:hAnsi="Times New Roman" w:cs="Times New Roman"/>
          <w:lang w:eastAsia="zh-HK"/>
        </w:rPr>
        <w:t xml:space="preserve"> </w:t>
      </w:r>
      <w:r w:rsidR="00B050C0" w:rsidRPr="00134782">
        <w:rPr>
          <w:rFonts w:ascii="Times New Roman" w:eastAsia="PMingLiU" w:hAnsi="Times New Roman" w:cs="Times New Roman"/>
          <w:b/>
          <w:bCs/>
          <w:lang w:eastAsia="zh-HK"/>
        </w:rPr>
        <w:t>F</w:t>
      </w:r>
      <w:r w:rsidR="00B050C0" w:rsidRPr="00134782">
        <w:rPr>
          <w:rFonts w:ascii="Times New Roman" w:eastAsia="PMingLiU" w:hAnsi="Times New Roman" w:cs="Times New Roman"/>
          <w:lang w:eastAsia="zh-HK"/>
        </w:rPr>
        <w:t xml:space="preserve"> I</w:t>
      </w:r>
      <w:r w:rsidR="00B050C0" w:rsidRPr="00134782">
        <w:rPr>
          <w:rFonts w:ascii="Times New Roman" w:hAnsi="Times New Roman" w:cs="Times New Roman"/>
        </w:rPr>
        <w:t>mmunostaining with anti-P2RY12</w:t>
      </w:r>
      <w:r w:rsidR="001630CB" w:rsidRPr="00134782">
        <w:rPr>
          <w:rFonts w:ascii="Times New Roman" w:hAnsi="Times New Roman" w:cs="Times New Roman"/>
        </w:rPr>
        <w:t xml:space="preserve"> </w:t>
      </w:r>
      <w:r w:rsidR="00B050C0" w:rsidRPr="00134782">
        <w:rPr>
          <w:rFonts w:ascii="Times New Roman" w:hAnsi="Times New Roman" w:cs="Times New Roman"/>
        </w:rPr>
        <w:t>antibody</w:t>
      </w:r>
      <w:r w:rsidR="001630CB" w:rsidRPr="00134782">
        <w:rPr>
          <w:rFonts w:ascii="Times New Roman" w:hAnsi="Times New Roman" w:cs="Times New Roman"/>
        </w:rPr>
        <w:t>, resident microglia surface marker,</w:t>
      </w:r>
      <w:r w:rsidR="00B050C0" w:rsidRPr="00134782">
        <w:rPr>
          <w:rFonts w:ascii="Times New Roman" w:hAnsi="Times New Roman" w:cs="Times New Roman"/>
        </w:rPr>
        <w:t xml:space="preserve"> in MDMi.</w:t>
      </w:r>
    </w:p>
    <w:p w14:paraId="4AF32FC4" w14:textId="77777777" w:rsidR="00DB6197" w:rsidRPr="00134782" w:rsidRDefault="00DB6197" w:rsidP="00DB6197">
      <w:pPr>
        <w:rPr>
          <w:rFonts w:ascii="Times New Roman" w:eastAsia="PMingLiU" w:hAnsi="Times New Roman" w:cs="Times New Roman"/>
          <w:lang w:eastAsia="zh-HK"/>
        </w:rPr>
      </w:pPr>
    </w:p>
    <w:p w14:paraId="6E7C5A20" w14:textId="77777777" w:rsidR="00DB6197" w:rsidRPr="00134782" w:rsidRDefault="00DB6197" w:rsidP="00DB6197">
      <w:pPr>
        <w:rPr>
          <w:rFonts w:ascii="Times New Roman" w:eastAsia="PMingLiU" w:hAnsi="Times New Roman" w:cs="Times New Roman"/>
          <w:lang w:eastAsia="zh-HK"/>
        </w:rPr>
      </w:pPr>
      <w:r w:rsidRPr="00134782">
        <w:rPr>
          <w:rFonts w:ascii="Times New Roman" w:eastAsia="PMingLiU" w:hAnsi="Times New Roman" w:cs="Times New Roman"/>
          <w:lang w:eastAsia="zh-HK"/>
        </w:rPr>
        <w:br w:type="page"/>
      </w:r>
    </w:p>
    <w:p w14:paraId="339A7B5B" w14:textId="2D12A316" w:rsidR="00DB6197" w:rsidRPr="00134782" w:rsidRDefault="00296D77" w:rsidP="00DB6197">
      <w:pPr>
        <w:rPr>
          <w:rFonts w:ascii="Times New Roman" w:hAnsi="Times New Roman" w:cs="Times New Roman"/>
        </w:rPr>
      </w:pPr>
      <w:r w:rsidRPr="00134782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4C02A25" wp14:editId="7B45A5B4">
            <wp:extent cx="5725160" cy="3691890"/>
            <wp:effectExtent l="0" t="0" r="8890" b="3810"/>
            <wp:docPr id="71569556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369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B241B" w14:textId="1B2AA99C" w:rsidR="00DB6197" w:rsidRPr="00134782" w:rsidRDefault="00DB6197" w:rsidP="00DB6197">
      <w:pPr>
        <w:rPr>
          <w:rFonts w:ascii="Times New Roman" w:eastAsia="PMingLiU" w:hAnsi="Times New Roman" w:cs="Times New Roman"/>
        </w:rPr>
      </w:pPr>
      <w:r w:rsidRPr="00134782">
        <w:rPr>
          <w:rFonts w:ascii="Times New Roman" w:eastAsia="PMingLiU" w:hAnsi="Times New Roman" w:cs="Times New Roman"/>
          <w:b/>
          <w:bCs/>
        </w:rPr>
        <w:t xml:space="preserve">Fig. S2 </w:t>
      </w:r>
      <w:r w:rsidRPr="00134782">
        <w:rPr>
          <w:rFonts w:ascii="Times New Roman" w:eastAsia="PMingLiU" w:hAnsi="Times New Roman" w:cs="Times New Roman"/>
          <w:b/>
          <w:bCs/>
        </w:rPr>
        <w:br/>
        <w:t xml:space="preserve">sCD22 promotes inflammation in MDMi </w:t>
      </w:r>
      <w:r w:rsidRPr="00134782">
        <w:rPr>
          <w:rFonts w:ascii="Times New Roman" w:eastAsia="PMingLiU" w:hAnsi="Times New Roman" w:cs="Times New Roman"/>
          <w:b/>
          <w:bCs/>
          <w:i/>
          <w:iCs/>
        </w:rPr>
        <w:t xml:space="preserve">in vitro. </w:t>
      </w:r>
      <w:r w:rsidRPr="00134782">
        <w:rPr>
          <w:rFonts w:ascii="Times New Roman" w:eastAsia="PMingLiU" w:hAnsi="Times New Roman" w:cs="Times New Roman"/>
        </w:rPr>
        <w:t xml:space="preserve">GSEA showing positive enrichment of IL6/JAK/STAT3 signaling, TNFα Signaling via NFκB, interferon gamma response, inflammatory response and complement activation of MDMi after sCD22 treatment relative to Control group. </w:t>
      </w:r>
    </w:p>
    <w:p w14:paraId="4B291CC2" w14:textId="03411EC3" w:rsidR="00B050C0" w:rsidRPr="00134782" w:rsidRDefault="00B050C0">
      <w:pPr>
        <w:spacing w:line="278" w:lineRule="auto"/>
        <w:rPr>
          <w:rFonts w:ascii="Times New Roman" w:eastAsia="PMingLiU" w:hAnsi="Times New Roman" w:cs="Times New Roman"/>
        </w:rPr>
      </w:pPr>
      <w:r w:rsidRPr="00134782">
        <w:rPr>
          <w:rFonts w:ascii="Times New Roman" w:eastAsia="PMingLiU" w:hAnsi="Times New Roman" w:cs="Times New Roman"/>
        </w:rPr>
        <w:br w:type="page"/>
      </w:r>
    </w:p>
    <w:p w14:paraId="709E824A" w14:textId="3026F9B6" w:rsidR="00296D77" w:rsidRPr="00134782" w:rsidRDefault="00296D77" w:rsidP="008F581E">
      <w:pPr>
        <w:jc w:val="center"/>
        <w:rPr>
          <w:rFonts w:ascii="Times New Roman" w:eastAsia="PMingLiU" w:hAnsi="Times New Roman" w:cs="Times New Roman"/>
          <w:b/>
          <w:bCs/>
        </w:rPr>
      </w:pPr>
      <w:r w:rsidRPr="00134782">
        <w:rPr>
          <w:rFonts w:ascii="Times New Roman" w:eastAsia="PMingLiU" w:hAnsi="Times New Roman" w:cs="Times New Roman"/>
          <w:b/>
          <w:bCs/>
          <w:noProof/>
        </w:rPr>
        <w:lastRenderedPageBreak/>
        <w:drawing>
          <wp:inline distT="0" distB="0" distL="0" distR="0" wp14:anchorId="4A2A8530" wp14:editId="26FC4502">
            <wp:extent cx="4517390" cy="5145405"/>
            <wp:effectExtent l="0" t="0" r="0" b="0"/>
            <wp:docPr id="18274915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7390" cy="514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0A95A" w14:textId="77795182" w:rsidR="00296D77" w:rsidRPr="008F581E" w:rsidRDefault="00296D77" w:rsidP="00296D77">
      <w:pPr>
        <w:pStyle w:val="Acknowledgement"/>
        <w:ind w:left="0" w:firstLine="0"/>
        <w:rPr>
          <w:b/>
          <w:bCs/>
          <w:sz w:val="22"/>
          <w:szCs w:val="22"/>
        </w:rPr>
      </w:pPr>
      <w:r w:rsidRPr="008F581E">
        <w:rPr>
          <w:b/>
          <w:bCs/>
          <w:sz w:val="22"/>
          <w:szCs w:val="22"/>
        </w:rPr>
        <w:t xml:space="preserve">Fig. S3 </w:t>
      </w:r>
    </w:p>
    <w:p w14:paraId="0EED9639" w14:textId="40BFCB93" w:rsidR="00296D77" w:rsidRPr="008F581E" w:rsidRDefault="00296D77" w:rsidP="00296D77">
      <w:pPr>
        <w:pStyle w:val="Acknowledgement"/>
        <w:ind w:left="0" w:firstLine="0"/>
        <w:rPr>
          <w:sz w:val="22"/>
          <w:szCs w:val="22"/>
        </w:rPr>
      </w:pPr>
      <w:r w:rsidRPr="008F581E">
        <w:rPr>
          <w:b/>
          <w:bCs/>
          <w:sz w:val="22"/>
          <w:szCs w:val="22"/>
        </w:rPr>
        <w:t>CD22 is expressed in MDMi, PMA-differentiated MO3.13 and human monocyte/macrophage.</w:t>
      </w:r>
      <w:r w:rsidRPr="008F581E">
        <w:rPr>
          <w:rFonts w:eastAsiaTheme="minorEastAsia"/>
          <w:i/>
          <w:iCs/>
          <w:sz w:val="22"/>
          <w:szCs w:val="22"/>
          <w:lang w:eastAsia="zh-TW"/>
        </w:rPr>
        <w:t xml:space="preserve"> </w:t>
      </w:r>
      <w:r w:rsidRPr="008F581E">
        <w:rPr>
          <w:b/>
          <w:bCs/>
          <w:sz w:val="22"/>
          <w:szCs w:val="22"/>
        </w:rPr>
        <w:t>A</w:t>
      </w:r>
      <w:r w:rsidRPr="008F581E">
        <w:rPr>
          <w:sz w:val="22"/>
          <w:szCs w:val="22"/>
        </w:rPr>
        <w:t xml:space="preserve"> Immunofluorescence staining of CD22 and Iba1in human MDMi cells. Blue: DAPI; Red: IbaI; Green: CD22. </w:t>
      </w:r>
      <w:r w:rsidRPr="008F581E">
        <w:rPr>
          <w:b/>
          <w:bCs/>
          <w:sz w:val="22"/>
          <w:szCs w:val="22"/>
        </w:rPr>
        <w:t>B</w:t>
      </w:r>
      <w:r w:rsidRPr="008F581E">
        <w:rPr>
          <w:rFonts w:eastAsiaTheme="minorEastAsia"/>
          <w:sz w:val="22"/>
          <w:szCs w:val="22"/>
          <w:lang w:eastAsia="zh-TW"/>
        </w:rPr>
        <w:t xml:space="preserve"> </w:t>
      </w:r>
      <w:r w:rsidRPr="008F581E">
        <w:rPr>
          <w:sz w:val="22"/>
          <w:szCs w:val="22"/>
        </w:rPr>
        <w:t xml:space="preserve">Immunoblot of CD22, MAG and GAPDH expression in PMA-differentiated MO3.13, human oligodendrocyte cell line. </w:t>
      </w:r>
      <w:r w:rsidRPr="008F581E">
        <w:rPr>
          <w:b/>
          <w:bCs/>
          <w:sz w:val="22"/>
          <w:szCs w:val="22"/>
        </w:rPr>
        <w:t>C</w:t>
      </w:r>
      <w:r w:rsidRPr="008F581E">
        <w:rPr>
          <w:sz w:val="22"/>
          <w:szCs w:val="22"/>
        </w:rPr>
        <w:t xml:space="preserve"> Flow cytometry analysis of CD22 expression after 3 days PMA differentiation of MO3.13. </w:t>
      </w:r>
      <w:r w:rsidRPr="008F581E">
        <w:rPr>
          <w:b/>
          <w:bCs/>
          <w:sz w:val="22"/>
          <w:szCs w:val="22"/>
        </w:rPr>
        <w:t>D</w:t>
      </w:r>
      <w:r w:rsidRPr="008F581E">
        <w:rPr>
          <w:sz w:val="22"/>
          <w:szCs w:val="22"/>
        </w:rPr>
        <w:t xml:space="preserve"> Flow cytometry analysis of CD22 expression with 2 different anti-human CD22 antibody (clone: S-HCl-1 and RFB4) in human monocyte.  </w:t>
      </w:r>
      <w:r w:rsidRPr="008F581E">
        <w:rPr>
          <w:b/>
          <w:bCs/>
          <w:sz w:val="22"/>
          <w:szCs w:val="22"/>
        </w:rPr>
        <w:t>E</w:t>
      </w:r>
      <w:r w:rsidRPr="008F581E">
        <w:rPr>
          <w:sz w:val="22"/>
          <w:szCs w:val="22"/>
        </w:rPr>
        <w:t xml:space="preserve"> Flow cytometry analysis of CD22 expression with 2 different anti-human CD22 antibody (clone: S-HCl-1 and RFB4) in human macrophage.</w:t>
      </w:r>
    </w:p>
    <w:p w14:paraId="2CEF94AC" w14:textId="77777777" w:rsidR="00296D77" w:rsidRPr="00134782" w:rsidRDefault="00296D77">
      <w:pPr>
        <w:spacing w:line="278" w:lineRule="auto"/>
        <w:rPr>
          <w:rFonts w:ascii="Times New Roman" w:hAnsi="Times New Roman" w:cs="Times New Roman"/>
        </w:rPr>
      </w:pPr>
      <w:r w:rsidRPr="00134782">
        <w:rPr>
          <w:rFonts w:ascii="Times New Roman" w:hAnsi="Times New Roman" w:cs="Times New Roman"/>
        </w:rPr>
        <w:br w:type="page"/>
      </w:r>
    </w:p>
    <w:p w14:paraId="1A723202" w14:textId="737364D1" w:rsidR="00DB6197" w:rsidRPr="00134782" w:rsidRDefault="00DB6197" w:rsidP="00DB6197">
      <w:pPr>
        <w:rPr>
          <w:rFonts w:ascii="Times New Roman" w:hAnsi="Times New Roman" w:cs="Times New Roman"/>
        </w:rPr>
      </w:pPr>
      <w:r w:rsidRPr="00134782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A94F2BB" wp14:editId="5F30C20E">
            <wp:extent cx="5731510" cy="4973955"/>
            <wp:effectExtent l="0" t="0" r="2540" b="0"/>
            <wp:docPr id="1583347300" name="Picture 27" descr="A collage of images of a ce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347300" name="Picture 27" descr="A collage of images of a cell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97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53119" w14:textId="62467BEE" w:rsidR="00DB6197" w:rsidRPr="00134782" w:rsidRDefault="00DB6197" w:rsidP="00DB6197">
      <w:pPr>
        <w:rPr>
          <w:rFonts w:ascii="Times New Roman" w:eastAsia="PMingLiU" w:hAnsi="Times New Roman" w:cs="Times New Roman"/>
        </w:rPr>
      </w:pPr>
      <w:r w:rsidRPr="00134782">
        <w:rPr>
          <w:rFonts w:ascii="Times New Roman" w:eastAsia="PMingLiU" w:hAnsi="Times New Roman" w:cs="Times New Roman"/>
          <w:b/>
          <w:bCs/>
        </w:rPr>
        <w:t>Fig. S</w:t>
      </w:r>
      <w:r w:rsidR="00B050C0" w:rsidRPr="00134782">
        <w:rPr>
          <w:rFonts w:ascii="Times New Roman" w:eastAsia="PMingLiU" w:hAnsi="Times New Roman" w:cs="Times New Roman"/>
          <w:b/>
          <w:bCs/>
        </w:rPr>
        <w:t>4</w:t>
      </w:r>
      <w:r w:rsidRPr="00134782">
        <w:rPr>
          <w:rFonts w:ascii="Times New Roman" w:eastAsia="PMingLiU" w:hAnsi="Times New Roman" w:cs="Times New Roman"/>
          <w:b/>
          <w:bCs/>
        </w:rPr>
        <w:t xml:space="preserve"> </w:t>
      </w:r>
      <w:r w:rsidRPr="00134782">
        <w:rPr>
          <w:rFonts w:ascii="Times New Roman" w:eastAsia="PMingLiU" w:hAnsi="Times New Roman" w:cs="Times New Roman"/>
          <w:b/>
          <w:bCs/>
        </w:rPr>
        <w:br/>
        <w:t>Validation of human CD22 transgenic mice. A</w:t>
      </w:r>
      <w:r w:rsidRPr="00134782">
        <w:rPr>
          <w:rFonts w:ascii="Times New Roman" w:eastAsia="PMingLiU" w:hAnsi="Times New Roman" w:cs="Times New Roman"/>
        </w:rPr>
        <w:t xml:space="preserve"> Schematic diagram of the CRISPR design on how human CD22 cDNA with polyA tail </w:t>
      </w:r>
      <w:r w:rsidR="001067E0">
        <w:rPr>
          <w:rFonts w:ascii="Times New Roman" w:eastAsia="PMingLiU" w:hAnsi="Times New Roman" w:cs="Times New Roman"/>
        </w:rPr>
        <w:t>was</w:t>
      </w:r>
      <w:r w:rsidRPr="00134782">
        <w:rPr>
          <w:rFonts w:ascii="Times New Roman" w:eastAsia="PMingLiU" w:hAnsi="Times New Roman" w:cs="Times New Roman"/>
        </w:rPr>
        <w:t xml:space="preserve"> inserted into Exon 4 of the mouse CD22. </w:t>
      </w:r>
      <w:r w:rsidRPr="00134782">
        <w:rPr>
          <w:rFonts w:ascii="Times New Roman" w:eastAsia="PMingLiU" w:hAnsi="Times New Roman" w:cs="Times New Roman"/>
          <w:b/>
          <w:bCs/>
        </w:rPr>
        <w:t>B</w:t>
      </w:r>
      <w:r w:rsidRPr="00134782">
        <w:rPr>
          <w:rFonts w:ascii="Times New Roman" w:eastAsia="PMingLiU" w:hAnsi="Times New Roman" w:cs="Times New Roman"/>
        </w:rPr>
        <w:t xml:space="preserve"> Flow cytometry analysis of blood sample of wildtype C57BL/6 mice and C57BL/6-hCD22 transgenic mice. </w:t>
      </w:r>
      <w:r w:rsidRPr="00134782">
        <w:rPr>
          <w:rFonts w:ascii="Times New Roman" w:eastAsia="PMingLiU" w:hAnsi="Times New Roman" w:cs="Times New Roman"/>
          <w:b/>
          <w:bCs/>
        </w:rPr>
        <w:t>C</w:t>
      </w:r>
      <w:r w:rsidRPr="00134782">
        <w:rPr>
          <w:rFonts w:ascii="Times New Roman" w:eastAsia="PMingLiU" w:hAnsi="Times New Roman" w:cs="Times New Roman"/>
        </w:rPr>
        <w:t xml:space="preserve"> Flow cytometry analysis of spleen sample of wildtype C57BL/6 mice and C57BL/6-hCD22 transgenic mice.</w:t>
      </w:r>
    </w:p>
    <w:p w14:paraId="3E6952AA" w14:textId="77777777" w:rsidR="00DB6197" w:rsidRPr="00134782" w:rsidRDefault="00DB6197" w:rsidP="00DB6197">
      <w:pPr>
        <w:rPr>
          <w:rFonts w:ascii="Times New Roman" w:eastAsia="PMingLiU" w:hAnsi="Times New Roman" w:cs="Times New Roman"/>
        </w:rPr>
      </w:pPr>
    </w:p>
    <w:p w14:paraId="699521A4" w14:textId="77777777" w:rsidR="00DB6197" w:rsidRPr="00134782" w:rsidRDefault="00DB6197" w:rsidP="00DB6197">
      <w:pPr>
        <w:rPr>
          <w:rFonts w:ascii="Times New Roman" w:eastAsia="PMingLiU" w:hAnsi="Times New Roman" w:cs="Times New Roman"/>
        </w:rPr>
      </w:pPr>
      <w:r w:rsidRPr="00134782">
        <w:rPr>
          <w:rFonts w:ascii="Times New Roman" w:eastAsia="PMingLiU" w:hAnsi="Times New Roman" w:cs="Times New Roman"/>
        </w:rPr>
        <w:br w:type="page"/>
      </w:r>
    </w:p>
    <w:p w14:paraId="19388146" w14:textId="77777777" w:rsidR="00DB6197" w:rsidRPr="00134782" w:rsidRDefault="00DB6197" w:rsidP="00DB6197">
      <w:pPr>
        <w:rPr>
          <w:rFonts w:ascii="Times New Roman" w:hAnsi="Times New Roman" w:cs="Times New Roman"/>
        </w:rPr>
      </w:pPr>
      <w:r w:rsidRPr="00134782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C916FEB" wp14:editId="227F8C99">
            <wp:extent cx="5731510" cy="3665220"/>
            <wp:effectExtent l="0" t="0" r="2540" b="0"/>
            <wp:docPr id="1567015181" name="Picture 28" descr="A close-up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015181" name="Picture 28" descr="A close-up of a graph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6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4151A" w14:textId="57546A61" w:rsidR="00DB6197" w:rsidRPr="00134782" w:rsidRDefault="00DB6197" w:rsidP="00DB6197">
      <w:pPr>
        <w:rPr>
          <w:rFonts w:ascii="Times New Roman" w:eastAsia="PMingLiU" w:hAnsi="Times New Roman" w:cs="Times New Roman"/>
          <w:lang w:val="en-HK"/>
        </w:rPr>
      </w:pPr>
      <w:r w:rsidRPr="00134782">
        <w:rPr>
          <w:rFonts w:ascii="Times New Roman" w:eastAsia="PMingLiU" w:hAnsi="Times New Roman" w:cs="Times New Roman"/>
          <w:b/>
          <w:bCs/>
        </w:rPr>
        <w:t>Fig. S</w:t>
      </w:r>
      <w:r w:rsidR="00B050C0" w:rsidRPr="00134782">
        <w:rPr>
          <w:rFonts w:ascii="Times New Roman" w:eastAsia="PMingLiU" w:hAnsi="Times New Roman" w:cs="Times New Roman"/>
          <w:b/>
          <w:bCs/>
        </w:rPr>
        <w:t>5</w:t>
      </w:r>
      <w:r w:rsidRPr="00134782">
        <w:rPr>
          <w:rFonts w:ascii="Times New Roman" w:eastAsia="PMingLiU" w:hAnsi="Times New Roman" w:cs="Times New Roman"/>
          <w:b/>
          <w:bCs/>
        </w:rPr>
        <w:t xml:space="preserve"> </w:t>
      </w:r>
      <w:r w:rsidRPr="00134782">
        <w:rPr>
          <w:rFonts w:ascii="Times New Roman" w:eastAsia="PMingLiU" w:hAnsi="Times New Roman" w:cs="Times New Roman"/>
          <w:b/>
          <w:bCs/>
        </w:rPr>
        <w:br/>
        <w:t xml:space="preserve">RNA seq analysis of suciraslimab-treated hippocampus of Aβ-injected mouse model. A </w:t>
      </w:r>
      <w:r w:rsidRPr="00134782">
        <w:rPr>
          <w:rFonts w:ascii="Times New Roman" w:eastAsia="PMingLiU" w:hAnsi="Times New Roman" w:cs="Times New Roman"/>
        </w:rPr>
        <w:t xml:space="preserve">Volcano plot of suciraslimab-treated mouse hippocampus in Aβ-injected mouse model. N=3. </w:t>
      </w:r>
      <w:r w:rsidRPr="00134782">
        <w:rPr>
          <w:rFonts w:ascii="Times New Roman" w:eastAsia="PMingLiU" w:hAnsi="Times New Roman" w:cs="Times New Roman"/>
          <w:b/>
          <w:bCs/>
        </w:rPr>
        <w:t>B</w:t>
      </w:r>
      <w:r w:rsidRPr="00134782">
        <w:rPr>
          <w:rFonts w:ascii="Times New Roman" w:eastAsia="PMingLiU" w:hAnsi="Times New Roman" w:cs="Times New Roman"/>
        </w:rPr>
        <w:t xml:space="preserve"> Gene ontology analysis of suciraslimab-treated mouse hippocampus in Biological function. </w:t>
      </w:r>
      <w:r w:rsidRPr="00134782">
        <w:rPr>
          <w:rFonts w:ascii="Times New Roman" w:eastAsia="PMingLiU" w:hAnsi="Times New Roman" w:cs="Times New Roman"/>
          <w:b/>
          <w:bCs/>
        </w:rPr>
        <w:t>C</w:t>
      </w:r>
      <w:r w:rsidRPr="00134782">
        <w:rPr>
          <w:rFonts w:ascii="Times New Roman" w:eastAsia="PMingLiU" w:hAnsi="Times New Roman" w:cs="Times New Roman"/>
        </w:rPr>
        <w:t xml:space="preserve"> Gene ontology analysis of suciraslimab-treated mouse hippocampus in molecular function. </w:t>
      </w:r>
      <w:r w:rsidRPr="00134782">
        <w:rPr>
          <w:rFonts w:ascii="Times New Roman" w:eastAsia="PMingLiU" w:hAnsi="Times New Roman" w:cs="Times New Roman"/>
          <w:b/>
          <w:bCs/>
        </w:rPr>
        <w:t>D</w:t>
      </w:r>
      <w:r w:rsidRPr="00134782">
        <w:rPr>
          <w:rFonts w:ascii="Times New Roman" w:eastAsia="PMingLiU" w:hAnsi="Times New Roman" w:cs="Times New Roman"/>
        </w:rPr>
        <w:t xml:space="preserve"> GSEA showing negative enrichment of TNFα Signaling via NFκB and interferon alpha response of mouse hippocampus after suciraslimab treatment relative to Control group.</w:t>
      </w:r>
    </w:p>
    <w:p w14:paraId="286A428A" w14:textId="77777777" w:rsidR="00DB6197" w:rsidRPr="00134782" w:rsidRDefault="00DB6197" w:rsidP="00DB6197">
      <w:pPr>
        <w:rPr>
          <w:rFonts w:ascii="Times New Roman" w:hAnsi="Times New Roman" w:cs="Times New Roman"/>
        </w:rPr>
      </w:pPr>
      <w:r w:rsidRPr="00134782">
        <w:rPr>
          <w:rFonts w:ascii="Times New Roman" w:hAnsi="Times New Roman" w:cs="Times New Roman"/>
        </w:rPr>
        <w:br w:type="page"/>
      </w:r>
    </w:p>
    <w:p w14:paraId="5D61BB30" w14:textId="450D37DF" w:rsidR="00DB6197" w:rsidRPr="00134782" w:rsidRDefault="001067E0" w:rsidP="00DB619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A31B378" wp14:editId="0AF08A8C">
            <wp:extent cx="5729605" cy="2748280"/>
            <wp:effectExtent l="0" t="0" r="4445" b="0"/>
            <wp:docPr id="55981079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274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6F689" w14:textId="4F32C2F4" w:rsidR="00DB6197" w:rsidRPr="00134782" w:rsidRDefault="00DB6197" w:rsidP="00DB6197">
      <w:pPr>
        <w:rPr>
          <w:rFonts w:ascii="Times New Roman" w:hAnsi="Times New Roman" w:cs="Times New Roman"/>
        </w:rPr>
      </w:pPr>
      <w:r w:rsidRPr="00134782">
        <w:rPr>
          <w:rFonts w:ascii="Times New Roman" w:eastAsia="PMingLiU" w:hAnsi="Times New Roman" w:cs="Times New Roman"/>
          <w:b/>
          <w:bCs/>
        </w:rPr>
        <w:t>Fig. S</w:t>
      </w:r>
      <w:r w:rsidR="00B050C0" w:rsidRPr="00134782">
        <w:rPr>
          <w:rFonts w:ascii="Times New Roman" w:eastAsia="PMingLiU" w:hAnsi="Times New Roman" w:cs="Times New Roman"/>
          <w:b/>
          <w:bCs/>
        </w:rPr>
        <w:t>6</w:t>
      </w:r>
      <w:r w:rsidRPr="00134782">
        <w:rPr>
          <w:rFonts w:ascii="Times New Roman" w:eastAsia="PMingLiU" w:hAnsi="Times New Roman" w:cs="Times New Roman"/>
          <w:b/>
          <w:bCs/>
        </w:rPr>
        <w:t xml:space="preserve"> </w:t>
      </w:r>
      <w:r w:rsidRPr="00134782">
        <w:rPr>
          <w:rFonts w:ascii="Times New Roman" w:eastAsia="PMingLiU" w:hAnsi="Times New Roman" w:cs="Times New Roman"/>
          <w:b/>
          <w:bCs/>
        </w:rPr>
        <w:br/>
        <w:t xml:space="preserve">Mechanistic analysis of suciraslimab in alleviating neuroinflammation in human microglia. </w:t>
      </w:r>
      <w:r w:rsidR="001067E0">
        <w:rPr>
          <w:rFonts w:ascii="Times New Roman" w:eastAsia="PMingLiU" w:hAnsi="Times New Roman" w:cs="Times New Roman"/>
          <w:b/>
          <w:bCs/>
        </w:rPr>
        <w:t xml:space="preserve">A </w:t>
      </w:r>
      <w:r w:rsidR="001067E0" w:rsidRPr="008F581E">
        <w:rPr>
          <w:rFonts w:ascii="Times New Roman" w:eastAsia="PMingLiU" w:hAnsi="Times New Roman" w:cs="Times New Roman"/>
        </w:rPr>
        <w:t>Western blot analysis of 2 separate batch of oligomeric A</w:t>
      </w:r>
      <w:r w:rsidR="001067E0" w:rsidRPr="008F581E">
        <w:rPr>
          <w:rFonts w:ascii="Calibri" w:eastAsia="PMingLiU" w:hAnsi="Calibri" w:cs="Calibri"/>
        </w:rPr>
        <w:t>β</w:t>
      </w:r>
      <w:r w:rsidR="001067E0" w:rsidRPr="008F581E">
        <w:rPr>
          <w:rFonts w:ascii="Times New Roman" w:eastAsia="PMingLiU" w:hAnsi="Times New Roman" w:cs="Times New Roman"/>
        </w:rPr>
        <w:t xml:space="preserve"> prepared. </w:t>
      </w:r>
      <w:r w:rsidR="00D5578B">
        <w:rPr>
          <w:rFonts w:ascii="Times New Roman" w:eastAsia="PMingLiU" w:hAnsi="Times New Roman" w:cs="Times New Roman"/>
        </w:rPr>
        <w:t>Size ranging from 40 – 100 kDa represent</w:t>
      </w:r>
      <w:r w:rsidR="00B7093F">
        <w:rPr>
          <w:rFonts w:ascii="Times New Roman" w:eastAsia="PMingLiU" w:hAnsi="Times New Roman" w:cs="Times New Roman"/>
        </w:rPr>
        <w:t>s</w:t>
      </w:r>
      <w:r w:rsidR="00D5578B">
        <w:rPr>
          <w:rFonts w:ascii="Times New Roman" w:eastAsia="PMingLiU" w:hAnsi="Times New Roman" w:cs="Times New Roman"/>
        </w:rPr>
        <w:t xml:space="preserve"> high molecular weight oligomer. Size of 10 and 15 kDa represents low molecular weight oligomer. </w:t>
      </w:r>
      <w:r w:rsidR="001067E0">
        <w:rPr>
          <w:rFonts w:ascii="Times New Roman" w:eastAsia="PMingLiU" w:hAnsi="Times New Roman" w:cs="Times New Roman"/>
          <w:b/>
          <w:bCs/>
        </w:rPr>
        <w:t xml:space="preserve">B </w:t>
      </w:r>
      <w:r w:rsidRPr="00134782">
        <w:rPr>
          <w:rFonts w:ascii="Times New Roman" w:eastAsia="PMingLiU" w:hAnsi="Times New Roman" w:cs="Times New Roman"/>
        </w:rPr>
        <w:t xml:space="preserve">Effect of suciraslimab in Aβ-induced TNFα and IL-6 release in MDMi. TNFα: One-way ANOVA, </w:t>
      </w:r>
      <w:r w:rsidRPr="00134782">
        <w:rPr>
          <w:rFonts w:ascii="Times New Roman" w:eastAsia="PMingLiU" w:hAnsi="Times New Roman" w:cs="Times New Roman"/>
          <w:i/>
          <w:iCs/>
        </w:rPr>
        <w:t>F</w:t>
      </w:r>
      <w:r w:rsidRPr="00134782">
        <w:rPr>
          <w:rFonts w:ascii="Times New Roman" w:eastAsia="PMingLiU" w:hAnsi="Times New Roman" w:cs="Times New Roman"/>
        </w:rPr>
        <w:t xml:space="preserve">=5.922, </w:t>
      </w:r>
      <w:r w:rsidRPr="00134782">
        <w:rPr>
          <w:rFonts w:ascii="Times New Roman" w:eastAsia="PMingLiU" w:hAnsi="Times New Roman" w:cs="Times New Roman"/>
          <w:i/>
          <w:iCs/>
        </w:rPr>
        <w:t>P</w:t>
      </w:r>
      <w:r w:rsidRPr="00134782">
        <w:rPr>
          <w:rFonts w:ascii="Times New Roman" w:eastAsia="PMingLiU" w:hAnsi="Times New Roman" w:cs="Times New Roman"/>
        </w:rPr>
        <w:t xml:space="preserve">=0.0106. Tukey post hoc test: αCD22 vs IgG1 control, </w:t>
      </w:r>
      <w:r w:rsidRPr="00134782">
        <w:rPr>
          <w:rFonts w:ascii="Times New Roman" w:eastAsia="PMingLiU" w:hAnsi="Times New Roman" w:cs="Times New Roman"/>
          <w:i/>
          <w:iCs/>
        </w:rPr>
        <w:t>P</w:t>
      </w:r>
      <w:r w:rsidRPr="00134782">
        <w:rPr>
          <w:rFonts w:ascii="Times New Roman" w:eastAsia="PMingLiU" w:hAnsi="Times New Roman" w:cs="Times New Roman"/>
        </w:rPr>
        <w:t xml:space="preserve">=0.8441; IL-6: One-way ANOVA, </w:t>
      </w:r>
      <w:r w:rsidRPr="00134782">
        <w:rPr>
          <w:rFonts w:ascii="Times New Roman" w:eastAsia="PMingLiU" w:hAnsi="Times New Roman" w:cs="Times New Roman"/>
          <w:i/>
          <w:iCs/>
        </w:rPr>
        <w:t>F</w:t>
      </w:r>
      <w:r w:rsidRPr="00134782">
        <w:rPr>
          <w:rFonts w:ascii="Times New Roman" w:eastAsia="PMingLiU" w:hAnsi="Times New Roman" w:cs="Times New Roman"/>
        </w:rPr>
        <w:t xml:space="preserve">=4.89, </w:t>
      </w:r>
      <w:r w:rsidRPr="00134782">
        <w:rPr>
          <w:rFonts w:ascii="Times New Roman" w:eastAsia="PMingLiU" w:hAnsi="Times New Roman" w:cs="Times New Roman"/>
          <w:i/>
          <w:iCs/>
        </w:rPr>
        <w:t>P</w:t>
      </w:r>
      <w:r w:rsidRPr="00134782">
        <w:rPr>
          <w:rFonts w:ascii="Times New Roman" w:eastAsia="PMingLiU" w:hAnsi="Times New Roman" w:cs="Times New Roman"/>
        </w:rPr>
        <w:t xml:space="preserve">=0.02. Tukey post hoc test: αCD22 vs IgG1 control, </w:t>
      </w:r>
      <w:r w:rsidRPr="00134782">
        <w:rPr>
          <w:rFonts w:ascii="Times New Roman" w:eastAsia="PMingLiU" w:hAnsi="Times New Roman" w:cs="Times New Roman"/>
          <w:i/>
          <w:iCs/>
        </w:rPr>
        <w:t>P</w:t>
      </w:r>
      <w:r w:rsidRPr="00134782">
        <w:rPr>
          <w:rFonts w:ascii="Times New Roman" w:eastAsia="PMingLiU" w:hAnsi="Times New Roman" w:cs="Times New Roman"/>
        </w:rPr>
        <w:t>=0.9226. All data are presented as mean ± SEM.</w:t>
      </w:r>
    </w:p>
    <w:p w14:paraId="683C8DEE" w14:textId="77777777" w:rsidR="00DB6197" w:rsidRPr="00134782" w:rsidRDefault="00DB6197" w:rsidP="00DB6197">
      <w:pPr>
        <w:rPr>
          <w:rFonts w:ascii="Times New Roman" w:hAnsi="Times New Roman" w:cs="Times New Roman"/>
        </w:rPr>
      </w:pPr>
    </w:p>
    <w:p w14:paraId="72AAA728" w14:textId="77777777" w:rsidR="002B5339" w:rsidRPr="00134782" w:rsidRDefault="002B5339"/>
    <w:sectPr w:rsidR="002B5339" w:rsidRPr="0013478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6A6BB5" w14:textId="77777777" w:rsidR="00911B47" w:rsidRDefault="00911B47" w:rsidP="00DB6197">
      <w:pPr>
        <w:spacing w:after="0" w:line="240" w:lineRule="auto"/>
      </w:pPr>
      <w:r>
        <w:separator/>
      </w:r>
    </w:p>
  </w:endnote>
  <w:endnote w:type="continuationSeparator" w:id="0">
    <w:p w14:paraId="088DCC7F" w14:textId="77777777" w:rsidR="00911B47" w:rsidRDefault="00911B47" w:rsidP="00DB6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EF7812" w14:textId="77777777" w:rsidR="00911B47" w:rsidRDefault="00911B47" w:rsidP="00DB6197">
      <w:pPr>
        <w:spacing w:after="0" w:line="240" w:lineRule="auto"/>
      </w:pPr>
      <w:r>
        <w:separator/>
      </w:r>
    </w:p>
  </w:footnote>
  <w:footnote w:type="continuationSeparator" w:id="0">
    <w:p w14:paraId="7BD6A091" w14:textId="77777777" w:rsidR="00911B47" w:rsidRDefault="00911B47" w:rsidP="00DB61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339"/>
    <w:rsid w:val="00082E2E"/>
    <w:rsid w:val="000D5916"/>
    <w:rsid w:val="001067E0"/>
    <w:rsid w:val="00134782"/>
    <w:rsid w:val="001630CB"/>
    <w:rsid w:val="00296D77"/>
    <w:rsid w:val="002B5339"/>
    <w:rsid w:val="006B2CCE"/>
    <w:rsid w:val="007F4A83"/>
    <w:rsid w:val="00830062"/>
    <w:rsid w:val="008A7187"/>
    <w:rsid w:val="008F581E"/>
    <w:rsid w:val="00911B47"/>
    <w:rsid w:val="00B050C0"/>
    <w:rsid w:val="00B7093F"/>
    <w:rsid w:val="00B86B5C"/>
    <w:rsid w:val="00BB0237"/>
    <w:rsid w:val="00C57F6D"/>
    <w:rsid w:val="00CA3927"/>
    <w:rsid w:val="00CC29AF"/>
    <w:rsid w:val="00D00D87"/>
    <w:rsid w:val="00D5578B"/>
    <w:rsid w:val="00DB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247158"/>
  <w14:defaultImageDpi w14:val="32767"/>
  <w15:chartTrackingRefBased/>
  <w15:docId w15:val="{3ECEB9D4-645F-4D8A-AE23-6814AE12D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HK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197"/>
    <w:pPr>
      <w:spacing w:line="259" w:lineRule="auto"/>
    </w:pPr>
    <w:rPr>
      <w:kern w:val="0"/>
      <w:sz w:val="22"/>
      <w:szCs w:val="22"/>
      <w:lang w:val="en-US" w:eastAsia="zh-TW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533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HK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33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HK"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533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HK"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533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HK"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533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HK"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533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HK"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533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HK"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533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HK"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533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HK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3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3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53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53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53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53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53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53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53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53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HK"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B53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533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HK"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B53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533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HK"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B53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5339"/>
    <w:pPr>
      <w:spacing w:line="278" w:lineRule="auto"/>
      <w:ind w:left="720"/>
      <w:contextualSpacing/>
    </w:pPr>
    <w:rPr>
      <w:kern w:val="2"/>
      <w:sz w:val="24"/>
      <w:szCs w:val="24"/>
      <w:lang w:val="en-HK"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B53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3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HK"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3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533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6197"/>
    <w:pPr>
      <w:tabs>
        <w:tab w:val="center" w:pos="4513"/>
        <w:tab w:val="right" w:pos="9026"/>
      </w:tabs>
      <w:spacing w:after="0" w:line="240" w:lineRule="auto"/>
    </w:pPr>
    <w:rPr>
      <w:kern w:val="2"/>
      <w:sz w:val="24"/>
      <w:szCs w:val="24"/>
      <w:lang w:val="en-HK" w:eastAsia="zh-CN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DB6197"/>
  </w:style>
  <w:style w:type="paragraph" w:styleId="Footer">
    <w:name w:val="footer"/>
    <w:basedOn w:val="Normal"/>
    <w:link w:val="FooterChar"/>
    <w:uiPriority w:val="99"/>
    <w:unhideWhenUsed/>
    <w:rsid w:val="00DB6197"/>
    <w:pPr>
      <w:tabs>
        <w:tab w:val="center" w:pos="4513"/>
        <w:tab w:val="right" w:pos="9026"/>
      </w:tabs>
      <w:spacing w:after="0" w:line="240" w:lineRule="auto"/>
    </w:pPr>
    <w:rPr>
      <w:kern w:val="2"/>
      <w:sz w:val="24"/>
      <w:szCs w:val="24"/>
      <w:lang w:val="en-HK" w:eastAsia="zh-CN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DB6197"/>
  </w:style>
  <w:style w:type="paragraph" w:styleId="Revision">
    <w:name w:val="Revision"/>
    <w:hidden/>
    <w:uiPriority w:val="99"/>
    <w:semiHidden/>
    <w:rsid w:val="00296D77"/>
    <w:pPr>
      <w:spacing w:after="0" w:line="240" w:lineRule="auto"/>
    </w:pPr>
    <w:rPr>
      <w:kern w:val="0"/>
      <w:sz w:val="22"/>
      <w:szCs w:val="22"/>
      <w:lang w:val="en-US" w:eastAsia="zh-TW"/>
      <w14:ligatures w14:val="none"/>
    </w:rPr>
  </w:style>
  <w:style w:type="paragraph" w:customStyle="1" w:styleId="Acknowledgement">
    <w:name w:val="Acknowledgement"/>
    <w:basedOn w:val="Normal"/>
    <w:rsid w:val="00296D77"/>
    <w:pPr>
      <w:spacing w:before="120"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"/><Relationship Id="rId4" Type="http://schemas.openxmlformats.org/officeDocument/2006/relationships/footnotes" Target="footnotes.xml"/><Relationship Id="rId9" Type="http://schemas.openxmlformats.org/officeDocument/2006/relationships/image" Target="media/image4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SinoMab BioScience Limited</Company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Clement Chong</dc:creator>
  <cp:keywords/>
  <dc:description/>
  <cp:lastModifiedBy>Clement Chong</cp:lastModifiedBy>
  <cp:revision>14</cp:revision>
  <dcterms:created xsi:type="dcterms:W3CDTF">2024-11-12T09:12:00Z</dcterms:created>
  <dcterms:modified xsi:type="dcterms:W3CDTF">2024-12-27T10:18:00Z</dcterms:modified>
</cp:coreProperties>
</file>