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9E913" w14:textId="696CF88F" w:rsidR="001F01BA" w:rsidRDefault="001F01BA"/>
    <w:p w14:paraId="659961BC" w14:textId="77777777" w:rsidR="00DA3634" w:rsidRPr="004F492F" w:rsidRDefault="00DA3634" w:rsidP="00DA3634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4F492F">
        <w:rPr>
          <w:rFonts w:ascii="Arial" w:hAnsi="Arial" w:cs="Arial"/>
          <w:b/>
          <w:bCs/>
          <w:sz w:val="24"/>
          <w:szCs w:val="24"/>
          <w:u w:val="single"/>
        </w:rPr>
        <w:t xml:space="preserve">Supplementary figure 1 </w:t>
      </w:r>
    </w:p>
    <w:p w14:paraId="4847648E" w14:textId="77777777" w:rsidR="00DA3634" w:rsidRPr="004F492F" w:rsidRDefault="00DA3634" w:rsidP="00DA3634">
      <w:pPr>
        <w:jc w:val="center"/>
        <w:rPr>
          <w:rFonts w:ascii="Arial" w:hAnsi="Arial" w:cs="Arial"/>
          <w:sz w:val="24"/>
          <w:szCs w:val="24"/>
        </w:rPr>
      </w:pPr>
    </w:p>
    <w:p w14:paraId="75E96DB4" w14:textId="77777777" w:rsidR="00DA3634" w:rsidRPr="004F492F" w:rsidRDefault="00DA3634" w:rsidP="00DA3634">
      <w:pPr>
        <w:jc w:val="center"/>
        <w:rPr>
          <w:rFonts w:ascii="Arial" w:hAnsi="Arial" w:cs="Arial"/>
          <w:sz w:val="24"/>
          <w:szCs w:val="24"/>
        </w:rPr>
      </w:pPr>
      <w:r w:rsidRPr="004F492F">
        <w:rPr>
          <w:rFonts w:ascii="Arial" w:hAnsi="Arial" w:cs="Arial"/>
          <w:noProof/>
        </w:rPr>
        <w:drawing>
          <wp:inline distT="0" distB="0" distL="0" distR="0" wp14:anchorId="3DF0975A" wp14:editId="51EB222C">
            <wp:extent cx="5486400" cy="3187065"/>
            <wp:effectExtent l="0" t="0" r="0" b="0"/>
            <wp:docPr id="980732629" name="Picture 7" descr="A close-up of a microsc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732629" name="Picture 7" descr="A close-up of a microsco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29598" w14:textId="77777777" w:rsidR="00DA3634" w:rsidRDefault="00DA3634" w:rsidP="00DA3634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4D19DCB" w14:textId="77777777" w:rsidR="00DA3634" w:rsidRDefault="00DA3634" w:rsidP="00DA3634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89F49B8" w14:textId="77777777" w:rsidR="00DA3634" w:rsidRDefault="00DA3634" w:rsidP="00DA3634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4F492F">
        <w:rPr>
          <w:rFonts w:ascii="Arial" w:hAnsi="Arial" w:cs="Arial"/>
          <w:b/>
          <w:bCs/>
          <w:sz w:val="24"/>
          <w:szCs w:val="24"/>
          <w:u w:val="single"/>
        </w:rPr>
        <w:t xml:space="preserve">Supplementary figure </w:t>
      </w:r>
      <w:r>
        <w:rPr>
          <w:rFonts w:ascii="Arial" w:hAnsi="Arial" w:cs="Arial" w:hint="eastAsia"/>
          <w:b/>
          <w:bCs/>
          <w:sz w:val="24"/>
          <w:szCs w:val="24"/>
          <w:u w:val="single"/>
        </w:rPr>
        <w:t>2</w:t>
      </w:r>
      <w:r w:rsidRPr="004F492F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31DBCA92" w14:textId="77777777" w:rsidR="00DA3634" w:rsidRPr="004F492F" w:rsidRDefault="00DA3634" w:rsidP="00DA3634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7F71BC1" w14:textId="77777777" w:rsidR="00DA3634" w:rsidRPr="004F492F" w:rsidRDefault="00DA3634" w:rsidP="00DA3634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448AE0F4" wp14:editId="1EE4CADB">
            <wp:extent cx="5490210" cy="3498850"/>
            <wp:effectExtent l="0" t="0" r="0" b="6350"/>
            <wp:docPr id="989444273" name="Picture 6" descr="A graph of 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444273" name="Picture 6" descr="A graph of a graph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210" cy="349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87572" w14:textId="4C528690" w:rsidR="00DA3634" w:rsidRDefault="00DA3634"/>
    <w:p w14:paraId="15011543" w14:textId="77777777" w:rsidR="00DA3634" w:rsidRDefault="00DA3634"/>
    <w:p w14:paraId="6C517524" w14:textId="77777777" w:rsidR="00DA3634" w:rsidRPr="004F492F" w:rsidRDefault="00DA3634" w:rsidP="00DA3634">
      <w:pPr>
        <w:autoSpaceDE w:val="0"/>
        <w:autoSpaceDN w:val="0"/>
        <w:adjustRightInd w:val="0"/>
        <w:spacing w:line="480" w:lineRule="auto"/>
        <w:rPr>
          <w:rFonts w:ascii="Arial" w:hAnsi="Arial" w:cs="Arial"/>
          <w:kern w:val="0"/>
          <w:sz w:val="22"/>
        </w:rPr>
      </w:pPr>
      <w:r w:rsidRPr="004F492F">
        <w:rPr>
          <w:rFonts w:ascii="Arial" w:hAnsi="Arial" w:cs="Arial"/>
          <w:b/>
          <w:bCs/>
          <w:kern w:val="0"/>
          <w:sz w:val="22"/>
        </w:rPr>
        <w:t>Supplementary figure 1</w:t>
      </w:r>
      <w:r w:rsidRPr="00884B9E">
        <w:rPr>
          <w:rFonts w:ascii="Arial" w:hAnsi="Arial" w:cs="Arial"/>
          <w:b/>
          <w:bCs/>
          <w:kern w:val="0"/>
          <w:sz w:val="22"/>
        </w:rPr>
        <w:t>.</w:t>
      </w:r>
      <w:r w:rsidRPr="004F492F">
        <w:rPr>
          <w:rFonts w:ascii="Arial" w:hAnsi="Arial" w:cs="Arial"/>
          <w:kern w:val="0"/>
          <w:sz w:val="22"/>
        </w:rPr>
        <w:t xml:space="preserve"> </w:t>
      </w:r>
      <w:r w:rsidRPr="004F492F">
        <w:rPr>
          <w:rFonts w:ascii="Arial" w:hAnsi="Arial" w:cs="Arial"/>
          <w:sz w:val="22"/>
        </w:rPr>
        <w:t>No alterations in myelination in cerebellum, brain stem, and corpus callosum of</w:t>
      </w:r>
      <w:r w:rsidRPr="004F492F">
        <w:rPr>
          <w:rFonts w:ascii="Arial" w:hAnsi="Arial" w:cs="Arial"/>
          <w:kern w:val="0"/>
          <w:sz w:val="22"/>
        </w:rPr>
        <w:t xml:space="preserve"> </w:t>
      </w:r>
      <w:r w:rsidRPr="004F492F">
        <w:rPr>
          <w:rFonts w:ascii="Arial" w:hAnsi="Arial" w:cs="Arial"/>
          <w:i/>
          <w:iCs/>
          <w:sz w:val="22"/>
        </w:rPr>
        <w:t>f-ATXN1</w:t>
      </w:r>
      <w:r w:rsidRPr="004F492F">
        <w:rPr>
          <w:rFonts w:ascii="Arial" w:hAnsi="Arial" w:cs="Arial"/>
          <w:i/>
          <w:iCs/>
          <w:sz w:val="22"/>
          <w:vertAlign w:val="superscript"/>
        </w:rPr>
        <w:t xml:space="preserve">146Q/2Q </w:t>
      </w:r>
      <w:r w:rsidRPr="004F492F">
        <w:rPr>
          <w:rFonts w:ascii="Arial" w:hAnsi="Arial" w:cs="Arial"/>
          <w:sz w:val="22"/>
        </w:rPr>
        <w:t>and</w:t>
      </w:r>
      <w:r w:rsidRPr="004F492F">
        <w:rPr>
          <w:rFonts w:ascii="Arial" w:hAnsi="Arial" w:cs="Arial"/>
          <w:i/>
          <w:iCs/>
          <w:sz w:val="22"/>
        </w:rPr>
        <w:t xml:space="preserve"> </w:t>
      </w:r>
      <w:r w:rsidRPr="004F492F">
        <w:rPr>
          <w:rFonts w:ascii="Arial" w:hAnsi="Arial" w:cs="Arial"/>
          <w:i/>
          <w:iCs/>
          <w:sz w:val="22"/>
          <w:shd w:val="clear" w:color="auto" w:fill="FFFFFF"/>
        </w:rPr>
        <w:t>Atxn1</w:t>
      </w:r>
      <w:r w:rsidRPr="004F492F">
        <w:rPr>
          <w:rFonts w:ascii="Arial" w:hAnsi="Arial" w:cs="Arial"/>
          <w:i/>
          <w:iCs/>
          <w:sz w:val="22"/>
          <w:shd w:val="clear" w:color="auto" w:fill="FFFFFF"/>
          <w:vertAlign w:val="superscript"/>
        </w:rPr>
        <w:t>2Q/-</w:t>
      </w:r>
      <w:r w:rsidRPr="004F492F">
        <w:rPr>
          <w:rFonts w:ascii="Arial" w:hAnsi="Arial" w:cs="Arial"/>
          <w:sz w:val="22"/>
          <w:shd w:val="clear" w:color="auto" w:fill="FFFFFF"/>
          <w:vertAlign w:val="superscript"/>
        </w:rPr>
        <w:t xml:space="preserve"> </w:t>
      </w:r>
      <w:r w:rsidRPr="004F492F">
        <w:rPr>
          <w:rFonts w:ascii="Arial" w:hAnsi="Arial" w:cs="Arial"/>
          <w:sz w:val="22"/>
        </w:rPr>
        <w:t xml:space="preserve">mice. MBP IHC was used to assess the myelination </w:t>
      </w:r>
      <w:r w:rsidRPr="004F492F">
        <w:rPr>
          <w:rFonts w:ascii="Arial" w:hAnsi="Arial" w:cs="Arial"/>
          <w:kern w:val="0"/>
          <w:sz w:val="22"/>
        </w:rPr>
        <w:lastRenderedPageBreak/>
        <w:t xml:space="preserve">N = 4 animals each. Scale bars: 200 </w:t>
      </w:r>
      <w:proofErr w:type="spellStart"/>
      <w:r w:rsidRPr="004F492F">
        <w:rPr>
          <w:rFonts w:ascii="Arial" w:eastAsia="DengXian" w:hAnsi="Arial" w:cs="Arial"/>
          <w:kern w:val="0"/>
          <w:sz w:val="22"/>
        </w:rPr>
        <w:t>μ</w:t>
      </w:r>
      <w:r w:rsidRPr="004F492F">
        <w:rPr>
          <w:rFonts w:ascii="Arial" w:hAnsi="Arial" w:cs="Arial"/>
          <w:kern w:val="0"/>
          <w:sz w:val="22"/>
        </w:rPr>
        <w:t>m</w:t>
      </w:r>
      <w:proofErr w:type="spellEnd"/>
      <w:r w:rsidRPr="004F492F">
        <w:rPr>
          <w:rFonts w:ascii="Arial" w:hAnsi="Arial" w:cs="Arial"/>
          <w:kern w:val="0"/>
          <w:sz w:val="22"/>
        </w:rPr>
        <w:t xml:space="preserve"> (</w:t>
      </w:r>
      <w:r w:rsidRPr="004F492F">
        <w:rPr>
          <w:rFonts w:ascii="Arial" w:hAnsi="Arial" w:cs="Arial"/>
          <w:b/>
          <w:bCs/>
          <w:sz w:val="22"/>
        </w:rPr>
        <w:t>A</w:t>
      </w:r>
      <w:r w:rsidRPr="004F492F">
        <w:rPr>
          <w:rFonts w:ascii="Arial" w:hAnsi="Arial" w:cs="Arial"/>
          <w:b/>
          <w:bCs/>
          <w:kern w:val="0"/>
          <w:sz w:val="22"/>
        </w:rPr>
        <w:t>–C</w:t>
      </w:r>
      <w:r w:rsidRPr="004F492F">
        <w:rPr>
          <w:rFonts w:ascii="Arial" w:hAnsi="Arial" w:cs="Arial"/>
          <w:kern w:val="0"/>
          <w:sz w:val="22"/>
        </w:rPr>
        <w:t xml:space="preserve">) and 100 </w:t>
      </w:r>
      <w:proofErr w:type="spellStart"/>
      <w:r w:rsidRPr="004F492F">
        <w:rPr>
          <w:rFonts w:ascii="Arial" w:eastAsia="DengXian" w:hAnsi="Arial" w:cs="Arial"/>
          <w:kern w:val="0"/>
          <w:sz w:val="22"/>
        </w:rPr>
        <w:t>μ</w:t>
      </w:r>
      <w:r w:rsidRPr="004F492F">
        <w:rPr>
          <w:rFonts w:ascii="Arial" w:hAnsi="Arial" w:cs="Arial"/>
          <w:kern w:val="0"/>
          <w:sz w:val="22"/>
        </w:rPr>
        <w:t>m</w:t>
      </w:r>
      <w:proofErr w:type="spellEnd"/>
      <w:r w:rsidRPr="004F492F">
        <w:rPr>
          <w:rFonts w:ascii="Arial" w:hAnsi="Arial" w:cs="Arial"/>
          <w:kern w:val="0"/>
          <w:sz w:val="22"/>
        </w:rPr>
        <w:t xml:space="preserve"> (</w:t>
      </w:r>
      <w:r w:rsidRPr="004F492F">
        <w:rPr>
          <w:rFonts w:ascii="Arial" w:hAnsi="Arial" w:cs="Arial"/>
          <w:b/>
          <w:bCs/>
          <w:sz w:val="22"/>
        </w:rPr>
        <w:t>D</w:t>
      </w:r>
      <w:r w:rsidRPr="004F492F">
        <w:rPr>
          <w:rFonts w:ascii="Arial" w:hAnsi="Arial" w:cs="Arial"/>
          <w:b/>
          <w:bCs/>
          <w:kern w:val="0"/>
          <w:sz w:val="22"/>
        </w:rPr>
        <w:t>–F</w:t>
      </w:r>
      <w:r w:rsidRPr="004F492F">
        <w:rPr>
          <w:rFonts w:ascii="Arial" w:hAnsi="Arial" w:cs="Arial"/>
          <w:kern w:val="0"/>
          <w:sz w:val="22"/>
        </w:rPr>
        <w:t>).</w:t>
      </w:r>
    </w:p>
    <w:p w14:paraId="0C07EA41" w14:textId="77777777" w:rsidR="00DA3634" w:rsidRPr="008A5FED" w:rsidRDefault="00DA3634" w:rsidP="00DA3634">
      <w:pPr>
        <w:spacing w:line="480" w:lineRule="auto"/>
        <w:rPr>
          <w:rFonts w:ascii="Arial" w:hAnsi="Arial" w:cs="Arial"/>
          <w:b/>
          <w:bCs/>
          <w:sz w:val="22"/>
        </w:rPr>
      </w:pPr>
      <w:bookmarkStart w:id="0" w:name="_Hlk195011481"/>
      <w:r w:rsidRPr="008C7780">
        <w:rPr>
          <w:rFonts w:ascii="Arial" w:hAnsi="Arial" w:cs="Arial" w:hint="eastAsia"/>
          <w:b/>
          <w:bCs/>
          <w:sz w:val="22"/>
        </w:rPr>
        <w:t xml:space="preserve">Supplementary figure 2. </w:t>
      </w:r>
      <w:r w:rsidRPr="008C7780">
        <w:rPr>
          <w:rFonts w:ascii="Arial" w:hAnsi="Arial" w:cs="Arial"/>
          <w:color w:val="222222"/>
          <w:sz w:val="22"/>
          <w:shd w:val="clear" w:color="auto" w:fill="FFFFFF"/>
        </w:rPr>
        <w:t xml:space="preserve">Cell body areas are approximately normally distributed, warranting parametric statistics. Outliers greater than 1.5 interquartile ranges above quartile 3 were excluded from analysis. The line describing a perfectly linear relationship (correlation coefficient of 1) between theoretical, normally distributed quantiles and </w:t>
      </w:r>
      <w:r w:rsidRPr="008C7780">
        <w:rPr>
          <w:rFonts w:ascii="Arial" w:hAnsi="Arial" w:cs="Arial" w:hint="eastAsia"/>
          <w:color w:val="222222"/>
          <w:sz w:val="22"/>
          <w:shd w:val="clear" w:color="auto" w:fill="FFFFFF"/>
        </w:rPr>
        <w:t>the</w:t>
      </w:r>
      <w:r w:rsidRPr="008C7780">
        <w:rPr>
          <w:rFonts w:ascii="Arial" w:hAnsi="Arial" w:cs="Arial"/>
          <w:color w:val="222222"/>
          <w:sz w:val="22"/>
          <w:shd w:val="clear" w:color="auto" w:fill="FFFFFF"/>
        </w:rPr>
        <w:t xml:space="preserve"> dataset's quantiles is displayed in red, whereas observed data points are displayed in black.</w:t>
      </w:r>
      <w:bookmarkEnd w:id="0"/>
    </w:p>
    <w:p w14:paraId="0AD36EE1" w14:textId="77777777" w:rsidR="00DA3634" w:rsidRDefault="00DA3634"/>
    <w:sectPr w:rsidR="00DA36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634"/>
    <w:rsid w:val="001F01BA"/>
    <w:rsid w:val="00B77C52"/>
    <w:rsid w:val="00BE64F5"/>
    <w:rsid w:val="00DA3634"/>
    <w:rsid w:val="00FB4FB9"/>
    <w:rsid w:val="00FC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E2A09"/>
  <w15:chartTrackingRefBased/>
  <w15:docId w15:val="{476FD77B-2F78-4E4D-8EF6-25546F0A2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634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Ramakrishnan Senthamarai (Integra)</dc:creator>
  <cp:keywords/>
  <dc:description/>
  <cp:lastModifiedBy>Ramakrishnan Senthamarai (Integra)</cp:lastModifiedBy>
  <cp:revision>1</cp:revision>
  <dcterms:created xsi:type="dcterms:W3CDTF">2025-04-20T08:13:00Z</dcterms:created>
  <dcterms:modified xsi:type="dcterms:W3CDTF">2025-04-20T08:14:00Z</dcterms:modified>
</cp:coreProperties>
</file>