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B5710A">
      <w:pPr>
        <w:pStyle w:val="52"/>
      </w:pPr>
      <w:r>
        <w:t>Supplementary Material</w:t>
      </w:r>
    </w:p>
    <w:p w14:paraId="61BE39F6">
      <w:pPr>
        <w:widowControl w:val="0"/>
        <w:spacing w:before="0" w:after="0"/>
        <w:ind w:firstLine="960" w:firstLineChars="400"/>
        <w:jc w:val="both"/>
      </w:pPr>
      <w:r>
        <w:rPr>
          <w:rFonts w:eastAsia="Open Sans" w:cs="Times New Roman"/>
          <w:b/>
          <w:color w:val="000000"/>
          <w:kern w:val="2"/>
          <w:szCs w:val="24"/>
          <w:shd w:val="clear" w:color="auto" w:fill="FFFFFF"/>
          <w:lang w:eastAsia="zh-CN"/>
        </w:rPr>
        <w:t>Supplementary Table 1</w:t>
      </w:r>
      <w:r>
        <w:rPr>
          <w:rFonts w:eastAsia="宋体" w:cs="Times New Roman"/>
          <w:b/>
          <w:color w:val="000000"/>
          <w:kern w:val="2"/>
          <w:szCs w:val="24"/>
          <w:shd w:val="clear" w:color="auto" w:fill="FFFFFF"/>
          <w:lang w:eastAsia="zh-CN"/>
        </w:rPr>
        <w:t>.</w:t>
      </w:r>
      <w:r>
        <w:rPr>
          <w:rFonts w:eastAsia="Open Sans" w:cs="Times New Roman"/>
          <w:b/>
          <w:color w:val="000000"/>
          <w:kern w:val="2"/>
          <w:szCs w:val="24"/>
          <w:shd w:val="clear" w:color="auto" w:fill="FFFFFF"/>
          <w:lang w:eastAsia="zh-CN"/>
        </w:rPr>
        <w:t xml:space="preserve"> </w:t>
      </w:r>
      <w:r>
        <w:rPr>
          <w:rFonts w:hint="eastAsia" w:eastAsia="Open Sans" w:cs="Times New Roman"/>
          <w:b/>
          <w:color w:val="000000"/>
          <w:kern w:val="2"/>
          <w:szCs w:val="24"/>
          <w:shd w:val="clear" w:color="auto" w:fill="FFFFFF"/>
          <w:lang w:eastAsia="zh-CN"/>
        </w:rPr>
        <w:t>Detailed panel of antibodies employed in mass cytometry</w:t>
      </w:r>
      <w:r>
        <w:rPr>
          <w:rFonts w:eastAsia="宋体" w:cs="Times New Roman"/>
          <w:b/>
          <w:color w:val="000000"/>
          <w:kern w:val="2"/>
          <w:szCs w:val="24"/>
          <w:shd w:val="clear" w:color="auto" w:fill="FFFFFF"/>
          <w:lang w:eastAsia="zh-CN"/>
        </w:rPr>
        <w:t>.</w:t>
      </w:r>
    </w:p>
    <w:tbl>
      <w:tblPr>
        <w:tblStyle w:val="20"/>
        <w:tblpPr w:leftFromText="180" w:rightFromText="180" w:vertAnchor="text" w:horzAnchor="page" w:tblpXSpec="center" w:tblpY="77"/>
        <w:tblOverlap w:val="never"/>
        <w:tblW w:w="80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5"/>
        <w:gridCol w:w="2070"/>
        <w:gridCol w:w="2258"/>
        <w:gridCol w:w="1885"/>
      </w:tblGrid>
      <w:tr w14:paraId="0FD87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86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 w14:paraId="59C28E72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Antigen</w:t>
            </w: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 w14:paraId="17DFA3D4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Symbol and Mass</w:t>
            </w:r>
          </w:p>
        </w:tc>
        <w:tc>
          <w:tcPr>
            <w:tcW w:w="225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 w14:paraId="799CAB84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val="en-US" w:eastAsia="zh-CN"/>
              </w:rPr>
              <w:t>C</w:t>
            </w: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lone</w:t>
            </w:r>
          </w:p>
        </w:tc>
        <w:tc>
          <w:tcPr>
            <w:tcW w:w="18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 w14:paraId="0A6CED4E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Source</w:t>
            </w:r>
          </w:p>
        </w:tc>
      </w:tr>
      <w:tr w14:paraId="47606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186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</w:tcPr>
          <w:p w14:paraId="7D675E2F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CD45</w:t>
            </w: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</w:tcPr>
          <w:p w14:paraId="019519E7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89Y</w:t>
            </w:r>
          </w:p>
        </w:tc>
        <w:tc>
          <w:tcPr>
            <w:tcW w:w="225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F6AE4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HI30</w:t>
            </w:r>
          </w:p>
        </w:tc>
        <w:tc>
          <w:tcPr>
            <w:tcW w:w="188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</w:tcPr>
          <w:p w14:paraId="7A847A9A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Fluidigm</w:t>
            </w:r>
          </w:p>
        </w:tc>
      </w:tr>
      <w:tr w14:paraId="7558F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52BC1A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CD4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070D4F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1</w:t>
            </w: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16Cd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965DB3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RPA-T4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95793E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BioLegend</w:t>
            </w:r>
          </w:p>
        </w:tc>
      </w:tr>
      <w:tr w14:paraId="4A0AB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359B41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CS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921236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14</w:t>
            </w: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1Pr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1765D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EPR8067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B691F8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Abcam</w:t>
            </w:r>
          </w:p>
        </w:tc>
      </w:tr>
      <w:tr w14:paraId="272F5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E1BF2D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CD14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6FD700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142Ce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97D094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134620R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296C5F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R&amp;D</w:t>
            </w:r>
          </w:p>
        </w:tc>
      </w:tr>
      <w:tr w14:paraId="63D86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5A59A9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CD11c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2E84A1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143Nd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A30555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ICRF 3.9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1056A2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R&amp;D</w:t>
            </w:r>
          </w:p>
        </w:tc>
      </w:tr>
      <w:tr w14:paraId="05875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DA8547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CPT1A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3793F6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144Nd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3433CA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8F6AE9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B38F24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Abcam</w:t>
            </w:r>
          </w:p>
        </w:tc>
      </w:tr>
      <w:tr w14:paraId="41154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69BE4E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ATP5A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B68442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145Nd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FCD495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15H4C4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7434AA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Abcam</w:t>
            </w:r>
          </w:p>
        </w:tc>
      </w:tr>
      <w:tr w14:paraId="1DCA2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E2C4CE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CD8a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A4FC7D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146Nd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76FF3C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RPA-T8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2A60A3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Fluidigm</w:t>
            </w:r>
          </w:p>
        </w:tc>
      </w:tr>
      <w:tr w14:paraId="4913F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9DE1FA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CD7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F33094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147Sm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B61E1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CD7-6B7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06AC7D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Fluidigm</w:t>
            </w:r>
          </w:p>
        </w:tc>
      </w:tr>
      <w:tr w14:paraId="4B57E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F5CED4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CD45RO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0C583C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148Sm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A1B8A1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CuHL1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34F997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BioLegend</w:t>
            </w:r>
          </w:p>
        </w:tc>
      </w:tr>
      <w:tr w14:paraId="48636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655369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CD25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3D8B61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149Sm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18F6D5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2A3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C2271E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Fluidigm</w:t>
            </w:r>
          </w:p>
        </w:tc>
      </w:tr>
      <w:tr w14:paraId="58B50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580E29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SDHA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23F63D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150Sm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A569A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2E3GC12FB2AE2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C946FC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Abcam</w:t>
            </w:r>
          </w:p>
        </w:tc>
      </w:tr>
      <w:tr w14:paraId="28E51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EA7901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CD16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30D821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151Eu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E04FBE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3G8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5FF921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BioLegend</w:t>
            </w:r>
          </w:p>
        </w:tc>
      </w:tr>
      <w:tr w14:paraId="3E8D6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ADFEFA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OGDH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1BBE72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152Gd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5FE8B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EPR27181-78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E30040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Abcam</w:t>
            </w:r>
          </w:p>
        </w:tc>
      </w:tr>
      <w:tr w14:paraId="4619D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4FA703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OPA1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C70184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153Eu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922695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1E81D9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DEDEE6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Abcam</w:t>
            </w:r>
          </w:p>
        </w:tc>
      </w:tr>
      <w:tr w14:paraId="4BB7E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3DFD03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VDAC1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2058C6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154Gd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A6100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20B12AF2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67F1E6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Abcam</w:t>
            </w:r>
          </w:p>
        </w:tc>
      </w:tr>
      <w:tr w14:paraId="4C4EA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3A4A95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PD</w:t>
            </w:r>
            <w:r>
              <w:rPr>
                <w:rFonts w:hint="eastAsia" w:eastAsia="等线" w:cs="Times New Roman"/>
                <w:color w:val="000000"/>
                <w:szCs w:val="24"/>
                <w:lang w:val="en-US" w:eastAsia="zh-CN"/>
              </w:rPr>
              <w:t>-</w:t>
            </w: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4C31D5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155Gd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20B450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EH12.2H7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B22553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Fluidigm</w:t>
            </w:r>
          </w:p>
        </w:tc>
      </w:tr>
      <w:tr w14:paraId="58EC1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6336BD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PGC1a_p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379FB6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156Gd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70C04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S571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94EA44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R&amp;D</w:t>
            </w:r>
          </w:p>
        </w:tc>
      </w:tr>
      <w:tr w14:paraId="16ED6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AF9665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IDH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29A910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158Gd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794C5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EPR21002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2307C1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Abcam</w:t>
            </w:r>
          </w:p>
        </w:tc>
      </w:tr>
      <w:tr w14:paraId="17074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A896E1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CCR7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B10A1C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159Tb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DD9BE1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G043H7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B1DA0F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Fluidigm</w:t>
            </w:r>
          </w:p>
        </w:tc>
      </w:tr>
      <w:tr w14:paraId="3D80E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C92898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NRF1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26FCD9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160Dy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F026C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EPR5554(N)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CCD129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Abcam</w:t>
            </w:r>
          </w:p>
        </w:tc>
      </w:tr>
      <w:tr w14:paraId="1B6DA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81813D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CTLA</w:t>
            </w: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-</w:t>
            </w: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47C918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161Dy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FA5F94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14D3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31A401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Fluidigm</w:t>
            </w:r>
          </w:p>
        </w:tc>
      </w:tr>
      <w:tr w14:paraId="55157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F7C840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CD69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CA1125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162Dy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00A6BB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FN50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096285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Fluidigm</w:t>
            </w:r>
          </w:p>
        </w:tc>
      </w:tr>
      <w:tr w14:paraId="63DEE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34BE4F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NRF2_p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75A8F9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163Dy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E05536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EP1809Y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31E305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Fluidigm</w:t>
            </w:r>
          </w:p>
        </w:tc>
      </w:tr>
      <w:tr w14:paraId="10A8F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679592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KEAP1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E1FCB3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164Dy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A81FD8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EPR22664-26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DA5983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Abcam</w:t>
            </w:r>
          </w:p>
        </w:tc>
      </w:tr>
      <w:tr w14:paraId="6CD5B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4D2436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HIF1A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7310B1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166Er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5457C7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BL-124-3F7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B84256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Abcam</w:t>
            </w:r>
          </w:p>
        </w:tc>
      </w:tr>
      <w:tr w14:paraId="5363E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CC0791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mTOR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4B225C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167Er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7217B5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Y391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04775B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Abcam</w:t>
            </w:r>
          </w:p>
        </w:tc>
      </w:tr>
      <w:tr w14:paraId="6FD0C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B71DA3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ICOS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F8C065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168Er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9B5CA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C398.4A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BFCAB9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Fluidigm</w:t>
            </w:r>
          </w:p>
        </w:tc>
      </w:tr>
      <w:tr w14:paraId="63B07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9BF802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CD45RA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863AAC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169Tm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859912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HI100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4E3768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Fluidigm</w:t>
            </w:r>
          </w:p>
        </w:tc>
      </w:tr>
      <w:tr w14:paraId="47A58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10DAC3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CD3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A53000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170Yb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2F3C95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UCHT1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33DCAD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Fluidigm</w:t>
            </w:r>
          </w:p>
        </w:tc>
      </w:tr>
      <w:tr w14:paraId="48267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AC2D58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XBP1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545E29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171Yb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AD38E4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143F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6C4F2F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Abcam</w:t>
            </w:r>
          </w:p>
        </w:tc>
      </w:tr>
      <w:tr w14:paraId="29F2E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6619D2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CD57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F93E72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172Yb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DD54E3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HCD57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0E4827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Fluidigm</w:t>
            </w:r>
          </w:p>
        </w:tc>
      </w:tr>
      <w:tr w14:paraId="5B560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E6F646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CytC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82C05C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173Yb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1A5699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6H2.B4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7908DE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BioLegend</w:t>
            </w:r>
          </w:p>
        </w:tc>
      </w:tr>
      <w:tr w14:paraId="63E2D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1591A5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HLA-DR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812009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174Yb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B6E2D7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LN3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294FAF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BioLegend</w:t>
            </w:r>
          </w:p>
        </w:tc>
      </w:tr>
      <w:tr w14:paraId="6491D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5B05CE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CD19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FA77EC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175Lu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D7422C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HIB19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12569F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Fluidigm</w:t>
            </w:r>
          </w:p>
        </w:tc>
      </w:tr>
      <w:tr w14:paraId="7FE99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 w14:paraId="497BED7C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CD127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 w14:paraId="32528557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176Lu</w:t>
            </w:r>
          </w:p>
        </w:tc>
        <w:tc>
          <w:tcPr>
            <w:tcW w:w="225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22D22589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A019D5</w:t>
            </w: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72F6C4D2">
            <w:pPr>
              <w:spacing w:before="0" w:after="0"/>
              <w:jc w:val="center"/>
              <w:rPr>
                <w:rFonts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eastAsia="zh-CN"/>
              </w:rPr>
              <w:t>Fluidigm</w:t>
            </w:r>
          </w:p>
        </w:tc>
      </w:tr>
    </w:tbl>
    <w:p w14:paraId="3EE4F9A0">
      <w:pPr>
        <w:widowControl w:val="0"/>
        <w:spacing w:before="0" w:after="0"/>
        <w:jc w:val="both"/>
        <w:rPr>
          <w:rFonts w:ascii="Calibri" w:hAnsi="Calibri" w:eastAsia="宋体" w:cs="Times New Roman"/>
          <w:kern w:val="2"/>
          <w:sz w:val="21"/>
          <w:szCs w:val="24"/>
          <w:lang w:eastAsia="zh-CN"/>
        </w:rPr>
      </w:pPr>
    </w:p>
    <w:p w14:paraId="71495327">
      <w:pPr>
        <w:widowControl w:val="0"/>
        <w:spacing w:before="0" w:after="0"/>
        <w:jc w:val="both"/>
        <w:rPr>
          <w:rFonts w:ascii="Calibri" w:hAnsi="Calibri" w:eastAsia="宋体" w:cs="Times New Roman"/>
          <w:kern w:val="2"/>
          <w:sz w:val="21"/>
          <w:szCs w:val="24"/>
          <w:lang w:eastAsia="zh-CN"/>
        </w:rPr>
      </w:pPr>
    </w:p>
    <w:p w14:paraId="2507EBD1">
      <w:pPr>
        <w:spacing w:before="240"/>
      </w:pPr>
    </w:p>
    <w:p w14:paraId="3BEE7317">
      <w:pPr>
        <w:spacing w:before="240"/>
      </w:pPr>
    </w:p>
    <w:p w14:paraId="45C1FBBE">
      <w:pPr>
        <w:spacing w:before="240"/>
      </w:pPr>
    </w:p>
    <w:p w14:paraId="3DE37F51">
      <w:pPr>
        <w:spacing w:before="240"/>
      </w:pPr>
    </w:p>
    <w:p w14:paraId="5B98115A">
      <w:pPr>
        <w:spacing w:before="240"/>
      </w:pPr>
    </w:p>
    <w:p w14:paraId="73DE9C1C">
      <w:pPr>
        <w:spacing w:before="240"/>
      </w:pPr>
    </w:p>
    <w:p w14:paraId="3E17C606">
      <w:pPr>
        <w:spacing w:before="240"/>
      </w:pPr>
    </w:p>
    <w:p w14:paraId="3114A4BB">
      <w:pPr>
        <w:spacing w:before="240"/>
      </w:pPr>
    </w:p>
    <w:p w14:paraId="00005787">
      <w:pPr>
        <w:spacing w:before="240"/>
      </w:pPr>
    </w:p>
    <w:p w14:paraId="282A955C">
      <w:pPr>
        <w:spacing w:before="240"/>
      </w:pPr>
    </w:p>
    <w:p w14:paraId="04B0B08F">
      <w:pPr>
        <w:spacing w:before="240"/>
      </w:pPr>
    </w:p>
    <w:p w14:paraId="09721FD1">
      <w:pPr>
        <w:spacing w:before="240"/>
      </w:pPr>
    </w:p>
    <w:p w14:paraId="7A3B3B70">
      <w:pPr>
        <w:spacing w:before="240"/>
      </w:pPr>
    </w:p>
    <w:p w14:paraId="4D641F76">
      <w:pPr>
        <w:spacing w:before="240"/>
      </w:pPr>
    </w:p>
    <w:p w14:paraId="1517E1BD">
      <w:pPr>
        <w:spacing w:before="240"/>
      </w:pPr>
    </w:p>
    <w:p w14:paraId="503BCA67">
      <w:pPr>
        <w:spacing w:before="240"/>
      </w:pPr>
    </w:p>
    <w:p w14:paraId="20D0BAD8">
      <w:pPr>
        <w:spacing w:before="240"/>
      </w:pPr>
    </w:p>
    <w:p w14:paraId="029CB9C1">
      <w:pPr>
        <w:spacing w:before="240"/>
      </w:pPr>
    </w:p>
    <w:p w14:paraId="518EC6F4">
      <w:pPr>
        <w:spacing w:before="240"/>
      </w:pPr>
    </w:p>
    <w:p w14:paraId="6D734E11">
      <w:pPr>
        <w:spacing w:before="240"/>
      </w:pPr>
    </w:p>
    <w:p w14:paraId="7B86C155">
      <w:pPr>
        <w:spacing w:before="240"/>
      </w:pPr>
    </w:p>
    <w:p w14:paraId="7BB3CE17">
      <w:pPr>
        <w:spacing w:before="240"/>
      </w:pPr>
    </w:p>
    <w:tbl>
      <w:tblPr>
        <w:tblStyle w:val="20"/>
        <w:tblpPr w:leftFromText="180" w:rightFromText="180" w:vertAnchor="page" w:horzAnchor="page" w:tblpXSpec="center" w:tblpY="2123"/>
        <w:tblOverlap w:val="never"/>
        <w:tblW w:w="8302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6"/>
        <w:gridCol w:w="1892"/>
        <w:gridCol w:w="1559"/>
        <w:gridCol w:w="1135"/>
      </w:tblGrid>
      <w:tr w14:paraId="291939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716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BF63E12"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Characteristics</w:t>
            </w:r>
          </w:p>
        </w:tc>
        <w:tc>
          <w:tcPr>
            <w:tcW w:w="1892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0B7F9CD"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MMD patients</w:t>
            </w:r>
            <w:r>
              <w:rPr>
                <w:rFonts w:hint="eastAsia" w:eastAsia="宋体" w:cs="Times New Roman"/>
                <w:color w:val="000000"/>
                <w:szCs w:val="24"/>
                <w:lang w:eastAsia="zh-CN" w:bidi="ar"/>
              </w:rPr>
              <w:t xml:space="preserve"> (N = 35)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CF70F54">
            <w:pPr>
              <w:widowControl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 w:bidi="ar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HCs</w:t>
            </w:r>
          </w:p>
          <w:p w14:paraId="0D13EC0D">
            <w:pPr>
              <w:widowControl w:val="0"/>
              <w:spacing w:before="0" w:after="0"/>
              <w:jc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Cs w:val="24"/>
                <w:lang w:eastAsia="zh-CN" w:bidi="ar"/>
              </w:rPr>
              <w:t>(N = 20)</w:t>
            </w:r>
          </w:p>
        </w:tc>
        <w:tc>
          <w:tcPr>
            <w:tcW w:w="113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0535CBA"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szCs w:val="24"/>
                <w:lang w:eastAsia="zh-CN" w:bidi="ar"/>
              </w:rPr>
            </w:pPr>
            <w:r>
              <w:rPr>
                <w:rFonts w:eastAsia="宋体" w:cs="Times New Roman"/>
                <w:i/>
                <w:iCs/>
                <w:color w:val="000000"/>
                <w:szCs w:val="24"/>
                <w:lang w:eastAsia="zh-CN" w:bidi="ar"/>
              </w:rPr>
              <w:t>p</w:t>
            </w:r>
            <w:r>
              <w:rPr>
                <w:rFonts w:hint="eastAsia" w:eastAsia="宋体" w:cs="Times New Roman"/>
                <w:color w:val="000000"/>
                <w:szCs w:val="24"/>
                <w:lang w:val="en-US" w:eastAsia="zh-CN" w:bidi="ar"/>
              </w:rPr>
              <w:t>-</w:t>
            </w: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value</w:t>
            </w:r>
          </w:p>
        </w:tc>
      </w:tr>
      <w:tr w14:paraId="535B03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716" w:type="dxa"/>
            <w:tcBorders>
              <w:top w:val="single" w:color="auto" w:sz="4" w:space="0"/>
            </w:tcBorders>
            <w:shd w:val="clear" w:color="auto" w:fill="auto"/>
            <w:noWrap/>
          </w:tcPr>
          <w:p w14:paraId="47C51BE6">
            <w:pPr>
              <w:widowControl w:val="0"/>
              <w:spacing w:before="0" w:after="0"/>
              <w:jc w:val="both"/>
              <w:rPr>
                <w:rFonts w:eastAsia="宋体" w:cs="Times New Roman"/>
                <w:i/>
                <w:iCs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Demographic</w:t>
            </w:r>
          </w:p>
        </w:tc>
        <w:tc>
          <w:tcPr>
            <w:tcW w:w="1892" w:type="dxa"/>
            <w:tcBorders>
              <w:top w:val="single" w:color="auto" w:sz="4" w:space="0"/>
            </w:tcBorders>
            <w:shd w:val="clear" w:color="auto" w:fill="auto"/>
            <w:noWrap/>
          </w:tcPr>
          <w:p w14:paraId="6FCC1FCB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color="auto" w:sz="4" w:space="0"/>
            </w:tcBorders>
            <w:shd w:val="clear" w:color="auto" w:fill="auto"/>
            <w:noWrap/>
          </w:tcPr>
          <w:p w14:paraId="04EC9567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</w:p>
        </w:tc>
        <w:tc>
          <w:tcPr>
            <w:tcW w:w="1135" w:type="dxa"/>
            <w:tcBorders>
              <w:top w:val="single" w:color="auto" w:sz="4" w:space="0"/>
            </w:tcBorders>
            <w:shd w:val="clear" w:color="auto" w:fill="auto"/>
            <w:noWrap/>
          </w:tcPr>
          <w:p w14:paraId="032C3E34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</w:p>
        </w:tc>
      </w:tr>
      <w:tr w14:paraId="1EA3DC3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716" w:type="dxa"/>
            <w:shd w:val="clear" w:color="auto" w:fill="auto"/>
            <w:noWrap/>
          </w:tcPr>
          <w:p w14:paraId="65A97CFC">
            <w:pPr>
              <w:widowControl w:val="0"/>
              <w:spacing w:before="0" w:after="0"/>
              <w:ind w:firstLine="240" w:firstLineChars="10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 xml:space="preserve">Age </w:t>
            </w:r>
            <w:r>
              <w:rPr>
                <w:rFonts w:hint="eastAsia" w:eastAsia="宋体" w:cs="Times New Roman"/>
                <w:kern w:val="2"/>
                <w:szCs w:val="24"/>
                <w:lang w:val="en-US" w:eastAsia="zh-CN"/>
              </w:rPr>
              <w:t>(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>years</w:t>
            </w:r>
            <w:r>
              <w:rPr>
                <w:rFonts w:hint="eastAsia" w:eastAsia="宋体" w:cs="Times New Roman"/>
                <w:kern w:val="2"/>
                <w:szCs w:val="24"/>
                <w:lang w:val="en-US" w:eastAsia="zh-CN"/>
              </w:rPr>
              <w:t>)</w:t>
            </w: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, mean</w:t>
            </w:r>
            <w:r>
              <w:rPr>
                <w:rFonts w:eastAsia="Times New Roman" w:cs="Times New Roman"/>
                <w:snapToGrid w:val="0"/>
                <w:kern w:val="2"/>
                <w:szCs w:val="24"/>
                <w:lang w:eastAsia="zh-CN" w:bidi="en-US"/>
              </w:rPr>
              <w:t xml:space="preserve"> ± </w:t>
            </w: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SD</w:t>
            </w:r>
          </w:p>
        </w:tc>
        <w:tc>
          <w:tcPr>
            <w:tcW w:w="1892" w:type="dxa"/>
            <w:shd w:val="clear" w:color="auto" w:fill="auto"/>
            <w:noWrap/>
          </w:tcPr>
          <w:p w14:paraId="322CBEAB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 xml:space="preserve">38.4 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>±</w:t>
            </w: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 xml:space="preserve"> 7.</w:t>
            </w:r>
            <w:r>
              <w:rPr>
                <w:rFonts w:hint="eastAsia" w:eastAsia="宋体" w:cs="Times New Roman"/>
                <w:kern w:val="2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</w:tcPr>
          <w:p w14:paraId="799B67E8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 xml:space="preserve">35.4 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>±</w:t>
            </w: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 xml:space="preserve"> 7.</w:t>
            </w:r>
            <w:r>
              <w:rPr>
                <w:rFonts w:hint="eastAsia" w:eastAsia="宋体" w:cs="Times New Roman"/>
                <w:kern w:val="2"/>
                <w:szCs w:val="24"/>
                <w:lang w:val="en-US" w:eastAsia="zh-CN"/>
              </w:rPr>
              <w:t>7</w:t>
            </w: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 xml:space="preserve"> </w:t>
            </w:r>
          </w:p>
        </w:tc>
        <w:tc>
          <w:tcPr>
            <w:tcW w:w="1135" w:type="dxa"/>
            <w:shd w:val="clear" w:color="auto" w:fill="auto"/>
            <w:noWrap/>
          </w:tcPr>
          <w:p w14:paraId="59EE1B8D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0.151</w:t>
            </w:r>
          </w:p>
        </w:tc>
      </w:tr>
      <w:tr w14:paraId="5AED05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716" w:type="dxa"/>
            <w:shd w:val="clear" w:color="auto" w:fill="auto"/>
            <w:noWrap/>
          </w:tcPr>
          <w:p w14:paraId="0F433A31">
            <w:pPr>
              <w:widowControl w:val="0"/>
              <w:spacing w:before="0" w:after="0"/>
              <w:ind w:firstLine="240" w:firstLineChars="10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 xml:space="preserve">Female/male ratio </w:t>
            </w:r>
          </w:p>
        </w:tc>
        <w:tc>
          <w:tcPr>
            <w:tcW w:w="1892" w:type="dxa"/>
            <w:shd w:val="clear" w:color="auto" w:fill="auto"/>
            <w:noWrap/>
          </w:tcPr>
          <w:p w14:paraId="211C1CFB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17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>/</w:t>
            </w: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18</w:t>
            </w:r>
          </w:p>
        </w:tc>
        <w:tc>
          <w:tcPr>
            <w:tcW w:w="1559" w:type="dxa"/>
            <w:shd w:val="clear" w:color="auto" w:fill="auto"/>
            <w:noWrap/>
          </w:tcPr>
          <w:p w14:paraId="4E907EFB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11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>/</w:t>
            </w: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9</w:t>
            </w:r>
          </w:p>
        </w:tc>
        <w:tc>
          <w:tcPr>
            <w:tcW w:w="1135" w:type="dxa"/>
            <w:shd w:val="clear" w:color="auto" w:fill="auto"/>
            <w:noWrap/>
          </w:tcPr>
          <w:p w14:paraId="18644D0F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0.646</w:t>
            </w:r>
          </w:p>
        </w:tc>
      </w:tr>
      <w:tr w14:paraId="5EAB5EC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716" w:type="dxa"/>
            <w:shd w:val="clear" w:color="auto" w:fill="auto"/>
            <w:noWrap/>
          </w:tcPr>
          <w:p w14:paraId="51EC6930">
            <w:pPr>
              <w:widowControl w:val="0"/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Vascular risk factors, n (%)</w:t>
            </w:r>
          </w:p>
        </w:tc>
        <w:tc>
          <w:tcPr>
            <w:tcW w:w="1892" w:type="dxa"/>
            <w:shd w:val="clear" w:color="auto" w:fill="auto"/>
            <w:noWrap/>
          </w:tcPr>
          <w:p w14:paraId="758C281B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1CEB9390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</w:p>
        </w:tc>
        <w:tc>
          <w:tcPr>
            <w:tcW w:w="1135" w:type="dxa"/>
            <w:shd w:val="clear" w:color="auto" w:fill="auto"/>
            <w:noWrap/>
          </w:tcPr>
          <w:p w14:paraId="1488C99E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</w:p>
        </w:tc>
      </w:tr>
      <w:tr w14:paraId="7DB3C50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716" w:type="dxa"/>
            <w:shd w:val="clear" w:color="auto" w:fill="auto"/>
            <w:noWrap/>
          </w:tcPr>
          <w:p w14:paraId="6F5F0055">
            <w:pPr>
              <w:widowControl w:val="0"/>
              <w:spacing w:before="0" w:after="0"/>
              <w:ind w:firstLine="240" w:firstLineChars="10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H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>ypertension</w:t>
            </w:r>
          </w:p>
        </w:tc>
        <w:tc>
          <w:tcPr>
            <w:tcW w:w="1892" w:type="dxa"/>
            <w:shd w:val="clear" w:color="auto" w:fill="auto"/>
            <w:noWrap/>
          </w:tcPr>
          <w:p w14:paraId="2A9C9E23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 xml:space="preserve"> 10 (28.6)</w:t>
            </w:r>
          </w:p>
        </w:tc>
        <w:tc>
          <w:tcPr>
            <w:tcW w:w="1559" w:type="dxa"/>
            <w:shd w:val="clear" w:color="auto" w:fill="auto"/>
            <w:noWrap/>
          </w:tcPr>
          <w:p w14:paraId="556B75DC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0 (0.0)</w:t>
            </w:r>
          </w:p>
        </w:tc>
        <w:tc>
          <w:tcPr>
            <w:tcW w:w="1135" w:type="dxa"/>
            <w:shd w:val="clear" w:color="auto" w:fill="auto"/>
            <w:noWrap/>
          </w:tcPr>
          <w:p w14:paraId="16956E43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0.023*</w:t>
            </w:r>
          </w:p>
        </w:tc>
      </w:tr>
      <w:tr w14:paraId="77FB6FD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716" w:type="dxa"/>
            <w:shd w:val="clear" w:color="auto" w:fill="auto"/>
            <w:noWrap/>
          </w:tcPr>
          <w:p w14:paraId="749B4CDA">
            <w:pPr>
              <w:widowControl w:val="0"/>
              <w:spacing w:before="0" w:after="0"/>
              <w:ind w:firstLine="240" w:firstLineChars="10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H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>yperlipidemia</w:t>
            </w:r>
          </w:p>
        </w:tc>
        <w:tc>
          <w:tcPr>
            <w:tcW w:w="1892" w:type="dxa"/>
            <w:shd w:val="clear" w:color="auto" w:fill="auto"/>
            <w:noWrap/>
          </w:tcPr>
          <w:p w14:paraId="04E02BD4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5 (14.3)</w:t>
            </w:r>
          </w:p>
        </w:tc>
        <w:tc>
          <w:tcPr>
            <w:tcW w:w="1559" w:type="dxa"/>
            <w:shd w:val="clear" w:color="auto" w:fill="auto"/>
            <w:noWrap/>
          </w:tcPr>
          <w:p w14:paraId="26FE1565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0 (0.0)</w:t>
            </w:r>
          </w:p>
        </w:tc>
        <w:tc>
          <w:tcPr>
            <w:tcW w:w="1135" w:type="dxa"/>
            <w:shd w:val="clear" w:color="auto" w:fill="auto"/>
            <w:noWrap/>
          </w:tcPr>
          <w:p w14:paraId="7C879210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0.147</w:t>
            </w:r>
          </w:p>
        </w:tc>
      </w:tr>
      <w:tr w14:paraId="373E3A7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716" w:type="dxa"/>
            <w:shd w:val="clear" w:color="auto" w:fill="auto"/>
            <w:noWrap/>
          </w:tcPr>
          <w:p w14:paraId="03FF5B76">
            <w:pPr>
              <w:widowControl w:val="0"/>
              <w:spacing w:before="0" w:after="0"/>
              <w:ind w:firstLine="240" w:firstLineChars="10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D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>iabetes mellitus</w:t>
            </w:r>
          </w:p>
        </w:tc>
        <w:tc>
          <w:tcPr>
            <w:tcW w:w="1892" w:type="dxa"/>
            <w:shd w:val="clear" w:color="auto" w:fill="auto"/>
            <w:noWrap/>
          </w:tcPr>
          <w:p w14:paraId="7664802D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1 (2.9)</w:t>
            </w:r>
          </w:p>
        </w:tc>
        <w:tc>
          <w:tcPr>
            <w:tcW w:w="1559" w:type="dxa"/>
            <w:shd w:val="clear" w:color="auto" w:fill="auto"/>
            <w:noWrap/>
          </w:tcPr>
          <w:p w14:paraId="0896350A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0 (0.0)</w:t>
            </w:r>
          </w:p>
        </w:tc>
        <w:tc>
          <w:tcPr>
            <w:tcW w:w="1135" w:type="dxa"/>
            <w:shd w:val="clear" w:color="auto" w:fill="auto"/>
            <w:noWrap/>
          </w:tcPr>
          <w:p w14:paraId="057D6953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1.000</w:t>
            </w:r>
          </w:p>
        </w:tc>
      </w:tr>
      <w:tr w14:paraId="0A4A08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716" w:type="dxa"/>
            <w:shd w:val="clear" w:color="auto" w:fill="auto"/>
            <w:noWrap/>
          </w:tcPr>
          <w:p w14:paraId="6955D29A">
            <w:pPr>
              <w:widowControl w:val="0"/>
              <w:spacing w:before="0" w:after="0"/>
              <w:ind w:firstLine="240" w:firstLineChars="10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Current smoking</w:t>
            </w:r>
          </w:p>
        </w:tc>
        <w:tc>
          <w:tcPr>
            <w:tcW w:w="1892" w:type="dxa"/>
            <w:shd w:val="clear" w:color="auto" w:fill="auto"/>
            <w:noWrap/>
          </w:tcPr>
          <w:p w14:paraId="1C7D42F3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8 (22.9)</w:t>
            </w:r>
          </w:p>
        </w:tc>
        <w:tc>
          <w:tcPr>
            <w:tcW w:w="1559" w:type="dxa"/>
            <w:shd w:val="clear" w:color="auto" w:fill="auto"/>
            <w:noWrap/>
          </w:tcPr>
          <w:p w14:paraId="0C7E386D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0 (0.0)</w:t>
            </w:r>
          </w:p>
        </w:tc>
        <w:tc>
          <w:tcPr>
            <w:tcW w:w="1135" w:type="dxa"/>
            <w:shd w:val="clear" w:color="auto" w:fill="auto"/>
            <w:noWrap/>
          </w:tcPr>
          <w:p w14:paraId="61476066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0.055</w:t>
            </w:r>
          </w:p>
        </w:tc>
      </w:tr>
      <w:tr w14:paraId="69CF31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716" w:type="dxa"/>
            <w:shd w:val="clear" w:color="auto" w:fill="auto"/>
            <w:noWrap/>
          </w:tcPr>
          <w:p w14:paraId="553E12C6">
            <w:pPr>
              <w:widowControl w:val="0"/>
              <w:spacing w:before="0" w:after="0"/>
              <w:ind w:firstLine="240" w:firstLineChars="10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Current alcohol consumption</w:t>
            </w:r>
          </w:p>
        </w:tc>
        <w:tc>
          <w:tcPr>
            <w:tcW w:w="1892" w:type="dxa"/>
            <w:shd w:val="clear" w:color="auto" w:fill="auto"/>
            <w:noWrap/>
          </w:tcPr>
          <w:p w14:paraId="49632725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5 (14.3)</w:t>
            </w:r>
          </w:p>
        </w:tc>
        <w:tc>
          <w:tcPr>
            <w:tcW w:w="1559" w:type="dxa"/>
            <w:shd w:val="clear" w:color="auto" w:fill="auto"/>
            <w:noWrap/>
          </w:tcPr>
          <w:p w14:paraId="7BE1A1E3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0 (0.0)</w:t>
            </w:r>
          </w:p>
        </w:tc>
        <w:tc>
          <w:tcPr>
            <w:tcW w:w="1135" w:type="dxa"/>
            <w:shd w:val="clear" w:color="auto" w:fill="auto"/>
            <w:noWrap/>
          </w:tcPr>
          <w:p w14:paraId="1A0C6D70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0.147</w:t>
            </w:r>
          </w:p>
        </w:tc>
      </w:tr>
      <w:tr w14:paraId="7AC6FAE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716" w:type="dxa"/>
            <w:shd w:val="clear" w:color="auto" w:fill="auto"/>
            <w:noWrap/>
          </w:tcPr>
          <w:p w14:paraId="4CB5CC87">
            <w:pPr>
              <w:widowControl w:val="0"/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Clinical manifestation</w:t>
            </w:r>
            <w:r>
              <w:rPr>
                <w:rFonts w:hint="eastAsia" w:eastAsia="宋体" w:cs="Times New Roman"/>
                <w:kern w:val="2"/>
                <w:szCs w:val="24"/>
                <w:lang w:val="en-US" w:eastAsia="zh-CN"/>
              </w:rPr>
              <w:t>s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>, n (%)</w:t>
            </w:r>
          </w:p>
        </w:tc>
        <w:tc>
          <w:tcPr>
            <w:tcW w:w="1892" w:type="dxa"/>
            <w:shd w:val="clear" w:color="auto" w:fill="auto"/>
            <w:noWrap/>
          </w:tcPr>
          <w:p w14:paraId="75742F15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053F22E2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</w:p>
        </w:tc>
        <w:tc>
          <w:tcPr>
            <w:tcW w:w="1135" w:type="dxa"/>
            <w:shd w:val="clear" w:color="auto" w:fill="auto"/>
            <w:noWrap/>
          </w:tcPr>
          <w:p w14:paraId="6229DB17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</w:p>
        </w:tc>
      </w:tr>
      <w:tr w14:paraId="62AE77E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716" w:type="dxa"/>
            <w:shd w:val="clear" w:color="auto" w:fill="auto"/>
            <w:noWrap/>
          </w:tcPr>
          <w:p w14:paraId="3E93C822">
            <w:pPr>
              <w:widowControl w:val="0"/>
              <w:spacing w:before="0" w:after="0"/>
              <w:ind w:firstLine="240" w:firstLineChars="10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Ischemic type</w:t>
            </w:r>
          </w:p>
        </w:tc>
        <w:tc>
          <w:tcPr>
            <w:tcW w:w="1892" w:type="dxa"/>
            <w:shd w:val="clear" w:color="auto" w:fill="auto"/>
            <w:noWrap/>
          </w:tcPr>
          <w:p w14:paraId="467188F5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20 (57.1)</w:t>
            </w:r>
          </w:p>
        </w:tc>
        <w:tc>
          <w:tcPr>
            <w:tcW w:w="1559" w:type="dxa"/>
            <w:shd w:val="clear" w:color="auto" w:fill="auto"/>
            <w:noWrap/>
          </w:tcPr>
          <w:p w14:paraId="0C9FF939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-</w:t>
            </w:r>
          </w:p>
        </w:tc>
        <w:tc>
          <w:tcPr>
            <w:tcW w:w="1135" w:type="dxa"/>
            <w:shd w:val="clear" w:color="auto" w:fill="auto"/>
            <w:noWrap/>
          </w:tcPr>
          <w:p w14:paraId="7028A77E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-</w:t>
            </w:r>
          </w:p>
        </w:tc>
      </w:tr>
      <w:tr w14:paraId="496A4E7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716" w:type="dxa"/>
            <w:shd w:val="clear" w:color="auto" w:fill="auto"/>
            <w:noWrap/>
          </w:tcPr>
          <w:p w14:paraId="5A3B68FB">
            <w:pPr>
              <w:widowControl w:val="0"/>
              <w:spacing w:before="0" w:after="0"/>
              <w:ind w:firstLine="240" w:firstLineChars="10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Hemorrhagic type</w:t>
            </w:r>
          </w:p>
        </w:tc>
        <w:tc>
          <w:tcPr>
            <w:tcW w:w="1892" w:type="dxa"/>
            <w:shd w:val="clear" w:color="auto" w:fill="auto"/>
            <w:noWrap/>
          </w:tcPr>
          <w:p w14:paraId="343753A1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15 (42.9)</w:t>
            </w:r>
          </w:p>
        </w:tc>
        <w:tc>
          <w:tcPr>
            <w:tcW w:w="1559" w:type="dxa"/>
            <w:shd w:val="clear" w:color="auto" w:fill="auto"/>
            <w:noWrap/>
          </w:tcPr>
          <w:p w14:paraId="49901749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-</w:t>
            </w:r>
          </w:p>
        </w:tc>
        <w:tc>
          <w:tcPr>
            <w:tcW w:w="1135" w:type="dxa"/>
            <w:shd w:val="clear" w:color="auto" w:fill="auto"/>
            <w:noWrap/>
          </w:tcPr>
          <w:p w14:paraId="37DA3685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-</w:t>
            </w:r>
          </w:p>
        </w:tc>
      </w:tr>
      <w:tr w14:paraId="30D751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716" w:type="dxa"/>
            <w:shd w:val="clear" w:color="auto" w:fill="auto"/>
            <w:noWrap/>
          </w:tcPr>
          <w:p w14:paraId="0E518713">
            <w:pPr>
              <w:widowControl w:val="0"/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 xml:space="preserve">Suzuki </w:t>
            </w:r>
            <w:r>
              <w:rPr>
                <w:rFonts w:hint="eastAsia" w:eastAsia="宋体" w:cs="Times New Roman"/>
                <w:kern w:val="2"/>
                <w:szCs w:val="24"/>
                <w:lang w:val="en-US" w:eastAsia="zh-CN"/>
              </w:rPr>
              <w:t>s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>tage, n (%)</w:t>
            </w:r>
          </w:p>
        </w:tc>
        <w:tc>
          <w:tcPr>
            <w:tcW w:w="1892" w:type="dxa"/>
            <w:shd w:val="clear" w:color="auto" w:fill="auto"/>
            <w:noWrap/>
          </w:tcPr>
          <w:p w14:paraId="68B794D4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65D57A4E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</w:p>
        </w:tc>
        <w:tc>
          <w:tcPr>
            <w:tcW w:w="1135" w:type="dxa"/>
            <w:shd w:val="clear" w:color="auto" w:fill="auto"/>
            <w:noWrap/>
          </w:tcPr>
          <w:p w14:paraId="49C1F4C0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-</w:t>
            </w:r>
          </w:p>
        </w:tc>
      </w:tr>
      <w:tr w14:paraId="549D4B4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716" w:type="dxa"/>
            <w:shd w:val="clear" w:color="auto" w:fill="auto"/>
            <w:noWrap/>
          </w:tcPr>
          <w:p w14:paraId="4F625158">
            <w:pPr>
              <w:widowControl w:val="0"/>
              <w:spacing w:before="0" w:after="0"/>
              <w:ind w:firstLine="240" w:firstLineChars="10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Stage</w:t>
            </w:r>
            <w:r>
              <w:rPr>
                <w:rFonts w:hint="eastAsia" w:eastAsia="宋体" w:cs="Times New Roman"/>
                <w:kern w:val="2"/>
                <w:szCs w:val="24"/>
                <w:lang w:val="en-US" w:eastAsia="zh-CN"/>
              </w:rPr>
              <w:t xml:space="preserve"> 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>1-2</w:t>
            </w:r>
          </w:p>
        </w:tc>
        <w:tc>
          <w:tcPr>
            <w:tcW w:w="1892" w:type="dxa"/>
            <w:shd w:val="clear" w:color="auto" w:fill="auto"/>
            <w:noWrap/>
          </w:tcPr>
          <w:p w14:paraId="09D772FD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7 (20.0)</w:t>
            </w:r>
          </w:p>
        </w:tc>
        <w:tc>
          <w:tcPr>
            <w:tcW w:w="1559" w:type="dxa"/>
            <w:shd w:val="clear" w:color="auto" w:fill="auto"/>
            <w:noWrap/>
          </w:tcPr>
          <w:p w14:paraId="29631B78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-</w:t>
            </w:r>
          </w:p>
        </w:tc>
        <w:tc>
          <w:tcPr>
            <w:tcW w:w="1135" w:type="dxa"/>
            <w:shd w:val="clear" w:color="auto" w:fill="auto"/>
            <w:noWrap/>
          </w:tcPr>
          <w:p w14:paraId="5A218FFA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-</w:t>
            </w:r>
          </w:p>
        </w:tc>
      </w:tr>
      <w:tr w14:paraId="6F405CE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716" w:type="dxa"/>
            <w:shd w:val="clear" w:color="auto" w:fill="auto"/>
            <w:noWrap/>
          </w:tcPr>
          <w:p w14:paraId="315EAEE0">
            <w:pPr>
              <w:widowControl w:val="0"/>
              <w:spacing w:before="0" w:after="0"/>
              <w:ind w:firstLine="240" w:firstLineChars="10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Stage</w:t>
            </w:r>
            <w:r>
              <w:rPr>
                <w:rFonts w:hint="eastAsia" w:eastAsia="宋体" w:cs="Times New Roman"/>
                <w:kern w:val="2"/>
                <w:szCs w:val="24"/>
                <w:lang w:val="en-US" w:eastAsia="zh-CN"/>
              </w:rPr>
              <w:t xml:space="preserve"> 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>3-4</w:t>
            </w:r>
          </w:p>
        </w:tc>
        <w:tc>
          <w:tcPr>
            <w:tcW w:w="1892" w:type="dxa"/>
            <w:shd w:val="clear" w:color="auto" w:fill="auto"/>
            <w:noWrap/>
          </w:tcPr>
          <w:p w14:paraId="1867A26A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22 (62.9)</w:t>
            </w:r>
          </w:p>
        </w:tc>
        <w:tc>
          <w:tcPr>
            <w:tcW w:w="1559" w:type="dxa"/>
            <w:shd w:val="clear" w:color="auto" w:fill="auto"/>
            <w:noWrap/>
          </w:tcPr>
          <w:p w14:paraId="5ACE8A95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-</w:t>
            </w:r>
          </w:p>
        </w:tc>
        <w:tc>
          <w:tcPr>
            <w:tcW w:w="1135" w:type="dxa"/>
            <w:shd w:val="clear" w:color="auto" w:fill="auto"/>
            <w:noWrap/>
          </w:tcPr>
          <w:p w14:paraId="40A75A4F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-</w:t>
            </w:r>
          </w:p>
        </w:tc>
      </w:tr>
      <w:tr w14:paraId="75773CF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716" w:type="dxa"/>
            <w:shd w:val="clear" w:color="auto" w:fill="auto"/>
            <w:noWrap/>
          </w:tcPr>
          <w:p w14:paraId="13398382">
            <w:pPr>
              <w:widowControl w:val="0"/>
              <w:spacing w:before="0" w:after="0"/>
              <w:ind w:firstLine="240" w:firstLineChars="10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Stage</w:t>
            </w:r>
            <w:r>
              <w:rPr>
                <w:rFonts w:hint="eastAsia" w:eastAsia="宋体" w:cs="Times New Roman"/>
                <w:kern w:val="2"/>
                <w:szCs w:val="24"/>
                <w:lang w:val="en-US" w:eastAsia="zh-CN"/>
              </w:rPr>
              <w:t xml:space="preserve"> 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>5-6</w:t>
            </w:r>
          </w:p>
        </w:tc>
        <w:tc>
          <w:tcPr>
            <w:tcW w:w="1892" w:type="dxa"/>
            <w:shd w:val="clear" w:color="auto" w:fill="auto"/>
            <w:noWrap/>
          </w:tcPr>
          <w:p w14:paraId="2076C781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6 (17.1)</w:t>
            </w:r>
          </w:p>
        </w:tc>
        <w:tc>
          <w:tcPr>
            <w:tcW w:w="1559" w:type="dxa"/>
            <w:shd w:val="clear" w:color="auto" w:fill="auto"/>
            <w:noWrap/>
          </w:tcPr>
          <w:p w14:paraId="07D058F6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-</w:t>
            </w:r>
          </w:p>
        </w:tc>
        <w:tc>
          <w:tcPr>
            <w:tcW w:w="1135" w:type="dxa"/>
            <w:shd w:val="clear" w:color="auto" w:fill="auto"/>
            <w:noWrap/>
          </w:tcPr>
          <w:p w14:paraId="5EF19894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-</w:t>
            </w:r>
          </w:p>
        </w:tc>
      </w:tr>
    </w:tbl>
    <w:p w14:paraId="7A6B5381">
      <w:pPr>
        <w:widowControl w:val="0"/>
        <w:spacing w:before="0" w:after="0"/>
        <w:jc w:val="both"/>
        <w:rPr>
          <w:rFonts w:hint="default" w:eastAsia="宋体" w:cs="Times New Roman"/>
          <w:b/>
          <w:bCs/>
          <w:color w:val="000000"/>
          <w:szCs w:val="24"/>
          <w:lang w:val="en-US" w:eastAsia="zh-CN" w:bidi="ar"/>
        </w:rPr>
      </w:pPr>
      <w:r>
        <w:rPr>
          <w:rFonts w:eastAsia="宋体" w:cs="Times New Roman"/>
          <w:b/>
          <w:bCs/>
          <w:color w:val="000000"/>
          <w:szCs w:val="24"/>
          <w:lang w:eastAsia="zh-CN" w:bidi="ar"/>
        </w:rPr>
        <w:t xml:space="preserve">Supplementary Table 2. </w:t>
      </w:r>
      <w:r>
        <w:rPr>
          <w:rFonts w:hint="eastAsia" w:eastAsia="宋体" w:cs="Times New Roman"/>
          <w:b/>
          <w:bCs/>
          <w:color w:val="000000"/>
          <w:szCs w:val="24"/>
          <w:lang w:eastAsia="zh-CN" w:bidi="ar"/>
        </w:rPr>
        <w:t>Summary of clinical features of MMD patients and healthy controls analyzed by mass cytometry</w:t>
      </w:r>
      <w:r>
        <w:rPr>
          <w:rFonts w:hint="eastAsia" w:eastAsia="宋体" w:cs="Times New Roman"/>
          <w:b/>
          <w:bCs/>
          <w:color w:val="000000"/>
          <w:szCs w:val="24"/>
          <w:lang w:val="en-US" w:eastAsia="zh-CN" w:bidi="ar"/>
        </w:rPr>
        <w:t>.</w:t>
      </w:r>
    </w:p>
    <w:p w14:paraId="026F727B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08877A7B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50727117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516956DD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51362CD5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2662CB56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371F618F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49EE7115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5B750D11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3483283B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26AB3E38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127EBB92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22EE7F9F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32A2B75A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2760C134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45E0A2A2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55CC0A46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0FB30F13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6356181A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12BE811A">
      <w:pPr>
        <w:widowControl w:val="0"/>
        <w:spacing w:before="0" w:after="0"/>
        <w:jc w:val="both"/>
        <w:rPr>
          <w:rFonts w:hint="eastAsia" w:eastAsia="宋体" w:cs="Times New Roman"/>
          <w:color w:val="000000"/>
          <w:szCs w:val="24"/>
          <w:lang w:eastAsia="zh-CN" w:bidi="ar"/>
        </w:rPr>
      </w:pPr>
      <w:r>
        <w:rPr>
          <w:rFonts w:hint="eastAsia" w:eastAsia="宋体" w:cs="Times New Roman"/>
          <w:color w:val="000000"/>
          <w:szCs w:val="24"/>
          <w:lang w:eastAsia="zh-CN" w:bidi="ar"/>
        </w:rPr>
        <w:t>Abbreviations:</w:t>
      </w:r>
      <w:r>
        <w:rPr>
          <w:rFonts w:hint="eastAsia" w:eastAsia="宋体" w:cs="Times New Roman"/>
          <w:color w:val="000000"/>
          <w:szCs w:val="24"/>
          <w:lang w:val="en-US" w:eastAsia="zh-CN" w:bidi="ar"/>
        </w:rPr>
        <w:t xml:space="preserve"> </w:t>
      </w:r>
      <w:r>
        <w:rPr>
          <w:rFonts w:hint="eastAsia" w:eastAsia="宋体" w:cs="Times New Roman"/>
          <w:color w:val="000000"/>
          <w:szCs w:val="24"/>
          <w:lang w:eastAsia="zh-CN" w:bidi="ar"/>
        </w:rPr>
        <w:t xml:space="preserve">HCs, healthy controls; MMD, moyamoya disease; SD, standard deviation. </w:t>
      </w:r>
    </w:p>
    <w:p w14:paraId="78E7933B">
      <w:pPr>
        <w:widowControl w:val="0"/>
        <w:spacing w:before="0" w:after="0"/>
        <w:jc w:val="both"/>
        <w:rPr>
          <w:rFonts w:eastAsia="宋体" w:cs="Times New Roman"/>
          <w:kern w:val="2"/>
          <w:szCs w:val="24"/>
          <w:lang w:eastAsia="zh-CN"/>
        </w:rPr>
      </w:pPr>
      <w:r>
        <w:rPr>
          <w:rFonts w:hint="eastAsia" w:eastAsia="宋体" w:cs="Times New Roman"/>
          <w:color w:val="000000"/>
          <w:szCs w:val="24"/>
          <w:lang w:eastAsia="zh-CN" w:bidi="ar"/>
        </w:rPr>
        <w:t>Statistical significance</w:t>
      </w:r>
      <w:r>
        <w:rPr>
          <w:rFonts w:hint="eastAsia" w:eastAsia="宋体" w:cs="Times New Roman"/>
          <w:kern w:val="2"/>
          <w:szCs w:val="24"/>
          <w:lang w:eastAsia="zh-CN"/>
        </w:rPr>
        <w:t>: *</w:t>
      </w:r>
      <w:r>
        <w:rPr>
          <w:rFonts w:hint="eastAsia" w:eastAsia="宋体" w:cs="Times New Roman"/>
          <w:i/>
          <w:iCs/>
          <w:kern w:val="2"/>
          <w:szCs w:val="24"/>
          <w:lang w:eastAsia="zh-CN"/>
        </w:rPr>
        <w:t>p</w:t>
      </w:r>
      <w:r>
        <w:rPr>
          <w:rFonts w:hint="eastAsia" w:eastAsia="宋体" w:cs="Times New Roman"/>
          <w:kern w:val="2"/>
          <w:szCs w:val="24"/>
          <w:lang w:eastAsia="zh-CN"/>
        </w:rPr>
        <w:t xml:space="preserve"> &lt; 0.05.</w:t>
      </w:r>
    </w:p>
    <w:p w14:paraId="67082CF3">
      <w:pPr>
        <w:widowControl w:val="0"/>
        <w:spacing w:before="0" w:after="0"/>
        <w:jc w:val="both"/>
        <w:rPr>
          <w:rFonts w:hint="eastAsia" w:eastAsia="宋体" w:cs="Times New Roman"/>
          <w:color w:val="000000"/>
          <w:sz w:val="21"/>
          <w:szCs w:val="21"/>
          <w:lang w:eastAsia="zh-CN" w:bidi="ar"/>
        </w:rPr>
      </w:pPr>
    </w:p>
    <w:p w14:paraId="3FB1637C">
      <w:pPr>
        <w:widowControl w:val="0"/>
        <w:spacing w:before="0" w:after="0"/>
        <w:jc w:val="both"/>
        <w:rPr>
          <w:rFonts w:eastAsia="宋体" w:cs="Times New Roman"/>
          <w:b/>
          <w:bCs/>
          <w:color w:val="000000"/>
          <w:szCs w:val="24"/>
          <w:lang w:eastAsia="zh-CN" w:bidi="ar"/>
        </w:rPr>
      </w:pPr>
    </w:p>
    <w:p w14:paraId="13425388">
      <w:pPr>
        <w:spacing w:before="240"/>
      </w:pPr>
    </w:p>
    <w:p w14:paraId="728B46D2">
      <w:pPr>
        <w:spacing w:before="240"/>
      </w:pPr>
    </w:p>
    <w:p w14:paraId="6428CBE4">
      <w:pPr>
        <w:spacing w:before="240"/>
      </w:pPr>
    </w:p>
    <w:p w14:paraId="0C22CF5C">
      <w:pPr>
        <w:spacing w:before="240"/>
      </w:pPr>
    </w:p>
    <w:p w14:paraId="2E79B49F">
      <w:pPr>
        <w:spacing w:before="240"/>
      </w:pPr>
    </w:p>
    <w:p w14:paraId="0E12F415">
      <w:pPr>
        <w:spacing w:before="240"/>
      </w:pPr>
    </w:p>
    <w:p w14:paraId="082A8593">
      <w:pPr>
        <w:spacing w:before="240"/>
      </w:pPr>
    </w:p>
    <w:p w14:paraId="625317DD">
      <w:pPr>
        <w:spacing w:before="240"/>
      </w:pPr>
    </w:p>
    <w:p w14:paraId="28C773B8">
      <w:pPr>
        <w:spacing w:before="240"/>
      </w:pPr>
    </w:p>
    <w:p w14:paraId="06AF2C0B">
      <w:pPr>
        <w:spacing w:before="240"/>
      </w:pPr>
    </w:p>
    <w:p w14:paraId="09395F71">
      <w:pPr>
        <w:spacing w:before="240"/>
      </w:pPr>
    </w:p>
    <w:p w14:paraId="790F236D">
      <w:pPr>
        <w:spacing w:before="240"/>
      </w:pPr>
    </w:p>
    <w:p w14:paraId="54CF0156">
      <w:pPr>
        <w:widowControl w:val="0"/>
        <w:spacing w:before="0" w:after="0"/>
        <w:jc w:val="both"/>
        <w:rPr>
          <w:rFonts w:eastAsia="宋体" w:cs="Times New Roman"/>
          <w:b/>
          <w:bCs/>
          <w:color w:val="000000"/>
          <w:szCs w:val="24"/>
          <w:lang w:eastAsia="zh-CN" w:bidi="ar"/>
        </w:rPr>
      </w:pPr>
      <w:r>
        <w:rPr>
          <w:rFonts w:eastAsia="宋体" w:cs="Times New Roman"/>
          <w:b/>
          <w:bCs/>
          <w:color w:val="000000"/>
          <w:szCs w:val="24"/>
          <w:lang w:eastAsia="zh-CN" w:bidi="ar"/>
        </w:rPr>
        <w:t xml:space="preserve">Supplementary Table </w:t>
      </w:r>
      <w:r>
        <w:rPr>
          <w:rFonts w:hint="eastAsia" w:eastAsia="宋体" w:cs="Times New Roman"/>
          <w:b/>
          <w:bCs/>
          <w:color w:val="000000"/>
          <w:szCs w:val="24"/>
          <w:lang w:eastAsia="zh-CN" w:bidi="ar"/>
        </w:rPr>
        <w:t>3</w:t>
      </w:r>
      <w:r>
        <w:rPr>
          <w:rFonts w:eastAsia="宋体" w:cs="Times New Roman"/>
          <w:b/>
          <w:bCs/>
          <w:color w:val="000000"/>
          <w:szCs w:val="24"/>
          <w:lang w:eastAsia="zh-CN" w:bidi="ar"/>
        </w:rPr>
        <w:t>. Summary of clinical characteristics for MMD patients and healthy controls in the bulk RNA-seq cohort.</w:t>
      </w:r>
    </w:p>
    <w:tbl>
      <w:tblPr>
        <w:tblStyle w:val="20"/>
        <w:tblpPr w:leftFromText="180" w:rightFromText="180" w:vertAnchor="page" w:horzAnchor="page" w:tblpXSpec="center" w:tblpY="1827"/>
        <w:tblOverlap w:val="never"/>
        <w:tblW w:w="8302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6"/>
        <w:gridCol w:w="1892"/>
        <w:gridCol w:w="1559"/>
        <w:gridCol w:w="1135"/>
      </w:tblGrid>
      <w:tr w14:paraId="209EF05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716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4731A15"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Characteristics</w:t>
            </w:r>
          </w:p>
        </w:tc>
        <w:tc>
          <w:tcPr>
            <w:tcW w:w="1892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EBC694C"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MMD patients</w:t>
            </w:r>
            <w:r>
              <w:rPr>
                <w:rFonts w:hint="eastAsia" w:eastAsia="宋体" w:cs="Times New Roman"/>
                <w:color w:val="000000"/>
                <w:szCs w:val="24"/>
                <w:lang w:eastAsia="zh-CN" w:bidi="ar"/>
              </w:rPr>
              <w:t xml:space="preserve"> (N = 13)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D20885D">
            <w:pPr>
              <w:widowControl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 w:bidi="ar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HCs</w:t>
            </w:r>
          </w:p>
          <w:p w14:paraId="741C2615">
            <w:pPr>
              <w:widowControl w:val="0"/>
              <w:spacing w:before="0" w:after="0"/>
              <w:jc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Cs w:val="24"/>
                <w:lang w:eastAsia="zh-CN" w:bidi="ar"/>
              </w:rPr>
              <w:t>(N = 6)</w:t>
            </w:r>
          </w:p>
        </w:tc>
        <w:tc>
          <w:tcPr>
            <w:tcW w:w="113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6EDECB6"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szCs w:val="24"/>
                <w:lang w:eastAsia="zh-CN" w:bidi="ar"/>
              </w:rPr>
            </w:pPr>
            <w:r>
              <w:rPr>
                <w:rFonts w:eastAsia="宋体" w:cs="Times New Roman"/>
                <w:i/>
                <w:iCs/>
                <w:color w:val="000000"/>
                <w:szCs w:val="24"/>
                <w:lang w:eastAsia="zh-CN" w:bidi="ar"/>
              </w:rPr>
              <w:t>p</w:t>
            </w:r>
            <w:r>
              <w:rPr>
                <w:rFonts w:hint="eastAsia" w:eastAsia="宋体" w:cs="Times New Roman"/>
                <w:color w:val="000000"/>
                <w:szCs w:val="24"/>
                <w:lang w:val="en-US" w:eastAsia="zh-CN" w:bidi="ar"/>
              </w:rPr>
              <w:t>-</w:t>
            </w: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value</w:t>
            </w:r>
          </w:p>
        </w:tc>
      </w:tr>
      <w:tr w14:paraId="62C370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716" w:type="dxa"/>
            <w:tcBorders>
              <w:top w:val="single" w:color="auto" w:sz="4" w:space="0"/>
            </w:tcBorders>
            <w:shd w:val="clear" w:color="auto" w:fill="auto"/>
            <w:noWrap/>
          </w:tcPr>
          <w:p w14:paraId="0C76F494">
            <w:pPr>
              <w:widowControl w:val="0"/>
              <w:spacing w:before="0" w:after="0"/>
              <w:jc w:val="both"/>
              <w:rPr>
                <w:rFonts w:eastAsia="宋体" w:cs="Times New Roman"/>
                <w:i/>
                <w:iCs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Demographic</w:t>
            </w:r>
          </w:p>
        </w:tc>
        <w:tc>
          <w:tcPr>
            <w:tcW w:w="1892" w:type="dxa"/>
            <w:tcBorders>
              <w:top w:val="single" w:color="auto" w:sz="4" w:space="0"/>
            </w:tcBorders>
            <w:shd w:val="clear" w:color="auto" w:fill="auto"/>
            <w:noWrap/>
          </w:tcPr>
          <w:p w14:paraId="4A91835E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color="auto" w:sz="4" w:space="0"/>
            </w:tcBorders>
            <w:shd w:val="clear" w:color="auto" w:fill="auto"/>
            <w:noWrap/>
          </w:tcPr>
          <w:p w14:paraId="4B69906E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</w:p>
        </w:tc>
        <w:tc>
          <w:tcPr>
            <w:tcW w:w="1135" w:type="dxa"/>
            <w:tcBorders>
              <w:top w:val="single" w:color="auto" w:sz="4" w:space="0"/>
            </w:tcBorders>
            <w:shd w:val="clear" w:color="auto" w:fill="auto"/>
            <w:noWrap/>
          </w:tcPr>
          <w:p w14:paraId="2BD6994A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</w:p>
        </w:tc>
      </w:tr>
      <w:tr w14:paraId="7DBDE6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716" w:type="dxa"/>
            <w:shd w:val="clear" w:color="auto" w:fill="auto"/>
            <w:noWrap/>
          </w:tcPr>
          <w:p w14:paraId="7EC90016">
            <w:pPr>
              <w:widowControl w:val="0"/>
              <w:spacing w:before="0" w:after="0"/>
              <w:ind w:firstLine="240" w:firstLineChars="10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 xml:space="preserve">Age </w:t>
            </w:r>
            <w:r>
              <w:rPr>
                <w:rFonts w:hint="eastAsia" w:eastAsia="宋体" w:cs="Times New Roman"/>
                <w:kern w:val="2"/>
                <w:szCs w:val="24"/>
                <w:lang w:val="en-US" w:eastAsia="zh-CN"/>
              </w:rPr>
              <w:t>(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>years</w:t>
            </w:r>
            <w:r>
              <w:rPr>
                <w:rFonts w:hint="eastAsia" w:eastAsia="宋体" w:cs="Times New Roman"/>
                <w:kern w:val="2"/>
                <w:szCs w:val="24"/>
                <w:lang w:val="en-US" w:eastAsia="zh-CN"/>
              </w:rPr>
              <w:t>)</w:t>
            </w: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, mean</w:t>
            </w:r>
            <w:r>
              <w:rPr>
                <w:rFonts w:eastAsia="Times New Roman" w:cs="Times New Roman"/>
                <w:snapToGrid w:val="0"/>
                <w:kern w:val="2"/>
                <w:szCs w:val="24"/>
                <w:lang w:eastAsia="zh-CN" w:bidi="en-US"/>
              </w:rPr>
              <w:t xml:space="preserve"> ± </w:t>
            </w: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SD</w:t>
            </w:r>
          </w:p>
        </w:tc>
        <w:tc>
          <w:tcPr>
            <w:tcW w:w="1892" w:type="dxa"/>
            <w:shd w:val="clear" w:color="auto" w:fill="auto"/>
            <w:noWrap/>
          </w:tcPr>
          <w:p w14:paraId="00154EBF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 xml:space="preserve">38.5 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>±</w:t>
            </w: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 xml:space="preserve"> 7.5</w:t>
            </w:r>
          </w:p>
        </w:tc>
        <w:tc>
          <w:tcPr>
            <w:tcW w:w="1559" w:type="dxa"/>
            <w:shd w:val="clear" w:color="auto" w:fill="auto"/>
            <w:noWrap/>
          </w:tcPr>
          <w:p w14:paraId="4C7AA783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 xml:space="preserve">37.3 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>±</w:t>
            </w: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 xml:space="preserve"> 6.</w:t>
            </w:r>
            <w:r>
              <w:rPr>
                <w:rFonts w:hint="eastAsia" w:eastAsia="宋体" w:cs="Times New Roman"/>
                <w:kern w:val="2"/>
                <w:szCs w:val="24"/>
                <w:lang w:val="en-US" w:eastAsia="zh-CN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</w:tcPr>
          <w:p w14:paraId="18793A4A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0.738</w:t>
            </w:r>
          </w:p>
        </w:tc>
      </w:tr>
      <w:tr w14:paraId="6D7C0CC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3716" w:type="dxa"/>
            <w:shd w:val="clear" w:color="auto" w:fill="auto"/>
            <w:noWrap/>
          </w:tcPr>
          <w:p w14:paraId="7953B4BA">
            <w:pPr>
              <w:widowControl w:val="0"/>
              <w:spacing w:before="0" w:after="0"/>
              <w:ind w:firstLine="240" w:firstLineChars="10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 xml:space="preserve">Female/male ratio </w:t>
            </w:r>
          </w:p>
        </w:tc>
        <w:tc>
          <w:tcPr>
            <w:tcW w:w="1892" w:type="dxa"/>
            <w:shd w:val="clear" w:color="auto" w:fill="auto"/>
            <w:noWrap/>
          </w:tcPr>
          <w:p w14:paraId="1B493996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8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>/</w:t>
            </w: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5</w:t>
            </w:r>
          </w:p>
        </w:tc>
        <w:tc>
          <w:tcPr>
            <w:tcW w:w="1559" w:type="dxa"/>
            <w:shd w:val="clear" w:color="auto" w:fill="auto"/>
            <w:noWrap/>
          </w:tcPr>
          <w:p w14:paraId="6332E643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3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>/</w:t>
            </w: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</w:tcPr>
          <w:p w14:paraId="32B89014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1.000</w:t>
            </w:r>
          </w:p>
        </w:tc>
      </w:tr>
      <w:tr w14:paraId="4BD90C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716" w:type="dxa"/>
            <w:shd w:val="clear" w:color="auto" w:fill="auto"/>
            <w:noWrap/>
          </w:tcPr>
          <w:p w14:paraId="4B03335E">
            <w:pPr>
              <w:widowControl w:val="0"/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Vascular risk factors, n (%)</w:t>
            </w:r>
          </w:p>
        </w:tc>
        <w:tc>
          <w:tcPr>
            <w:tcW w:w="1892" w:type="dxa"/>
            <w:shd w:val="clear" w:color="auto" w:fill="auto"/>
            <w:noWrap/>
          </w:tcPr>
          <w:p w14:paraId="54D66767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4049B47B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</w:p>
        </w:tc>
        <w:tc>
          <w:tcPr>
            <w:tcW w:w="1135" w:type="dxa"/>
            <w:shd w:val="clear" w:color="auto" w:fill="auto"/>
            <w:noWrap/>
          </w:tcPr>
          <w:p w14:paraId="669DB942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</w:p>
        </w:tc>
      </w:tr>
      <w:tr w14:paraId="72CB5B9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716" w:type="dxa"/>
            <w:shd w:val="clear" w:color="auto" w:fill="auto"/>
            <w:noWrap/>
          </w:tcPr>
          <w:p w14:paraId="60BC417F">
            <w:pPr>
              <w:widowControl w:val="0"/>
              <w:spacing w:before="0" w:after="0"/>
              <w:ind w:firstLine="240" w:firstLineChars="10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H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>ypertension</w:t>
            </w:r>
          </w:p>
        </w:tc>
        <w:tc>
          <w:tcPr>
            <w:tcW w:w="1892" w:type="dxa"/>
            <w:shd w:val="clear" w:color="auto" w:fill="auto"/>
            <w:noWrap/>
          </w:tcPr>
          <w:p w14:paraId="31298CB0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2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 xml:space="preserve"> (</w:t>
            </w: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15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>.</w:t>
            </w: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4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</w:tcPr>
          <w:p w14:paraId="220716D4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0 (0.0)</w:t>
            </w:r>
          </w:p>
        </w:tc>
        <w:tc>
          <w:tcPr>
            <w:tcW w:w="1135" w:type="dxa"/>
            <w:shd w:val="clear" w:color="auto" w:fill="auto"/>
            <w:noWrap/>
          </w:tcPr>
          <w:p w14:paraId="05038328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1.000</w:t>
            </w:r>
          </w:p>
        </w:tc>
      </w:tr>
      <w:tr w14:paraId="2677DEF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716" w:type="dxa"/>
            <w:shd w:val="clear" w:color="auto" w:fill="auto"/>
            <w:noWrap/>
          </w:tcPr>
          <w:p w14:paraId="7E858352">
            <w:pPr>
              <w:widowControl w:val="0"/>
              <w:spacing w:before="0" w:after="0"/>
              <w:ind w:firstLine="240" w:firstLineChars="10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H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>yperlipidemia</w:t>
            </w:r>
          </w:p>
        </w:tc>
        <w:tc>
          <w:tcPr>
            <w:tcW w:w="1892" w:type="dxa"/>
            <w:shd w:val="clear" w:color="auto" w:fill="auto"/>
            <w:noWrap/>
          </w:tcPr>
          <w:p w14:paraId="630BEE7A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0 (0.0)</w:t>
            </w:r>
          </w:p>
        </w:tc>
        <w:tc>
          <w:tcPr>
            <w:tcW w:w="1559" w:type="dxa"/>
            <w:shd w:val="clear" w:color="auto" w:fill="auto"/>
            <w:noWrap/>
          </w:tcPr>
          <w:p w14:paraId="5BC8AABD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0 (0.0)</w:t>
            </w:r>
          </w:p>
        </w:tc>
        <w:tc>
          <w:tcPr>
            <w:tcW w:w="1135" w:type="dxa"/>
            <w:shd w:val="clear" w:color="auto" w:fill="auto"/>
            <w:noWrap/>
          </w:tcPr>
          <w:p w14:paraId="3C4B0E7E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-</w:t>
            </w:r>
          </w:p>
        </w:tc>
      </w:tr>
      <w:tr w14:paraId="2508D4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716" w:type="dxa"/>
            <w:shd w:val="clear" w:color="auto" w:fill="auto"/>
            <w:noWrap/>
          </w:tcPr>
          <w:p w14:paraId="5FB0EEAF">
            <w:pPr>
              <w:widowControl w:val="0"/>
              <w:spacing w:before="0" w:after="0"/>
              <w:ind w:firstLine="240" w:firstLineChars="10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D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>iabetes mellitus</w:t>
            </w:r>
          </w:p>
        </w:tc>
        <w:tc>
          <w:tcPr>
            <w:tcW w:w="1892" w:type="dxa"/>
            <w:shd w:val="clear" w:color="auto" w:fill="auto"/>
            <w:noWrap/>
          </w:tcPr>
          <w:p w14:paraId="21C1AAAF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 xml:space="preserve">1 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>(</w:t>
            </w: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7.7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</w:tcPr>
          <w:p w14:paraId="1DBDBFC3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0 (0.0)</w:t>
            </w:r>
          </w:p>
        </w:tc>
        <w:tc>
          <w:tcPr>
            <w:tcW w:w="1135" w:type="dxa"/>
            <w:shd w:val="clear" w:color="auto" w:fill="auto"/>
            <w:noWrap/>
          </w:tcPr>
          <w:p w14:paraId="13725A8F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1.000</w:t>
            </w:r>
          </w:p>
        </w:tc>
      </w:tr>
      <w:tr w14:paraId="51AC2E5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716" w:type="dxa"/>
            <w:shd w:val="clear" w:color="auto" w:fill="auto"/>
            <w:noWrap/>
            <w:vAlign w:val="top"/>
          </w:tcPr>
          <w:p w14:paraId="5ED4AC12">
            <w:pPr>
              <w:widowControl w:val="0"/>
              <w:spacing w:before="0" w:after="0"/>
              <w:ind w:firstLine="240" w:firstLineChars="10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Current smoking</w:t>
            </w:r>
          </w:p>
        </w:tc>
        <w:tc>
          <w:tcPr>
            <w:tcW w:w="1892" w:type="dxa"/>
            <w:shd w:val="clear" w:color="auto" w:fill="auto"/>
            <w:noWrap/>
          </w:tcPr>
          <w:p w14:paraId="1FDA0E99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2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 xml:space="preserve"> (</w:t>
            </w: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15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>.</w:t>
            </w: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4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</w:tcPr>
          <w:p w14:paraId="0B6ED82E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0 (0.0)</w:t>
            </w:r>
          </w:p>
        </w:tc>
        <w:tc>
          <w:tcPr>
            <w:tcW w:w="1135" w:type="dxa"/>
            <w:shd w:val="clear" w:color="auto" w:fill="auto"/>
            <w:noWrap/>
          </w:tcPr>
          <w:p w14:paraId="366812F6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1.000</w:t>
            </w:r>
          </w:p>
        </w:tc>
      </w:tr>
      <w:tr w14:paraId="7C1362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716" w:type="dxa"/>
            <w:shd w:val="clear" w:color="auto" w:fill="auto"/>
            <w:noWrap/>
            <w:vAlign w:val="top"/>
          </w:tcPr>
          <w:p w14:paraId="557A0084">
            <w:pPr>
              <w:widowControl w:val="0"/>
              <w:spacing w:before="0" w:after="0"/>
              <w:ind w:firstLine="240" w:firstLineChars="10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Current alcohol consumption</w:t>
            </w:r>
          </w:p>
        </w:tc>
        <w:tc>
          <w:tcPr>
            <w:tcW w:w="1892" w:type="dxa"/>
            <w:shd w:val="clear" w:color="auto" w:fill="auto"/>
            <w:noWrap/>
          </w:tcPr>
          <w:p w14:paraId="4472A40A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val="en-US" w:eastAsia="zh-CN"/>
              </w:rPr>
              <w:t xml:space="preserve">1 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>(</w:t>
            </w: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7.7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</w:tcPr>
          <w:p w14:paraId="7D0BF689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0 (0.0)</w:t>
            </w:r>
          </w:p>
        </w:tc>
        <w:tc>
          <w:tcPr>
            <w:tcW w:w="1135" w:type="dxa"/>
            <w:shd w:val="clear" w:color="auto" w:fill="auto"/>
            <w:noWrap/>
          </w:tcPr>
          <w:p w14:paraId="4EFDDCFB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1.000</w:t>
            </w:r>
          </w:p>
        </w:tc>
      </w:tr>
      <w:tr w14:paraId="311A9E5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716" w:type="dxa"/>
            <w:shd w:val="clear" w:color="auto" w:fill="auto"/>
            <w:noWrap/>
          </w:tcPr>
          <w:p w14:paraId="0EBF2F5F">
            <w:pPr>
              <w:widowControl w:val="0"/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Clinical manifestation</w:t>
            </w:r>
            <w:r>
              <w:rPr>
                <w:rFonts w:hint="eastAsia" w:eastAsia="宋体" w:cs="Times New Roman"/>
                <w:kern w:val="2"/>
                <w:szCs w:val="24"/>
                <w:lang w:val="en-US" w:eastAsia="zh-CN"/>
              </w:rPr>
              <w:t>s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>, n (%)</w:t>
            </w:r>
          </w:p>
        </w:tc>
        <w:tc>
          <w:tcPr>
            <w:tcW w:w="1892" w:type="dxa"/>
            <w:shd w:val="clear" w:color="auto" w:fill="auto"/>
            <w:noWrap/>
          </w:tcPr>
          <w:p w14:paraId="5789132C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40B159A6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</w:p>
        </w:tc>
        <w:tc>
          <w:tcPr>
            <w:tcW w:w="1135" w:type="dxa"/>
            <w:shd w:val="clear" w:color="auto" w:fill="auto"/>
            <w:noWrap/>
          </w:tcPr>
          <w:p w14:paraId="6EC906E6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</w:p>
        </w:tc>
      </w:tr>
      <w:tr w14:paraId="511201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716" w:type="dxa"/>
            <w:shd w:val="clear" w:color="auto" w:fill="auto"/>
            <w:noWrap/>
          </w:tcPr>
          <w:p w14:paraId="653941F3">
            <w:pPr>
              <w:widowControl w:val="0"/>
              <w:spacing w:before="0" w:after="0"/>
              <w:ind w:firstLine="240" w:firstLineChars="10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Ischemic type</w:t>
            </w:r>
          </w:p>
        </w:tc>
        <w:tc>
          <w:tcPr>
            <w:tcW w:w="1892" w:type="dxa"/>
            <w:shd w:val="clear" w:color="auto" w:fill="auto"/>
            <w:noWrap/>
          </w:tcPr>
          <w:p w14:paraId="60A3F904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6 (46.2)</w:t>
            </w:r>
          </w:p>
        </w:tc>
        <w:tc>
          <w:tcPr>
            <w:tcW w:w="1559" w:type="dxa"/>
            <w:shd w:val="clear" w:color="auto" w:fill="auto"/>
            <w:noWrap/>
          </w:tcPr>
          <w:p w14:paraId="0D950452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-</w:t>
            </w:r>
          </w:p>
        </w:tc>
        <w:tc>
          <w:tcPr>
            <w:tcW w:w="1135" w:type="dxa"/>
            <w:shd w:val="clear" w:color="auto" w:fill="auto"/>
            <w:noWrap/>
          </w:tcPr>
          <w:p w14:paraId="28D3668D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-</w:t>
            </w:r>
          </w:p>
        </w:tc>
      </w:tr>
      <w:tr w14:paraId="3C3D01E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716" w:type="dxa"/>
            <w:shd w:val="clear" w:color="auto" w:fill="auto"/>
            <w:noWrap/>
          </w:tcPr>
          <w:p w14:paraId="3ADE88E6">
            <w:pPr>
              <w:widowControl w:val="0"/>
              <w:spacing w:before="0" w:after="0"/>
              <w:ind w:firstLine="240" w:firstLineChars="10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Hemorrhagic type</w:t>
            </w:r>
          </w:p>
        </w:tc>
        <w:tc>
          <w:tcPr>
            <w:tcW w:w="1892" w:type="dxa"/>
            <w:shd w:val="clear" w:color="auto" w:fill="auto"/>
            <w:noWrap/>
          </w:tcPr>
          <w:p w14:paraId="0636C4F0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7</w:t>
            </w:r>
            <w:r>
              <w:rPr>
                <w:rFonts w:hint="eastAsia" w:eastAsia="宋体" w:cs="Times New Roman"/>
                <w:kern w:val="2"/>
                <w:szCs w:val="24"/>
                <w:lang w:val="en-US" w:eastAsia="zh-CN"/>
              </w:rPr>
              <w:t xml:space="preserve"> </w:t>
            </w: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(53.8)</w:t>
            </w:r>
          </w:p>
        </w:tc>
        <w:tc>
          <w:tcPr>
            <w:tcW w:w="1559" w:type="dxa"/>
            <w:shd w:val="clear" w:color="auto" w:fill="auto"/>
            <w:noWrap/>
          </w:tcPr>
          <w:p w14:paraId="7E2DD572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-</w:t>
            </w:r>
          </w:p>
        </w:tc>
        <w:tc>
          <w:tcPr>
            <w:tcW w:w="1135" w:type="dxa"/>
            <w:shd w:val="clear" w:color="auto" w:fill="auto"/>
            <w:noWrap/>
          </w:tcPr>
          <w:p w14:paraId="3F626156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-</w:t>
            </w:r>
          </w:p>
        </w:tc>
      </w:tr>
      <w:tr w14:paraId="224814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716" w:type="dxa"/>
            <w:shd w:val="clear" w:color="auto" w:fill="auto"/>
            <w:noWrap/>
            <w:vAlign w:val="top"/>
          </w:tcPr>
          <w:p w14:paraId="0B7DBBDB">
            <w:pPr>
              <w:widowControl w:val="0"/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 xml:space="preserve">Suzuki </w:t>
            </w:r>
            <w:r>
              <w:rPr>
                <w:rFonts w:hint="eastAsia" w:eastAsia="宋体" w:cs="Times New Roman"/>
                <w:kern w:val="2"/>
                <w:szCs w:val="24"/>
                <w:lang w:val="en-US" w:eastAsia="zh-CN"/>
              </w:rPr>
              <w:t>s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>tage, n (%)</w:t>
            </w:r>
          </w:p>
        </w:tc>
        <w:tc>
          <w:tcPr>
            <w:tcW w:w="1892" w:type="dxa"/>
            <w:shd w:val="clear" w:color="auto" w:fill="auto"/>
            <w:noWrap/>
          </w:tcPr>
          <w:p w14:paraId="719C6CFD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190E1B1A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</w:p>
        </w:tc>
        <w:tc>
          <w:tcPr>
            <w:tcW w:w="1135" w:type="dxa"/>
            <w:shd w:val="clear" w:color="auto" w:fill="auto"/>
            <w:noWrap/>
          </w:tcPr>
          <w:p w14:paraId="4D326B38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-</w:t>
            </w:r>
          </w:p>
        </w:tc>
      </w:tr>
      <w:tr w14:paraId="5F5C0C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716" w:type="dxa"/>
            <w:shd w:val="clear" w:color="auto" w:fill="auto"/>
            <w:noWrap/>
            <w:vAlign w:val="top"/>
          </w:tcPr>
          <w:p w14:paraId="424F945C">
            <w:pPr>
              <w:widowControl w:val="0"/>
              <w:spacing w:before="0" w:after="0"/>
              <w:ind w:firstLine="240" w:firstLineChars="10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Stage</w:t>
            </w:r>
            <w:r>
              <w:rPr>
                <w:rFonts w:hint="eastAsia" w:eastAsia="宋体" w:cs="Times New Roman"/>
                <w:kern w:val="2"/>
                <w:szCs w:val="24"/>
                <w:lang w:val="en-US" w:eastAsia="zh-CN"/>
              </w:rPr>
              <w:t xml:space="preserve"> 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>1-2</w:t>
            </w:r>
          </w:p>
        </w:tc>
        <w:tc>
          <w:tcPr>
            <w:tcW w:w="1892" w:type="dxa"/>
            <w:shd w:val="clear" w:color="auto" w:fill="auto"/>
            <w:noWrap/>
          </w:tcPr>
          <w:p w14:paraId="01FB6C23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1 (7.7)</w:t>
            </w:r>
          </w:p>
        </w:tc>
        <w:tc>
          <w:tcPr>
            <w:tcW w:w="1559" w:type="dxa"/>
            <w:shd w:val="clear" w:color="auto" w:fill="auto"/>
            <w:noWrap/>
          </w:tcPr>
          <w:p w14:paraId="25701E9C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-</w:t>
            </w:r>
          </w:p>
        </w:tc>
        <w:tc>
          <w:tcPr>
            <w:tcW w:w="1135" w:type="dxa"/>
            <w:shd w:val="clear" w:color="auto" w:fill="auto"/>
            <w:noWrap/>
          </w:tcPr>
          <w:p w14:paraId="5952FA60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-</w:t>
            </w:r>
          </w:p>
        </w:tc>
      </w:tr>
      <w:tr w14:paraId="51CAD2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716" w:type="dxa"/>
            <w:shd w:val="clear" w:color="auto" w:fill="auto"/>
            <w:noWrap/>
            <w:vAlign w:val="top"/>
          </w:tcPr>
          <w:p w14:paraId="6948B8AD">
            <w:pPr>
              <w:widowControl w:val="0"/>
              <w:spacing w:before="0" w:after="0"/>
              <w:ind w:firstLine="240" w:firstLineChars="10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Stage</w:t>
            </w:r>
            <w:r>
              <w:rPr>
                <w:rFonts w:hint="eastAsia" w:eastAsia="宋体" w:cs="Times New Roman"/>
                <w:kern w:val="2"/>
                <w:szCs w:val="24"/>
                <w:lang w:val="en-US" w:eastAsia="zh-CN"/>
              </w:rPr>
              <w:t xml:space="preserve"> 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>3-4</w:t>
            </w:r>
          </w:p>
        </w:tc>
        <w:tc>
          <w:tcPr>
            <w:tcW w:w="1892" w:type="dxa"/>
            <w:shd w:val="clear" w:color="auto" w:fill="auto"/>
            <w:noWrap/>
          </w:tcPr>
          <w:p w14:paraId="25E1BB63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10 (76.9)</w:t>
            </w:r>
          </w:p>
        </w:tc>
        <w:tc>
          <w:tcPr>
            <w:tcW w:w="1559" w:type="dxa"/>
            <w:shd w:val="clear" w:color="auto" w:fill="auto"/>
            <w:noWrap/>
          </w:tcPr>
          <w:p w14:paraId="5FDE8613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-</w:t>
            </w:r>
          </w:p>
        </w:tc>
        <w:tc>
          <w:tcPr>
            <w:tcW w:w="1135" w:type="dxa"/>
            <w:shd w:val="clear" w:color="auto" w:fill="auto"/>
            <w:noWrap/>
          </w:tcPr>
          <w:p w14:paraId="76CA812F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-</w:t>
            </w:r>
          </w:p>
        </w:tc>
      </w:tr>
      <w:tr w14:paraId="703068C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716" w:type="dxa"/>
            <w:shd w:val="clear" w:color="auto" w:fill="auto"/>
            <w:noWrap/>
            <w:vAlign w:val="top"/>
          </w:tcPr>
          <w:p w14:paraId="6D01E2C8">
            <w:pPr>
              <w:widowControl w:val="0"/>
              <w:spacing w:before="0" w:after="0"/>
              <w:ind w:firstLine="240" w:firstLineChars="10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Stage</w:t>
            </w:r>
            <w:r>
              <w:rPr>
                <w:rFonts w:hint="eastAsia" w:eastAsia="宋体" w:cs="Times New Roman"/>
                <w:kern w:val="2"/>
                <w:szCs w:val="24"/>
                <w:lang w:val="en-US" w:eastAsia="zh-CN"/>
              </w:rPr>
              <w:t xml:space="preserve"> 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>5-6</w:t>
            </w:r>
          </w:p>
        </w:tc>
        <w:tc>
          <w:tcPr>
            <w:tcW w:w="1892" w:type="dxa"/>
            <w:shd w:val="clear" w:color="auto" w:fill="auto"/>
            <w:noWrap/>
          </w:tcPr>
          <w:p w14:paraId="7C6616FA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2 (15.4)</w:t>
            </w:r>
          </w:p>
        </w:tc>
        <w:tc>
          <w:tcPr>
            <w:tcW w:w="1559" w:type="dxa"/>
            <w:shd w:val="clear" w:color="auto" w:fill="auto"/>
            <w:noWrap/>
          </w:tcPr>
          <w:p w14:paraId="738C6CA1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-</w:t>
            </w:r>
          </w:p>
        </w:tc>
        <w:tc>
          <w:tcPr>
            <w:tcW w:w="1135" w:type="dxa"/>
            <w:shd w:val="clear" w:color="auto" w:fill="auto"/>
            <w:noWrap/>
          </w:tcPr>
          <w:p w14:paraId="6D304769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-</w:t>
            </w:r>
          </w:p>
        </w:tc>
      </w:tr>
    </w:tbl>
    <w:p w14:paraId="64DB1BD3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380CA34F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57E1DF5F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0F4318E8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1C1F2425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71BA6B31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17AF2925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35CA2B1C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27E4B3A1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0BCBF4E5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2A7E9AA8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55FFF1FA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56F2E095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3E9E8906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62FB7D4D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6502CFCF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37EB1410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506D77D0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129A43C7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4326DB45">
      <w:pPr>
        <w:widowControl w:val="0"/>
        <w:spacing w:before="0" w:after="0"/>
        <w:jc w:val="both"/>
        <w:rPr>
          <w:rFonts w:eastAsia="宋体" w:cs="Times New Roman"/>
          <w:kern w:val="2"/>
          <w:szCs w:val="24"/>
          <w:lang w:eastAsia="zh-CN"/>
        </w:rPr>
      </w:pPr>
      <w:r>
        <w:rPr>
          <w:rFonts w:hint="eastAsia" w:eastAsia="宋体" w:cs="Times New Roman"/>
          <w:color w:val="000000"/>
          <w:szCs w:val="24"/>
          <w:lang w:eastAsia="zh-CN" w:bidi="ar"/>
        </w:rPr>
        <w:t>Abbreviations: HCs, healthy controls; MMD</w:t>
      </w:r>
      <w:r>
        <w:rPr>
          <w:rFonts w:hint="eastAsia" w:eastAsia="宋体" w:cs="Times New Roman"/>
          <w:color w:val="000000"/>
          <w:szCs w:val="24"/>
          <w:lang w:val="en-US" w:eastAsia="zh-CN" w:bidi="ar"/>
        </w:rPr>
        <w:t xml:space="preserve">, </w:t>
      </w:r>
      <w:r>
        <w:rPr>
          <w:rFonts w:hint="eastAsia" w:eastAsia="宋体" w:cs="Times New Roman"/>
          <w:color w:val="000000"/>
          <w:szCs w:val="24"/>
          <w:lang w:eastAsia="zh-CN" w:bidi="ar"/>
        </w:rPr>
        <w:t>moyamoya disease; SD, standard deviation.</w:t>
      </w:r>
    </w:p>
    <w:p w14:paraId="44B6C5D3">
      <w:pPr>
        <w:spacing w:before="240"/>
        <w:jc w:val="both"/>
      </w:pPr>
    </w:p>
    <w:p w14:paraId="32D00EBD">
      <w:pPr>
        <w:spacing w:before="240"/>
      </w:pPr>
    </w:p>
    <w:p w14:paraId="72D22F64">
      <w:pPr>
        <w:spacing w:before="240"/>
      </w:pPr>
    </w:p>
    <w:p w14:paraId="0470FB27">
      <w:pPr>
        <w:spacing w:before="240"/>
      </w:pPr>
    </w:p>
    <w:p w14:paraId="7D5FC954">
      <w:pPr>
        <w:spacing w:before="240"/>
      </w:pPr>
    </w:p>
    <w:p w14:paraId="5EBB8444">
      <w:pPr>
        <w:spacing w:before="240"/>
      </w:pPr>
    </w:p>
    <w:p w14:paraId="5ACDFC25">
      <w:pPr>
        <w:spacing w:before="240"/>
      </w:pPr>
    </w:p>
    <w:p w14:paraId="2B4EF04F">
      <w:pPr>
        <w:spacing w:before="240"/>
      </w:pPr>
    </w:p>
    <w:p w14:paraId="0E65CA83">
      <w:pPr>
        <w:spacing w:before="240"/>
      </w:pPr>
    </w:p>
    <w:p w14:paraId="7216C5D3">
      <w:pPr>
        <w:spacing w:before="240"/>
      </w:pPr>
    </w:p>
    <w:p w14:paraId="6EB01F5E">
      <w:pPr>
        <w:spacing w:before="240"/>
      </w:pPr>
    </w:p>
    <w:p w14:paraId="75B052C1">
      <w:pPr>
        <w:spacing w:before="240"/>
      </w:pPr>
    </w:p>
    <w:p w14:paraId="0863AED4">
      <w:pPr>
        <w:spacing w:before="240"/>
      </w:pPr>
    </w:p>
    <w:p w14:paraId="7336A01A">
      <w:pPr>
        <w:spacing w:before="240"/>
      </w:pPr>
    </w:p>
    <w:p w14:paraId="11A90247">
      <w:pPr>
        <w:widowControl w:val="0"/>
        <w:spacing w:before="0" w:after="0"/>
        <w:jc w:val="both"/>
        <w:rPr>
          <w:rFonts w:eastAsia="宋体" w:cs="Times New Roman"/>
          <w:b/>
          <w:bCs/>
          <w:color w:val="000000"/>
          <w:szCs w:val="24"/>
          <w:lang w:eastAsia="zh-CN" w:bidi="ar"/>
        </w:rPr>
      </w:pPr>
      <w:r>
        <w:rPr>
          <w:rFonts w:eastAsia="宋体" w:cs="Times New Roman"/>
          <w:b/>
          <w:bCs/>
          <w:color w:val="000000"/>
          <w:szCs w:val="24"/>
          <w:lang w:eastAsia="zh-CN" w:bidi="ar"/>
        </w:rPr>
        <w:t xml:space="preserve">Supplementary Table </w:t>
      </w:r>
      <w:r>
        <w:rPr>
          <w:rFonts w:hint="eastAsia" w:eastAsia="宋体" w:cs="Times New Roman"/>
          <w:b/>
          <w:bCs/>
          <w:color w:val="000000"/>
          <w:szCs w:val="24"/>
          <w:lang w:eastAsia="zh-CN" w:bidi="ar"/>
        </w:rPr>
        <w:t>4</w:t>
      </w:r>
      <w:r>
        <w:rPr>
          <w:rFonts w:eastAsia="宋体" w:cs="Times New Roman"/>
          <w:b/>
          <w:bCs/>
          <w:color w:val="000000"/>
          <w:szCs w:val="24"/>
          <w:lang w:eastAsia="zh-CN" w:bidi="ar"/>
        </w:rPr>
        <w:t xml:space="preserve">. Clinical </w:t>
      </w:r>
      <w:r>
        <w:rPr>
          <w:rFonts w:hint="eastAsia" w:eastAsia="宋体" w:cs="Times New Roman"/>
          <w:b/>
          <w:bCs/>
          <w:color w:val="000000"/>
          <w:szCs w:val="24"/>
          <w:lang w:val="en-US" w:eastAsia="zh-CN" w:bidi="ar"/>
        </w:rPr>
        <w:t>c</w:t>
      </w:r>
      <w:r>
        <w:rPr>
          <w:rFonts w:eastAsia="宋体" w:cs="Times New Roman"/>
          <w:b/>
          <w:bCs/>
          <w:color w:val="000000"/>
          <w:szCs w:val="24"/>
          <w:lang w:eastAsia="zh-CN" w:bidi="ar"/>
        </w:rPr>
        <w:t xml:space="preserve">haracteristics </w:t>
      </w:r>
      <w:r>
        <w:rPr>
          <w:rFonts w:hint="eastAsia" w:eastAsia="宋体" w:cs="Times New Roman"/>
          <w:b/>
          <w:bCs/>
          <w:color w:val="000000"/>
          <w:szCs w:val="24"/>
          <w:lang w:val="en-US" w:eastAsia="zh-CN" w:bidi="ar"/>
        </w:rPr>
        <w:t>of</w:t>
      </w:r>
      <w:r>
        <w:rPr>
          <w:rFonts w:eastAsia="宋体" w:cs="Times New Roman"/>
          <w:b/>
          <w:bCs/>
          <w:color w:val="000000"/>
          <w:szCs w:val="24"/>
          <w:lang w:eastAsia="zh-CN" w:bidi="ar"/>
        </w:rPr>
        <w:t xml:space="preserve"> </w:t>
      </w:r>
      <w:r>
        <w:rPr>
          <w:rFonts w:hint="eastAsia" w:eastAsia="宋体" w:cs="Times New Roman"/>
          <w:b/>
          <w:bCs/>
          <w:color w:val="000000"/>
          <w:szCs w:val="24"/>
          <w:lang w:val="en-US" w:eastAsia="zh-CN" w:bidi="ar"/>
        </w:rPr>
        <w:t>p</w:t>
      </w:r>
      <w:r>
        <w:rPr>
          <w:rFonts w:eastAsia="宋体" w:cs="Times New Roman"/>
          <w:b/>
          <w:bCs/>
          <w:color w:val="000000"/>
          <w:szCs w:val="24"/>
          <w:lang w:eastAsia="zh-CN" w:bidi="ar"/>
        </w:rPr>
        <w:t xml:space="preserve">atients </w:t>
      </w:r>
      <w:r>
        <w:rPr>
          <w:rFonts w:hint="eastAsia" w:eastAsia="宋体" w:cs="Times New Roman"/>
          <w:b/>
          <w:bCs/>
          <w:color w:val="000000"/>
          <w:szCs w:val="24"/>
          <w:lang w:val="en-US" w:eastAsia="zh-CN" w:bidi="ar"/>
        </w:rPr>
        <w:t>w</w:t>
      </w:r>
      <w:r>
        <w:rPr>
          <w:rFonts w:eastAsia="宋体" w:cs="Times New Roman"/>
          <w:b/>
          <w:bCs/>
          <w:color w:val="000000"/>
          <w:szCs w:val="24"/>
          <w:lang w:eastAsia="zh-CN" w:bidi="ar"/>
        </w:rPr>
        <w:t xml:space="preserve">ith MMD and </w:t>
      </w:r>
      <w:r>
        <w:rPr>
          <w:rFonts w:hint="eastAsia" w:eastAsia="宋体" w:cs="Times New Roman"/>
          <w:b/>
          <w:bCs/>
          <w:color w:val="000000"/>
          <w:szCs w:val="24"/>
          <w:lang w:eastAsia="zh-CN" w:bidi="ar"/>
        </w:rPr>
        <w:t>healthy controls</w:t>
      </w:r>
      <w:r>
        <w:rPr>
          <w:rFonts w:eastAsia="宋体" w:cs="Times New Roman"/>
          <w:b/>
          <w:bCs/>
          <w:color w:val="000000"/>
          <w:szCs w:val="24"/>
          <w:lang w:eastAsia="zh-CN" w:bidi="ar"/>
        </w:rPr>
        <w:t xml:space="preserve"> in</w:t>
      </w:r>
      <w:r>
        <w:rPr>
          <w:rFonts w:hint="eastAsia" w:eastAsia="宋体" w:cs="Times New Roman"/>
          <w:b/>
          <w:bCs/>
          <w:color w:val="000000"/>
          <w:szCs w:val="24"/>
          <w:lang w:val="en-US" w:eastAsia="zh-CN" w:bidi="ar"/>
        </w:rPr>
        <w:t xml:space="preserve"> the </w:t>
      </w:r>
      <w:r>
        <w:rPr>
          <w:rFonts w:eastAsia="宋体" w:cs="Times New Roman"/>
          <w:b/>
          <w:bCs/>
          <w:color w:val="000000"/>
          <w:szCs w:val="24"/>
          <w:lang w:eastAsia="zh-CN" w:bidi="ar"/>
        </w:rPr>
        <w:t>scRNA-seq cohort.</w:t>
      </w:r>
    </w:p>
    <w:tbl>
      <w:tblPr>
        <w:tblStyle w:val="20"/>
        <w:tblpPr w:leftFromText="180" w:rightFromText="180" w:vertAnchor="page" w:horzAnchor="page" w:tblpXSpec="center" w:tblpY="1964"/>
        <w:tblOverlap w:val="never"/>
        <w:tblW w:w="7167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6"/>
        <w:gridCol w:w="1892"/>
        <w:gridCol w:w="1559"/>
      </w:tblGrid>
      <w:tr w14:paraId="271803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716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BC928F3">
            <w:pPr>
              <w:spacing w:before="0" w:after="0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Characteristics</w:t>
            </w:r>
          </w:p>
        </w:tc>
        <w:tc>
          <w:tcPr>
            <w:tcW w:w="1892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F34ACE0"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MMD patients</w:t>
            </w:r>
            <w:r>
              <w:rPr>
                <w:rFonts w:hint="eastAsia" w:eastAsia="宋体" w:cs="Times New Roman"/>
                <w:color w:val="000000"/>
                <w:szCs w:val="24"/>
                <w:lang w:eastAsia="zh-CN" w:bidi="ar"/>
              </w:rPr>
              <w:t xml:space="preserve"> (N = 7)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2D8C27F">
            <w:pPr>
              <w:widowControl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 w:bidi="ar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HCs</w:t>
            </w:r>
          </w:p>
          <w:p w14:paraId="00AA7A07">
            <w:pPr>
              <w:widowControl w:val="0"/>
              <w:spacing w:before="0" w:after="0"/>
              <w:jc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Cs w:val="24"/>
                <w:lang w:eastAsia="zh-CN" w:bidi="ar"/>
              </w:rPr>
              <w:t>(N = 7)</w:t>
            </w:r>
          </w:p>
        </w:tc>
      </w:tr>
      <w:tr w14:paraId="1BF36F1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716" w:type="dxa"/>
            <w:tcBorders>
              <w:top w:val="single" w:color="auto" w:sz="4" w:space="0"/>
            </w:tcBorders>
            <w:shd w:val="clear" w:color="auto" w:fill="auto"/>
            <w:noWrap/>
          </w:tcPr>
          <w:p w14:paraId="5F503452">
            <w:pPr>
              <w:widowControl w:val="0"/>
              <w:spacing w:before="0" w:after="0"/>
              <w:jc w:val="both"/>
              <w:rPr>
                <w:rFonts w:eastAsia="宋体" w:cs="Times New Roman"/>
                <w:i/>
                <w:iCs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Demographic</w:t>
            </w:r>
          </w:p>
        </w:tc>
        <w:tc>
          <w:tcPr>
            <w:tcW w:w="1892" w:type="dxa"/>
            <w:tcBorders>
              <w:top w:val="single" w:color="auto" w:sz="4" w:space="0"/>
            </w:tcBorders>
            <w:shd w:val="clear" w:color="auto" w:fill="auto"/>
            <w:noWrap/>
          </w:tcPr>
          <w:p w14:paraId="22F4044C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color="auto" w:sz="4" w:space="0"/>
            </w:tcBorders>
            <w:shd w:val="clear" w:color="auto" w:fill="auto"/>
            <w:noWrap/>
          </w:tcPr>
          <w:p w14:paraId="065592F5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</w:p>
        </w:tc>
      </w:tr>
      <w:tr w14:paraId="5D9751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716" w:type="dxa"/>
            <w:shd w:val="clear" w:color="auto" w:fill="auto"/>
            <w:noWrap/>
          </w:tcPr>
          <w:p w14:paraId="64F96DAA">
            <w:pPr>
              <w:widowControl w:val="0"/>
              <w:spacing w:before="0" w:after="0"/>
              <w:ind w:firstLine="240" w:firstLineChars="10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 xml:space="preserve">Age </w:t>
            </w:r>
            <w:r>
              <w:rPr>
                <w:rFonts w:hint="eastAsia" w:eastAsia="宋体" w:cs="Times New Roman"/>
                <w:kern w:val="2"/>
                <w:szCs w:val="24"/>
                <w:lang w:val="en-US" w:eastAsia="zh-CN"/>
              </w:rPr>
              <w:t>(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>years</w:t>
            </w:r>
            <w:r>
              <w:rPr>
                <w:rFonts w:hint="eastAsia" w:eastAsia="宋体" w:cs="Times New Roman"/>
                <w:kern w:val="2"/>
                <w:szCs w:val="24"/>
                <w:lang w:val="en-US" w:eastAsia="zh-CN"/>
              </w:rPr>
              <w:t>)</w:t>
            </w: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, mean</w:t>
            </w:r>
            <w:r>
              <w:rPr>
                <w:rFonts w:eastAsia="Times New Roman" w:cs="Times New Roman"/>
                <w:snapToGrid w:val="0"/>
                <w:kern w:val="2"/>
                <w:szCs w:val="24"/>
                <w:lang w:eastAsia="zh-CN" w:bidi="en-US"/>
              </w:rPr>
              <w:t xml:space="preserve"> ± </w:t>
            </w: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SD</w:t>
            </w:r>
          </w:p>
        </w:tc>
        <w:tc>
          <w:tcPr>
            <w:tcW w:w="1892" w:type="dxa"/>
            <w:shd w:val="clear" w:color="auto" w:fill="auto"/>
            <w:noWrap/>
          </w:tcPr>
          <w:p w14:paraId="4FF10852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 xml:space="preserve">41.9 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>±</w:t>
            </w: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 xml:space="preserve"> 5.5</w:t>
            </w:r>
          </w:p>
        </w:tc>
        <w:tc>
          <w:tcPr>
            <w:tcW w:w="1559" w:type="dxa"/>
            <w:shd w:val="clear" w:color="auto" w:fill="auto"/>
            <w:noWrap/>
          </w:tcPr>
          <w:p w14:paraId="6CD90B67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 xml:space="preserve">40.3 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>±</w:t>
            </w: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 xml:space="preserve"> 5.8</w:t>
            </w:r>
          </w:p>
        </w:tc>
      </w:tr>
      <w:tr w14:paraId="795D7C8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3716" w:type="dxa"/>
            <w:shd w:val="clear" w:color="auto" w:fill="auto"/>
            <w:noWrap/>
          </w:tcPr>
          <w:p w14:paraId="11204DB1">
            <w:pPr>
              <w:widowControl w:val="0"/>
              <w:spacing w:before="0" w:after="0"/>
              <w:ind w:firstLine="240" w:firstLineChars="10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 xml:space="preserve">Female/male ratio </w:t>
            </w:r>
          </w:p>
        </w:tc>
        <w:tc>
          <w:tcPr>
            <w:tcW w:w="1892" w:type="dxa"/>
            <w:shd w:val="clear" w:color="auto" w:fill="auto"/>
            <w:noWrap/>
          </w:tcPr>
          <w:p w14:paraId="1F512D02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3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>/</w:t>
            </w: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083877ED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3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>/</w:t>
            </w: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4</w:t>
            </w:r>
          </w:p>
        </w:tc>
      </w:tr>
      <w:tr w14:paraId="126E4BA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716" w:type="dxa"/>
            <w:shd w:val="clear" w:color="auto" w:fill="auto"/>
            <w:noWrap/>
          </w:tcPr>
          <w:p w14:paraId="127F91E1">
            <w:pPr>
              <w:widowControl w:val="0"/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Vascular risk factors, n (%)</w:t>
            </w:r>
          </w:p>
        </w:tc>
        <w:tc>
          <w:tcPr>
            <w:tcW w:w="1892" w:type="dxa"/>
            <w:shd w:val="clear" w:color="auto" w:fill="auto"/>
            <w:noWrap/>
          </w:tcPr>
          <w:p w14:paraId="430C0CD3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4054DB4F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</w:p>
        </w:tc>
      </w:tr>
      <w:tr w14:paraId="5FEEFE2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716" w:type="dxa"/>
            <w:shd w:val="clear" w:color="auto" w:fill="auto"/>
            <w:noWrap/>
          </w:tcPr>
          <w:p w14:paraId="2C5A0DDB">
            <w:pPr>
              <w:widowControl w:val="0"/>
              <w:spacing w:before="0" w:after="0"/>
              <w:ind w:firstLine="240" w:firstLineChars="10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H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>ypertension</w:t>
            </w:r>
          </w:p>
        </w:tc>
        <w:tc>
          <w:tcPr>
            <w:tcW w:w="1892" w:type="dxa"/>
            <w:shd w:val="clear" w:color="auto" w:fill="auto"/>
            <w:noWrap/>
          </w:tcPr>
          <w:p w14:paraId="15D25484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2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 xml:space="preserve"> (</w:t>
            </w: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28.6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</w:tcPr>
          <w:p w14:paraId="41010A25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-</w:t>
            </w:r>
          </w:p>
        </w:tc>
      </w:tr>
      <w:tr w14:paraId="42C375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716" w:type="dxa"/>
            <w:shd w:val="clear" w:color="auto" w:fill="auto"/>
            <w:noWrap/>
          </w:tcPr>
          <w:p w14:paraId="6E98769A">
            <w:pPr>
              <w:widowControl w:val="0"/>
              <w:spacing w:before="0" w:after="0"/>
              <w:ind w:firstLine="240" w:firstLineChars="10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H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>yperlipidemia</w:t>
            </w:r>
          </w:p>
        </w:tc>
        <w:tc>
          <w:tcPr>
            <w:tcW w:w="1892" w:type="dxa"/>
            <w:shd w:val="clear" w:color="auto" w:fill="auto"/>
            <w:noWrap/>
          </w:tcPr>
          <w:p w14:paraId="6A0AF5BE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2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 xml:space="preserve"> (</w:t>
            </w: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28.6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</w:tcPr>
          <w:p w14:paraId="41826758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-</w:t>
            </w:r>
          </w:p>
        </w:tc>
      </w:tr>
      <w:tr w14:paraId="5DABD84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716" w:type="dxa"/>
            <w:shd w:val="clear" w:color="auto" w:fill="auto"/>
            <w:noWrap/>
          </w:tcPr>
          <w:p w14:paraId="5F7919F7">
            <w:pPr>
              <w:widowControl w:val="0"/>
              <w:spacing w:before="0" w:after="0"/>
              <w:ind w:firstLine="240" w:firstLineChars="10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D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>iabetes mellitus</w:t>
            </w:r>
          </w:p>
        </w:tc>
        <w:tc>
          <w:tcPr>
            <w:tcW w:w="1892" w:type="dxa"/>
            <w:shd w:val="clear" w:color="auto" w:fill="auto"/>
            <w:noWrap/>
          </w:tcPr>
          <w:p w14:paraId="43E5FBA3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 xml:space="preserve">0 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>(</w:t>
            </w: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0.0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</w:tcPr>
          <w:p w14:paraId="68F36D0F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-</w:t>
            </w:r>
          </w:p>
        </w:tc>
      </w:tr>
      <w:tr w14:paraId="2D072B3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716" w:type="dxa"/>
            <w:shd w:val="clear" w:color="auto" w:fill="auto"/>
            <w:noWrap/>
            <w:vAlign w:val="top"/>
          </w:tcPr>
          <w:p w14:paraId="2494F0FD">
            <w:pPr>
              <w:widowControl w:val="0"/>
              <w:spacing w:before="0" w:after="0"/>
              <w:ind w:firstLine="240" w:firstLineChars="10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Current smoking</w:t>
            </w:r>
          </w:p>
        </w:tc>
        <w:tc>
          <w:tcPr>
            <w:tcW w:w="1892" w:type="dxa"/>
            <w:shd w:val="clear" w:color="auto" w:fill="auto"/>
            <w:noWrap/>
          </w:tcPr>
          <w:p w14:paraId="00EDE18C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1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 xml:space="preserve"> (</w:t>
            </w: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14.3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</w:tcPr>
          <w:p w14:paraId="40F25DD9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-</w:t>
            </w:r>
          </w:p>
        </w:tc>
      </w:tr>
      <w:tr w14:paraId="5FC55F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716" w:type="dxa"/>
            <w:shd w:val="clear" w:color="auto" w:fill="auto"/>
            <w:noWrap/>
            <w:vAlign w:val="top"/>
          </w:tcPr>
          <w:p w14:paraId="0710E88C">
            <w:pPr>
              <w:widowControl w:val="0"/>
              <w:spacing w:before="0" w:after="0"/>
              <w:ind w:firstLine="240" w:firstLineChars="10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Current alcohol consumption</w:t>
            </w:r>
          </w:p>
        </w:tc>
        <w:tc>
          <w:tcPr>
            <w:tcW w:w="1892" w:type="dxa"/>
            <w:shd w:val="clear" w:color="auto" w:fill="auto"/>
            <w:noWrap/>
          </w:tcPr>
          <w:p w14:paraId="2EB5EBFF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1</w:t>
            </w:r>
            <w:r>
              <w:rPr>
                <w:rFonts w:hint="eastAsia" w:eastAsia="宋体" w:cs="Times New Roman"/>
                <w:kern w:val="2"/>
                <w:szCs w:val="24"/>
                <w:lang w:val="en-US" w:eastAsia="zh-CN"/>
              </w:rPr>
              <w:t xml:space="preserve"> 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>(</w:t>
            </w: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14.3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</w:tcPr>
          <w:p w14:paraId="142B64C4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-</w:t>
            </w:r>
          </w:p>
        </w:tc>
      </w:tr>
      <w:tr w14:paraId="3D3C61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716" w:type="dxa"/>
            <w:shd w:val="clear" w:color="auto" w:fill="auto"/>
            <w:noWrap/>
          </w:tcPr>
          <w:p w14:paraId="31ECFF4D">
            <w:pPr>
              <w:widowControl w:val="0"/>
              <w:spacing w:before="0" w:after="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Clinical manifestation</w:t>
            </w:r>
            <w:r>
              <w:rPr>
                <w:rFonts w:hint="eastAsia" w:eastAsia="宋体" w:cs="Times New Roman"/>
                <w:kern w:val="2"/>
                <w:szCs w:val="24"/>
                <w:lang w:val="en-US" w:eastAsia="zh-CN"/>
              </w:rPr>
              <w:t>s</w:t>
            </w:r>
            <w:r>
              <w:rPr>
                <w:rFonts w:eastAsia="宋体" w:cs="Times New Roman"/>
                <w:kern w:val="2"/>
                <w:szCs w:val="24"/>
                <w:lang w:eastAsia="zh-CN"/>
              </w:rPr>
              <w:t>, n (%)</w:t>
            </w:r>
          </w:p>
        </w:tc>
        <w:tc>
          <w:tcPr>
            <w:tcW w:w="1892" w:type="dxa"/>
            <w:shd w:val="clear" w:color="auto" w:fill="auto"/>
            <w:noWrap/>
          </w:tcPr>
          <w:p w14:paraId="6C0AEBFC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7A0C1988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</w:p>
        </w:tc>
      </w:tr>
      <w:tr w14:paraId="5CC74B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716" w:type="dxa"/>
            <w:shd w:val="clear" w:color="auto" w:fill="auto"/>
            <w:noWrap/>
          </w:tcPr>
          <w:p w14:paraId="506EB526">
            <w:pPr>
              <w:widowControl w:val="0"/>
              <w:spacing w:before="0" w:after="0"/>
              <w:ind w:firstLine="240" w:firstLineChars="10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Ischemic type</w:t>
            </w:r>
          </w:p>
        </w:tc>
        <w:tc>
          <w:tcPr>
            <w:tcW w:w="1892" w:type="dxa"/>
            <w:shd w:val="clear" w:color="auto" w:fill="auto"/>
            <w:noWrap/>
          </w:tcPr>
          <w:p w14:paraId="42284048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4 (57.1)</w:t>
            </w:r>
          </w:p>
        </w:tc>
        <w:tc>
          <w:tcPr>
            <w:tcW w:w="1559" w:type="dxa"/>
            <w:shd w:val="clear" w:color="auto" w:fill="auto"/>
            <w:noWrap/>
          </w:tcPr>
          <w:p w14:paraId="1D36DCF4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-</w:t>
            </w:r>
          </w:p>
        </w:tc>
      </w:tr>
      <w:tr w14:paraId="5961BA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716" w:type="dxa"/>
            <w:shd w:val="clear" w:color="auto" w:fill="auto"/>
            <w:noWrap/>
          </w:tcPr>
          <w:p w14:paraId="64A6F15D">
            <w:pPr>
              <w:widowControl w:val="0"/>
              <w:spacing w:before="0" w:after="0"/>
              <w:ind w:firstLine="240" w:firstLineChars="100"/>
              <w:jc w:val="both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Hemorrhagic type</w:t>
            </w:r>
          </w:p>
        </w:tc>
        <w:tc>
          <w:tcPr>
            <w:tcW w:w="1892" w:type="dxa"/>
            <w:shd w:val="clear" w:color="auto" w:fill="auto"/>
            <w:noWrap/>
          </w:tcPr>
          <w:p w14:paraId="73867485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Cs w:val="24"/>
                <w:lang w:eastAsia="zh-CN"/>
              </w:rPr>
              <w:t>3 (42.9)</w:t>
            </w:r>
          </w:p>
        </w:tc>
        <w:tc>
          <w:tcPr>
            <w:tcW w:w="1559" w:type="dxa"/>
            <w:shd w:val="clear" w:color="auto" w:fill="auto"/>
            <w:noWrap/>
          </w:tcPr>
          <w:p w14:paraId="0830F633">
            <w:pPr>
              <w:widowControl w:val="0"/>
              <w:spacing w:before="0" w:after="0"/>
              <w:jc w:val="center"/>
              <w:rPr>
                <w:rFonts w:eastAsia="宋体" w:cs="Times New Roman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kern w:val="2"/>
                <w:szCs w:val="24"/>
                <w:lang w:eastAsia="zh-CN"/>
              </w:rPr>
              <w:t>-</w:t>
            </w:r>
          </w:p>
        </w:tc>
      </w:tr>
    </w:tbl>
    <w:p w14:paraId="75E82FC6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64D17D71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53C63F00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776BD2DD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7E856FC1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601D2889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59A8FF7D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435E3195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0FA0EC6F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2B9B26DB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7A2E72CD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62F71B1B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3CD7C5BB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3CC9787E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18204049">
      <w:pPr>
        <w:widowControl w:val="0"/>
        <w:spacing w:before="0" w:after="0"/>
        <w:jc w:val="both"/>
        <w:rPr>
          <w:rFonts w:eastAsia="宋体" w:cs="Times New Roman"/>
          <w:color w:val="000000"/>
          <w:szCs w:val="24"/>
          <w:lang w:eastAsia="zh-CN" w:bidi="ar"/>
        </w:rPr>
      </w:pPr>
    </w:p>
    <w:p w14:paraId="4C5FEB8A">
      <w:pPr>
        <w:widowControl w:val="0"/>
        <w:spacing w:before="0" w:after="0"/>
        <w:jc w:val="both"/>
        <w:rPr>
          <w:rFonts w:hint="eastAsia" w:eastAsia="宋体" w:cs="Times New Roman"/>
          <w:color w:val="000000"/>
          <w:szCs w:val="24"/>
          <w:lang w:val="en-US" w:eastAsia="zh-CN" w:bidi="ar"/>
        </w:rPr>
      </w:pPr>
      <w:r>
        <w:rPr>
          <w:rFonts w:hint="eastAsia" w:eastAsia="宋体" w:cs="Times New Roman"/>
          <w:color w:val="000000"/>
          <w:szCs w:val="24"/>
          <w:lang w:eastAsia="zh-CN" w:bidi="ar"/>
        </w:rPr>
        <w:t>Abbreviations: HCs, healthy controls; MMD</w:t>
      </w:r>
      <w:r>
        <w:rPr>
          <w:rFonts w:hint="eastAsia" w:eastAsia="宋体" w:cs="Times New Roman"/>
          <w:color w:val="000000"/>
          <w:szCs w:val="24"/>
          <w:lang w:val="en-US" w:eastAsia="zh-CN" w:bidi="ar"/>
        </w:rPr>
        <w:t xml:space="preserve">, </w:t>
      </w:r>
      <w:r>
        <w:rPr>
          <w:rFonts w:hint="eastAsia" w:eastAsia="宋体" w:cs="Times New Roman"/>
          <w:color w:val="000000"/>
          <w:szCs w:val="24"/>
          <w:lang w:eastAsia="zh-CN" w:bidi="ar"/>
        </w:rPr>
        <w:t>moyamoya disease; SD, standard deviation.</w:t>
      </w:r>
      <w:r>
        <w:rPr>
          <w:rFonts w:hint="eastAsia" w:eastAsia="宋体" w:cs="Times New Roman"/>
          <w:color w:val="000000"/>
          <w:szCs w:val="24"/>
          <w:lang w:val="en-US" w:eastAsia="zh-CN" w:bidi="ar"/>
        </w:rPr>
        <w:t xml:space="preserve"> </w:t>
      </w:r>
    </w:p>
    <w:p w14:paraId="40AECD74">
      <w:pPr>
        <w:widowControl w:val="0"/>
        <w:spacing w:before="0" w:after="0"/>
        <w:jc w:val="both"/>
        <w:rPr>
          <w:rFonts w:eastAsia="宋体" w:cs="Times New Roman"/>
          <w:kern w:val="2"/>
          <w:szCs w:val="24"/>
          <w:lang w:eastAsia="zh-CN"/>
        </w:rPr>
      </w:pPr>
      <w:r>
        <w:rPr>
          <w:rFonts w:hint="eastAsia" w:eastAsia="宋体" w:cs="Times New Roman"/>
          <w:color w:val="000000"/>
          <w:szCs w:val="24"/>
          <w:lang w:val="en-US" w:eastAsia="zh-CN" w:bidi="ar"/>
        </w:rPr>
        <w:t>HCs data were obtained from the GSE165080 dataset, and MMD data were derived from HRA005203.</w:t>
      </w:r>
    </w:p>
    <w:p w14:paraId="751D6459">
      <w:pPr>
        <w:spacing w:before="240"/>
      </w:pPr>
    </w:p>
    <w:p w14:paraId="5ED371A8">
      <w:pPr>
        <w:spacing w:before="240"/>
      </w:pPr>
    </w:p>
    <w:p w14:paraId="62906F41">
      <w:pPr>
        <w:spacing w:before="240"/>
      </w:pPr>
    </w:p>
    <w:p w14:paraId="5A8AEF73">
      <w:pPr>
        <w:spacing w:before="240"/>
      </w:pPr>
    </w:p>
    <w:p w14:paraId="256D0C99">
      <w:pPr>
        <w:spacing w:before="240"/>
      </w:pPr>
    </w:p>
    <w:p w14:paraId="73AA8F98">
      <w:pPr>
        <w:spacing w:before="240"/>
      </w:pPr>
    </w:p>
    <w:p w14:paraId="71F07F3E">
      <w:pPr>
        <w:spacing w:before="240"/>
      </w:pPr>
    </w:p>
    <w:p w14:paraId="4BA727B6">
      <w:pPr>
        <w:spacing w:before="240"/>
      </w:pPr>
    </w:p>
    <w:p w14:paraId="6F3278F3">
      <w:pPr>
        <w:spacing w:before="240"/>
      </w:pPr>
    </w:p>
    <w:p w14:paraId="425ED00A">
      <w:pPr>
        <w:spacing w:before="240"/>
      </w:pPr>
    </w:p>
    <w:p w14:paraId="045B37B5">
      <w:pPr>
        <w:spacing w:before="240"/>
      </w:pPr>
    </w:p>
    <w:p w14:paraId="6A5BCA15">
      <w:pPr>
        <w:spacing w:before="240"/>
      </w:pPr>
    </w:p>
    <w:p w14:paraId="4A0671A8">
      <w:pPr>
        <w:spacing w:before="240"/>
      </w:pPr>
    </w:p>
    <w:p w14:paraId="4DB43571">
      <w:pPr>
        <w:spacing w:before="240"/>
        <w:jc w:val="both"/>
      </w:pPr>
    </w:p>
    <w:p w14:paraId="0690254C">
      <w:pPr>
        <w:spacing w:before="24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61915" cy="7099935"/>
            <wp:effectExtent l="0" t="0" r="635" b="5715"/>
            <wp:docPr id="2" name="图片 2" descr="F:/0.MMD-T细胞/13.Journal of Neuroinflammation/Figure/Figure S1.tif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:/0.MMD-T细胞/13.Journal of Neuroinflammation/Figure/Figure S1.tifFigure S1"/>
                    <pic:cNvPicPr>
                      <a:picLocks noChangeAspect="1"/>
                    </pic:cNvPicPr>
                  </pic:nvPicPr>
                  <pic:blipFill>
                    <a:blip r:embed="rId9"/>
                    <a:srcRect l="230" r="230"/>
                    <a:stretch>
                      <a:fillRect/>
                    </a:stretch>
                  </pic:blipFill>
                  <pic:spPr>
                    <a:xfrm>
                      <a:off x="0" y="0"/>
                      <a:ext cx="5161915" cy="709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151C4C">
      <w:pPr>
        <w:jc w:val="both"/>
        <w:rPr>
          <w:rFonts w:hint="eastAsia" w:eastAsiaTheme="minorEastAsia"/>
          <w:lang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</w:rPr>
        <w:t xml:space="preserve">Fig 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>1.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 Mass cytometry analysis of molecular expression differences in DPT and DNT cell subsets between healthy control (HC) and moyamoya disease (MMD) group</w:t>
      </w:r>
      <w:r>
        <w:rPr>
          <w:rFonts w:hint="eastAsia" w:cs="Times New Roman"/>
          <w:b/>
          <w:bCs/>
          <w:sz w:val="24"/>
          <w:szCs w:val="32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>Heatmap</w:t>
      </w:r>
      <w:r>
        <w:rPr>
          <w:rFonts w:hint="eastAsia" w:cs="Times New Roman"/>
          <w:b w:val="0"/>
          <w:bCs w:val="0"/>
          <w:sz w:val="24"/>
          <w:szCs w:val="32"/>
          <w:lang w:val="en-US" w:eastAsia="zh-CN"/>
        </w:rPr>
        <w:t>s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 xml:space="preserve"> illustrating the expression of T</w:t>
      </w:r>
      <w:r>
        <w:rPr>
          <w:rFonts w:hint="eastAsia" w:cs="Times New Roman"/>
          <w:b w:val="0"/>
          <w:bCs w:val="0"/>
          <w:sz w:val="24"/>
          <w:szCs w:val="32"/>
          <w:lang w:val="en-US" w:eastAsia="zh-CN"/>
        </w:rPr>
        <w:t>-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>cell activation and differentiation markers in (A) DPT cells and (B) DNT cells between HC and</w:t>
      </w:r>
      <w:r>
        <w:rPr>
          <w:rFonts w:hint="eastAsia" w:cs="Times New Roman"/>
          <w:b w:val="0"/>
          <w:bCs w:val="0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>MMD</w:t>
      </w:r>
      <w:r>
        <w:rPr>
          <w:rFonts w:hint="eastAsia" w:cs="Times New Roman"/>
          <w:b w:val="0"/>
          <w:bCs w:val="0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>groups.</w:t>
      </w:r>
      <w:r>
        <w:rPr>
          <w:rFonts w:hint="eastAsia" w:cs="Times New Roman"/>
          <w:b w:val="0"/>
          <w:bCs w:val="0"/>
          <w:sz w:val="24"/>
          <w:szCs w:val="32"/>
          <w:lang w:val="en-US" w:eastAsia="zh-CN"/>
        </w:rPr>
        <w:t xml:space="preserve"> Differential expression of metabolic and functional state markers analyzed by mass cytometry in (C) DPT cells and (D) DNT cells between HC and MMD groups.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 xml:space="preserve"> Statistical significance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: ns</w:t>
      </w:r>
      <w:r>
        <w:rPr>
          <w:rFonts w:hint="eastAsia" w:cs="Times New Roman"/>
          <w:sz w:val="24"/>
          <w:szCs w:val="32"/>
          <w:lang w:val="en-US" w:eastAsia="zh-CN"/>
        </w:rPr>
        <w:t>,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i/>
          <w:iCs/>
          <w:sz w:val="24"/>
          <w:szCs w:val="32"/>
          <w:lang w:val="en-US" w:eastAsia="zh-CN"/>
        </w:rPr>
        <w:t>p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 ≥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0.05; *</w:t>
      </w:r>
      <w:r>
        <w:rPr>
          <w:rFonts w:hint="eastAsia" w:ascii="Times New Roman" w:hAnsi="Times New Roman" w:cs="Times New Roman"/>
          <w:i/>
          <w:iCs/>
          <w:sz w:val="24"/>
          <w:szCs w:val="32"/>
          <w:lang w:val="en-US" w:eastAsia="zh-CN"/>
        </w:rPr>
        <w:t>p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&lt; 0.05; **</w:t>
      </w:r>
      <w:r>
        <w:rPr>
          <w:rFonts w:hint="eastAsia" w:ascii="Times New Roman" w:hAnsi="Times New Roman" w:cs="Times New Roman"/>
          <w:i/>
          <w:iCs/>
          <w:sz w:val="24"/>
          <w:szCs w:val="32"/>
          <w:lang w:val="en-US" w:eastAsia="zh-CN"/>
        </w:rPr>
        <w:t>p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&lt; 0.01; ***</w:t>
      </w:r>
      <w:r>
        <w:rPr>
          <w:rFonts w:hint="eastAsia" w:ascii="Times New Roman" w:hAnsi="Times New Roman" w:cs="Times New Roman"/>
          <w:i/>
          <w:iCs/>
          <w:sz w:val="24"/>
          <w:szCs w:val="32"/>
          <w:lang w:val="en-US" w:eastAsia="zh-CN"/>
        </w:rPr>
        <w:t>p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&lt; 0.001</w:t>
      </w:r>
      <w:r>
        <w:rPr>
          <w:rFonts w:hint="eastAsia" w:cs="Times New Roman"/>
          <w:sz w:val="24"/>
          <w:szCs w:val="32"/>
          <w:lang w:val="en-US" w:eastAsia="zh-CN"/>
        </w:rPr>
        <w:t xml:space="preserve"> (Wilcoxon rank-sum test)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.</w:t>
      </w:r>
    </w:p>
    <w:p w14:paraId="4144929E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533390" cy="7440295"/>
            <wp:effectExtent l="0" t="0" r="635" b="8255"/>
            <wp:docPr id="10" name="图片 10" descr="F:/0.MMD-T细胞/13.Journal of Neuroinflammation/Figure/Figure S2.tif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:/0.MMD-T细胞/13.Journal of Neuroinflammation/Figure/Figure S2.tifFigure S2"/>
                    <pic:cNvPicPr>
                      <a:picLocks noChangeAspect="1"/>
                    </pic:cNvPicPr>
                  </pic:nvPicPr>
                  <pic:blipFill>
                    <a:blip r:embed="rId10"/>
                    <a:srcRect l="21" r="21"/>
                    <a:stretch>
                      <a:fillRect/>
                    </a:stretch>
                  </pic:blipFill>
                  <pic:spPr>
                    <a:xfrm>
                      <a:off x="0" y="0"/>
                      <a:ext cx="5533390" cy="744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C8B04">
      <w:pPr>
        <w:jc w:val="both"/>
        <w:rPr>
          <w:rFonts w:hint="eastAsia" w:eastAsiaTheme="minorEastAsia"/>
          <w:lang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</w:rPr>
        <w:t xml:space="preserve">Fig 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S2. Mass cytometry analysis of signaling</w:t>
      </w: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>–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 and transcription</w:t>
      </w: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>–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related molecules in CD4</w:t>
      </w:r>
      <w:r>
        <w:rPr>
          <w:rFonts w:hint="eastAsia" w:ascii="Times New Roman" w:hAnsi="Times New Roman" w:cs="Times New Roman"/>
          <w:b/>
          <w:bCs/>
          <w:sz w:val="24"/>
          <w:szCs w:val="32"/>
          <w:vertAlign w:val="superscript"/>
          <w:lang w:val="en-US" w:eastAsia="zh-CN"/>
        </w:rPr>
        <w:t>+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 and CD8</w:t>
      </w:r>
      <w:r>
        <w:rPr>
          <w:rFonts w:hint="eastAsia" w:ascii="Times New Roman" w:hAnsi="Times New Roman" w:cs="Times New Roman"/>
          <w:b/>
          <w:bCs/>
          <w:sz w:val="24"/>
          <w:szCs w:val="32"/>
          <w:vertAlign w:val="superscript"/>
          <w:lang w:val="en-US" w:eastAsia="zh-CN"/>
        </w:rPr>
        <w:t>+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 </w:t>
      </w:r>
      <w:r>
        <w:rPr>
          <w:rFonts w:hint="eastAsia" w:cs="Times New Roman"/>
          <w:b/>
          <w:bCs/>
          <w:sz w:val="24"/>
          <w:szCs w:val="32"/>
          <w:lang w:val="en-US" w:eastAsia="zh-CN"/>
        </w:rPr>
        <w:t xml:space="preserve">T cell 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subsets between healthy control (HC) and moyamoya disease (MMD) </w:t>
      </w:r>
      <w:r>
        <w:rPr>
          <w:rFonts w:hint="eastAsia" w:cs="Times New Roman"/>
          <w:b/>
          <w:bCs/>
          <w:sz w:val="24"/>
          <w:szCs w:val="32"/>
          <w:lang w:val="en-US" w:eastAsia="zh-CN"/>
        </w:rPr>
        <w:t>g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roups.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Statistical significance: ns</w:t>
      </w:r>
      <w:r>
        <w:rPr>
          <w:rFonts w:hint="eastAsia" w:cs="Times New Roman"/>
          <w:sz w:val="24"/>
          <w:szCs w:val="32"/>
          <w:lang w:val="en-US" w:eastAsia="zh-CN"/>
        </w:rPr>
        <w:t>,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i/>
          <w:iCs/>
          <w:sz w:val="24"/>
          <w:szCs w:val="32"/>
          <w:lang w:val="en-US" w:eastAsia="zh-CN"/>
        </w:rPr>
        <w:t>p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 ≥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0.05; *</w:t>
      </w:r>
      <w:r>
        <w:rPr>
          <w:rFonts w:hint="eastAsia" w:ascii="Times New Roman" w:hAnsi="Times New Roman" w:cs="Times New Roman"/>
          <w:i/>
          <w:iCs/>
          <w:sz w:val="24"/>
          <w:szCs w:val="32"/>
          <w:lang w:val="en-US" w:eastAsia="zh-CN"/>
        </w:rPr>
        <w:t>p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&lt; 0.05; **</w:t>
      </w:r>
      <w:r>
        <w:rPr>
          <w:rFonts w:hint="eastAsia" w:ascii="Times New Roman" w:hAnsi="Times New Roman" w:cs="Times New Roman"/>
          <w:i/>
          <w:iCs/>
          <w:sz w:val="24"/>
          <w:szCs w:val="32"/>
          <w:lang w:val="en-US" w:eastAsia="zh-CN"/>
        </w:rPr>
        <w:t>p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&lt; 0.01; ***</w:t>
      </w:r>
      <w:r>
        <w:rPr>
          <w:rFonts w:hint="eastAsia" w:ascii="Times New Roman" w:hAnsi="Times New Roman" w:cs="Times New Roman"/>
          <w:i/>
          <w:iCs/>
          <w:sz w:val="24"/>
          <w:szCs w:val="32"/>
          <w:lang w:val="en-US" w:eastAsia="zh-CN"/>
        </w:rPr>
        <w:t>p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&lt; 0.001</w:t>
      </w:r>
      <w:r>
        <w:rPr>
          <w:rFonts w:hint="eastAsia" w:cs="Times New Roman"/>
          <w:sz w:val="24"/>
          <w:szCs w:val="32"/>
          <w:lang w:val="en-US" w:eastAsia="zh-CN"/>
        </w:rPr>
        <w:t xml:space="preserve"> (Wilcoxon rank-sum test)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.</w:t>
      </w:r>
    </w:p>
    <w:p w14:paraId="126D7403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203315" cy="6886575"/>
            <wp:effectExtent l="0" t="0" r="14605" b="1905"/>
            <wp:docPr id="9" name="图片 9" descr="F:/0.MMD-T细胞/13.Journal of Neuroinflammation/Figure/Figure S3.tif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:/0.MMD-T细胞/13.Journal of Neuroinflammation/Figure/Figure S3.tifFigure S3"/>
                    <pic:cNvPicPr>
                      <a:picLocks noChangeAspect="1"/>
                    </pic:cNvPicPr>
                  </pic:nvPicPr>
                  <pic:blipFill>
                    <a:blip r:embed="rId11"/>
                    <a:srcRect l="5" r="5"/>
                    <a:stretch>
                      <a:fillRect/>
                    </a:stretch>
                  </pic:blipFill>
                  <pic:spPr>
                    <a:xfrm>
                      <a:off x="0" y="0"/>
                      <a:ext cx="6203315" cy="688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29E8F">
      <w:pPr>
        <w:jc w:val="both"/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</w:rPr>
        <w:t xml:space="preserve">Fig 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S3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>.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 Mass cytometry analysis of</w:t>
      </w:r>
      <w:r>
        <w:rPr>
          <w:rFonts w:hint="eastAsia" w:cs="Times New Roman"/>
          <w:b/>
          <w:bCs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tricarboxylic acid (TCA) cycle</w:t>
      </w: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>–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 and electron transport chain (ETC)</w:t>
      </w: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>–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related molecules in CD4</w:t>
      </w:r>
      <w:r>
        <w:rPr>
          <w:rFonts w:hint="eastAsia" w:ascii="Times New Roman" w:hAnsi="Times New Roman" w:cs="Times New Roman"/>
          <w:b/>
          <w:bCs/>
          <w:sz w:val="24"/>
          <w:szCs w:val="32"/>
          <w:vertAlign w:val="superscript"/>
          <w:lang w:val="en-US" w:eastAsia="zh-CN"/>
        </w:rPr>
        <w:t>+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 and CD8</w:t>
      </w:r>
      <w:r>
        <w:rPr>
          <w:rFonts w:hint="eastAsia" w:ascii="Times New Roman" w:hAnsi="Times New Roman" w:cs="Times New Roman"/>
          <w:b/>
          <w:bCs/>
          <w:sz w:val="24"/>
          <w:szCs w:val="32"/>
          <w:vertAlign w:val="superscript"/>
          <w:lang w:val="en-US" w:eastAsia="zh-CN"/>
        </w:rPr>
        <w:t>+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 </w:t>
      </w:r>
      <w:r>
        <w:rPr>
          <w:rFonts w:hint="eastAsia" w:cs="Times New Roman"/>
          <w:b/>
          <w:bCs/>
          <w:sz w:val="24"/>
          <w:szCs w:val="32"/>
          <w:lang w:val="en-US" w:eastAsia="zh-CN"/>
        </w:rPr>
        <w:t xml:space="preserve">T cell 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subsets between healthy control (HC) and moyamoya disease (MMD) </w:t>
      </w:r>
      <w:r>
        <w:rPr>
          <w:rFonts w:hint="eastAsia" w:cs="Times New Roman"/>
          <w:b/>
          <w:bCs/>
          <w:sz w:val="24"/>
          <w:szCs w:val="32"/>
          <w:lang w:val="en-US" w:eastAsia="zh-CN"/>
        </w:rPr>
        <w:t>g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roups.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Statistical significance: ns</w:t>
      </w:r>
      <w:r>
        <w:rPr>
          <w:rFonts w:hint="eastAsia" w:cs="Times New Roman"/>
          <w:sz w:val="24"/>
          <w:szCs w:val="32"/>
          <w:lang w:val="en-US" w:eastAsia="zh-CN"/>
        </w:rPr>
        <w:t>,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i/>
          <w:iCs/>
          <w:sz w:val="24"/>
          <w:szCs w:val="32"/>
          <w:lang w:val="en-US" w:eastAsia="zh-CN"/>
        </w:rPr>
        <w:t>p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 ≥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0.05; *</w:t>
      </w:r>
      <w:r>
        <w:rPr>
          <w:rFonts w:hint="eastAsia" w:ascii="Times New Roman" w:hAnsi="Times New Roman" w:cs="Times New Roman"/>
          <w:i/>
          <w:iCs/>
          <w:sz w:val="24"/>
          <w:szCs w:val="32"/>
          <w:lang w:val="en-US" w:eastAsia="zh-CN"/>
        </w:rPr>
        <w:t>p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&lt; 0.05; **</w:t>
      </w:r>
      <w:r>
        <w:rPr>
          <w:rFonts w:hint="eastAsia" w:ascii="Times New Roman" w:hAnsi="Times New Roman" w:cs="Times New Roman"/>
          <w:i/>
          <w:iCs/>
          <w:sz w:val="24"/>
          <w:szCs w:val="32"/>
          <w:lang w:val="en-US" w:eastAsia="zh-CN"/>
        </w:rPr>
        <w:t>p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&lt; 0.01; ***</w:t>
      </w:r>
      <w:r>
        <w:rPr>
          <w:rFonts w:hint="eastAsia" w:ascii="Times New Roman" w:hAnsi="Times New Roman" w:cs="Times New Roman"/>
          <w:i/>
          <w:iCs/>
          <w:sz w:val="24"/>
          <w:szCs w:val="32"/>
          <w:lang w:val="en-US" w:eastAsia="zh-CN"/>
        </w:rPr>
        <w:t>p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&lt; 0.001</w:t>
      </w:r>
      <w:r>
        <w:rPr>
          <w:rFonts w:hint="eastAsia" w:cs="Times New Roman"/>
          <w:sz w:val="24"/>
          <w:szCs w:val="32"/>
          <w:lang w:val="en-US" w:eastAsia="zh-CN"/>
        </w:rPr>
        <w:t xml:space="preserve"> (Wilcoxon rank-sum test)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.</w:t>
      </w:r>
    </w:p>
    <w:p w14:paraId="7F8BA0E0">
      <w:pPr>
        <w:spacing w:before="240"/>
        <w:jc w:val="center"/>
        <w:rPr>
          <w:rFonts w:hint="eastAsia" w:eastAsiaTheme="minorEastAsia"/>
          <w:lang w:eastAsia="zh-CN"/>
        </w:rPr>
      </w:pPr>
    </w:p>
    <w:p w14:paraId="47F4BAE3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203950" cy="4071620"/>
            <wp:effectExtent l="0" t="0" r="13970" b="12700"/>
            <wp:docPr id="8" name="图片 8" descr="F:/0.MMD-T细胞/13.Journal of Neuroinflammation/Figure/Figure S4.tifFigure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:/0.MMD-T细胞/13.Journal of Neuroinflammation/Figure/Figure S4.tifFigure S4"/>
                    <pic:cNvPicPr>
                      <a:picLocks noChangeAspect="1"/>
                    </pic:cNvPicPr>
                  </pic:nvPicPr>
                  <pic:blipFill>
                    <a:blip r:embed="rId12"/>
                    <a:srcRect l="8" r="8"/>
                    <a:stretch>
                      <a:fillRect/>
                    </a:stretch>
                  </pic:blipFill>
                  <pic:spPr>
                    <a:xfrm>
                      <a:off x="0" y="0"/>
                      <a:ext cx="6203950" cy="407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37E22">
      <w:pPr>
        <w:jc w:val="both"/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</w:rPr>
        <w:t xml:space="preserve">Fig 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S4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>.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 Mass cytometry analysis of mitochondrial dynamics</w:t>
      </w: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>–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related molecules in CD4</w:t>
      </w:r>
      <w:r>
        <w:rPr>
          <w:rFonts w:hint="eastAsia" w:ascii="Times New Roman" w:hAnsi="Times New Roman" w:cs="Times New Roman"/>
          <w:b/>
          <w:bCs/>
          <w:sz w:val="24"/>
          <w:szCs w:val="32"/>
          <w:vertAlign w:val="superscript"/>
          <w:lang w:val="en-US" w:eastAsia="zh-CN"/>
        </w:rPr>
        <w:t>+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 and CD8</w:t>
      </w:r>
      <w:r>
        <w:rPr>
          <w:rFonts w:hint="eastAsia" w:ascii="Times New Roman" w:hAnsi="Times New Roman" w:cs="Times New Roman"/>
          <w:b/>
          <w:bCs/>
          <w:sz w:val="24"/>
          <w:szCs w:val="32"/>
          <w:vertAlign w:val="superscript"/>
          <w:lang w:val="en-US" w:eastAsia="zh-CN"/>
        </w:rPr>
        <w:t>+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 </w:t>
      </w:r>
      <w:r>
        <w:rPr>
          <w:rFonts w:hint="eastAsia" w:cs="Times New Roman"/>
          <w:b/>
          <w:bCs/>
          <w:sz w:val="24"/>
          <w:szCs w:val="32"/>
          <w:lang w:val="en-US" w:eastAsia="zh-CN"/>
        </w:rPr>
        <w:t xml:space="preserve">T cell 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subsets between healthy control (HC) and moyamoya disease (MMD) </w:t>
      </w:r>
      <w:r>
        <w:rPr>
          <w:rFonts w:hint="eastAsia" w:cs="Times New Roman"/>
          <w:b/>
          <w:bCs/>
          <w:sz w:val="24"/>
          <w:szCs w:val="32"/>
          <w:lang w:val="en-US" w:eastAsia="zh-CN"/>
        </w:rPr>
        <w:t>g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roups.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Statistical significance: ns</w:t>
      </w:r>
      <w:r>
        <w:rPr>
          <w:rFonts w:hint="eastAsia" w:cs="Times New Roman"/>
          <w:sz w:val="24"/>
          <w:szCs w:val="32"/>
          <w:lang w:val="en-US" w:eastAsia="zh-CN"/>
        </w:rPr>
        <w:t>,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i/>
          <w:iCs/>
          <w:sz w:val="24"/>
          <w:szCs w:val="32"/>
          <w:lang w:val="en-US" w:eastAsia="zh-CN"/>
        </w:rPr>
        <w:t>p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 ≥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0.05; *</w:t>
      </w:r>
      <w:r>
        <w:rPr>
          <w:rFonts w:hint="eastAsia" w:ascii="Times New Roman" w:hAnsi="Times New Roman" w:cs="Times New Roman"/>
          <w:i/>
          <w:iCs/>
          <w:sz w:val="24"/>
          <w:szCs w:val="32"/>
          <w:lang w:val="en-US" w:eastAsia="zh-CN"/>
        </w:rPr>
        <w:t>p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&lt; 0.05; **</w:t>
      </w:r>
      <w:r>
        <w:rPr>
          <w:rFonts w:hint="eastAsia" w:ascii="Times New Roman" w:hAnsi="Times New Roman" w:cs="Times New Roman"/>
          <w:i/>
          <w:iCs/>
          <w:sz w:val="24"/>
          <w:szCs w:val="32"/>
          <w:lang w:val="en-US" w:eastAsia="zh-CN"/>
        </w:rPr>
        <w:t>p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&lt; 0.01; ***</w:t>
      </w:r>
      <w:r>
        <w:rPr>
          <w:rFonts w:hint="eastAsia" w:ascii="Times New Roman" w:hAnsi="Times New Roman" w:cs="Times New Roman"/>
          <w:i/>
          <w:iCs/>
          <w:sz w:val="24"/>
          <w:szCs w:val="32"/>
          <w:lang w:val="en-US" w:eastAsia="zh-CN"/>
        </w:rPr>
        <w:t>p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&lt; 0.001</w:t>
      </w:r>
      <w:r>
        <w:rPr>
          <w:rFonts w:hint="eastAsia" w:cs="Times New Roman"/>
          <w:sz w:val="24"/>
          <w:szCs w:val="32"/>
          <w:lang w:val="en-US" w:eastAsia="zh-CN"/>
        </w:rPr>
        <w:t xml:space="preserve"> (Wilcoxon rank-sum test)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.</w:t>
      </w:r>
    </w:p>
    <w:p w14:paraId="5795A496">
      <w:pPr>
        <w:spacing w:before="240"/>
        <w:jc w:val="center"/>
        <w:rPr>
          <w:rFonts w:hint="eastAsia" w:eastAsiaTheme="minorEastAsia"/>
          <w:lang w:eastAsia="zh-CN"/>
        </w:rPr>
      </w:pPr>
    </w:p>
    <w:p w14:paraId="0D8DE95E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203315" cy="5506085"/>
            <wp:effectExtent l="0" t="0" r="14605" b="10795"/>
            <wp:docPr id="7" name="图片 7" descr="F:/0.MMD-T细胞/13.Journal of Neuroinflammation/Figure/Figure S5.tifFigure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:/0.MMD-T细胞/13.Journal of Neuroinflammation/Figure/Figure S5.tifFigure S5"/>
                    <pic:cNvPicPr>
                      <a:picLocks noChangeAspect="1"/>
                    </pic:cNvPicPr>
                  </pic:nvPicPr>
                  <pic:blipFill>
                    <a:blip r:embed="rId13"/>
                    <a:srcRect l="6" r="6"/>
                    <a:stretch>
                      <a:fillRect/>
                    </a:stretch>
                  </pic:blipFill>
                  <pic:spPr>
                    <a:xfrm>
                      <a:off x="0" y="0"/>
                      <a:ext cx="6203315" cy="550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932FD">
      <w:pPr>
        <w:jc w:val="both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</w:rPr>
        <w:t>Fig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 S5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>.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 Mass cytometry analysis of immunomodulatory molecules in CD4</w:t>
      </w:r>
      <w:r>
        <w:rPr>
          <w:rFonts w:hint="eastAsia" w:ascii="Times New Roman" w:hAnsi="Times New Roman" w:cs="Times New Roman"/>
          <w:b/>
          <w:bCs/>
          <w:sz w:val="24"/>
          <w:szCs w:val="32"/>
          <w:vertAlign w:val="superscript"/>
          <w:lang w:val="en-US" w:eastAsia="zh-CN"/>
        </w:rPr>
        <w:t>+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 and CD8</w:t>
      </w:r>
      <w:r>
        <w:rPr>
          <w:rFonts w:hint="eastAsia" w:ascii="Times New Roman" w:hAnsi="Times New Roman" w:cs="Times New Roman"/>
          <w:b/>
          <w:bCs/>
          <w:sz w:val="24"/>
          <w:szCs w:val="32"/>
          <w:vertAlign w:val="superscript"/>
          <w:lang w:val="en-US" w:eastAsia="zh-CN"/>
        </w:rPr>
        <w:t>+</w:t>
      </w:r>
      <w:r>
        <w:rPr>
          <w:rFonts w:hint="eastAsia" w:cs="Times New Roman"/>
          <w:b/>
          <w:bCs/>
          <w:sz w:val="24"/>
          <w:szCs w:val="32"/>
          <w:vertAlign w:val="superscript"/>
          <w:lang w:val="en-US" w:eastAsia="zh-CN"/>
        </w:rPr>
        <w:t xml:space="preserve"> </w:t>
      </w:r>
      <w:r>
        <w:rPr>
          <w:rFonts w:hint="eastAsia" w:cs="Times New Roman"/>
          <w:b/>
          <w:bCs/>
          <w:sz w:val="24"/>
          <w:szCs w:val="32"/>
          <w:lang w:val="en-US" w:eastAsia="zh-CN"/>
        </w:rPr>
        <w:t xml:space="preserve">T cell 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subsets between healthy control (HC) and moyamoya disease (MMD) </w:t>
      </w:r>
      <w:r>
        <w:rPr>
          <w:rFonts w:hint="eastAsia" w:cs="Times New Roman"/>
          <w:b/>
          <w:bCs/>
          <w:sz w:val="24"/>
          <w:szCs w:val="32"/>
          <w:lang w:val="en-US" w:eastAsia="zh-CN"/>
        </w:rPr>
        <w:t>g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roups.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Statistical significance: ns</w:t>
      </w:r>
      <w:r>
        <w:rPr>
          <w:rFonts w:hint="eastAsia" w:cs="Times New Roman"/>
          <w:sz w:val="24"/>
          <w:szCs w:val="32"/>
          <w:lang w:val="en-US" w:eastAsia="zh-CN"/>
        </w:rPr>
        <w:t>,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i/>
          <w:iCs/>
          <w:sz w:val="24"/>
          <w:szCs w:val="32"/>
          <w:lang w:val="en-US" w:eastAsia="zh-CN"/>
        </w:rPr>
        <w:t>p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 ≥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0.05; *</w:t>
      </w:r>
      <w:r>
        <w:rPr>
          <w:rFonts w:hint="eastAsia" w:ascii="Times New Roman" w:hAnsi="Times New Roman" w:cs="Times New Roman"/>
          <w:i/>
          <w:iCs/>
          <w:sz w:val="24"/>
          <w:szCs w:val="32"/>
          <w:lang w:val="en-US" w:eastAsia="zh-CN"/>
        </w:rPr>
        <w:t>p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&lt; 0.05; **</w:t>
      </w:r>
      <w:r>
        <w:rPr>
          <w:rFonts w:hint="eastAsia" w:ascii="Times New Roman" w:hAnsi="Times New Roman" w:cs="Times New Roman"/>
          <w:i/>
          <w:iCs/>
          <w:sz w:val="24"/>
          <w:szCs w:val="32"/>
          <w:lang w:val="en-US" w:eastAsia="zh-CN"/>
        </w:rPr>
        <w:t>p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&lt; 0.01; ***</w:t>
      </w:r>
      <w:r>
        <w:rPr>
          <w:rFonts w:hint="eastAsia" w:ascii="Times New Roman" w:hAnsi="Times New Roman" w:cs="Times New Roman"/>
          <w:i/>
          <w:iCs/>
          <w:sz w:val="24"/>
          <w:szCs w:val="32"/>
          <w:lang w:val="en-US" w:eastAsia="zh-CN"/>
        </w:rPr>
        <w:t>p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&lt; 0.001</w:t>
      </w:r>
      <w:r>
        <w:rPr>
          <w:rFonts w:hint="eastAsia" w:cs="Times New Roman"/>
          <w:sz w:val="24"/>
          <w:szCs w:val="32"/>
          <w:lang w:val="en-US" w:eastAsia="zh-CN"/>
        </w:rPr>
        <w:t xml:space="preserve"> (Wilcoxon rank-sum test)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.</w:t>
      </w:r>
    </w:p>
    <w:p w14:paraId="41C0F9AE">
      <w:pPr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 w14:paraId="1D8A47B2">
      <w:pPr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 w14:paraId="2B6AA22F">
      <w:pPr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 w14:paraId="26D72F5B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205855" cy="1266190"/>
            <wp:effectExtent l="0" t="0" r="12065" b="13970"/>
            <wp:docPr id="6" name="图片 6" descr="F:/0.MMD-T细胞/13.Journal of Neuroinflammation/Figure/Figure S6.tifFigure 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:/0.MMD-T细胞/13.Journal of Neuroinflammation/Figure/Figure S6.tifFigure S6"/>
                    <pic:cNvPicPr>
                      <a:picLocks noChangeAspect="1"/>
                    </pic:cNvPicPr>
                  </pic:nvPicPr>
                  <pic:blipFill>
                    <a:blip r:embed="rId14"/>
                    <a:srcRect t="15" b="15"/>
                    <a:stretch>
                      <a:fillRect/>
                    </a:stretch>
                  </pic:blipFill>
                  <pic:spPr>
                    <a:xfrm>
                      <a:off x="0" y="0"/>
                      <a:ext cx="6205855" cy="126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63DC1">
      <w:pPr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</w:rPr>
        <w:t xml:space="preserve">Fig 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S6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>.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 Mass cytometry analysis of fatty acid metabolism</w:t>
      </w: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>–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related molecules in CD4</w:t>
      </w:r>
      <w:r>
        <w:rPr>
          <w:rFonts w:hint="eastAsia" w:ascii="Times New Roman" w:hAnsi="Times New Roman" w:cs="Times New Roman"/>
          <w:b/>
          <w:bCs/>
          <w:sz w:val="24"/>
          <w:szCs w:val="32"/>
          <w:vertAlign w:val="superscript"/>
          <w:lang w:val="en-US" w:eastAsia="zh-CN"/>
        </w:rPr>
        <w:t>+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 and CD8</w:t>
      </w:r>
      <w:r>
        <w:rPr>
          <w:rFonts w:hint="eastAsia" w:ascii="Times New Roman" w:hAnsi="Times New Roman" w:cs="Times New Roman"/>
          <w:b/>
          <w:bCs/>
          <w:sz w:val="24"/>
          <w:szCs w:val="32"/>
          <w:vertAlign w:val="superscript"/>
          <w:lang w:val="en-US" w:eastAsia="zh-CN"/>
        </w:rPr>
        <w:t>+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 </w:t>
      </w:r>
      <w:r>
        <w:rPr>
          <w:rFonts w:hint="eastAsia" w:cs="Times New Roman"/>
          <w:b/>
          <w:bCs/>
          <w:sz w:val="24"/>
          <w:szCs w:val="32"/>
          <w:lang w:val="en-US" w:eastAsia="zh-CN"/>
        </w:rPr>
        <w:t xml:space="preserve">T cell 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subsets between healthy control (HC) and moyamoya disease (MMD) </w:t>
      </w:r>
      <w:r>
        <w:rPr>
          <w:rFonts w:hint="eastAsia" w:cs="Times New Roman"/>
          <w:b/>
          <w:bCs/>
          <w:sz w:val="24"/>
          <w:szCs w:val="32"/>
          <w:lang w:val="en-US" w:eastAsia="zh-CN"/>
        </w:rPr>
        <w:t>g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roups.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Statistical significance: ns</w:t>
      </w:r>
      <w:r>
        <w:rPr>
          <w:rFonts w:hint="eastAsia" w:cs="Times New Roman"/>
          <w:sz w:val="24"/>
          <w:szCs w:val="32"/>
          <w:lang w:val="en-US" w:eastAsia="zh-CN"/>
        </w:rPr>
        <w:t>,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i/>
          <w:iCs/>
          <w:sz w:val="24"/>
          <w:szCs w:val="32"/>
          <w:lang w:val="en-US" w:eastAsia="zh-CN"/>
        </w:rPr>
        <w:t>p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 ≥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0.05; *</w:t>
      </w:r>
      <w:r>
        <w:rPr>
          <w:rFonts w:hint="eastAsia" w:ascii="Times New Roman" w:hAnsi="Times New Roman" w:cs="Times New Roman"/>
          <w:i/>
          <w:iCs/>
          <w:sz w:val="24"/>
          <w:szCs w:val="32"/>
          <w:lang w:val="en-US" w:eastAsia="zh-CN"/>
        </w:rPr>
        <w:t>p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&lt; 0.05; **</w:t>
      </w:r>
      <w:r>
        <w:rPr>
          <w:rFonts w:hint="eastAsia" w:ascii="Times New Roman" w:hAnsi="Times New Roman" w:cs="Times New Roman"/>
          <w:i/>
          <w:iCs/>
          <w:sz w:val="24"/>
          <w:szCs w:val="32"/>
          <w:lang w:val="en-US" w:eastAsia="zh-CN"/>
        </w:rPr>
        <w:t>p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&lt; 0.01; ***</w:t>
      </w:r>
      <w:r>
        <w:rPr>
          <w:rFonts w:hint="eastAsia" w:ascii="Times New Roman" w:hAnsi="Times New Roman" w:cs="Times New Roman"/>
          <w:i/>
          <w:iCs/>
          <w:sz w:val="24"/>
          <w:szCs w:val="32"/>
          <w:lang w:val="en-US" w:eastAsia="zh-CN"/>
        </w:rPr>
        <w:t>p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&lt; 0.001</w:t>
      </w:r>
      <w:r>
        <w:rPr>
          <w:rFonts w:hint="eastAsia" w:cs="Times New Roman"/>
          <w:sz w:val="24"/>
          <w:szCs w:val="32"/>
          <w:lang w:val="en-US" w:eastAsia="zh-CN"/>
        </w:rPr>
        <w:t xml:space="preserve"> (Wilcoxon rank-sum test)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.</w:t>
      </w:r>
    </w:p>
    <w:p w14:paraId="5B471F86">
      <w:pPr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 w14:paraId="530BAA3A">
      <w:pPr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 w14:paraId="317EE05B">
      <w:pPr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 w14:paraId="20333D91">
      <w:pPr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 w14:paraId="43DD7CC0">
      <w:pPr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 w14:paraId="07C605A7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203950" cy="4725670"/>
            <wp:effectExtent l="0" t="0" r="13970" b="13970"/>
            <wp:docPr id="5" name="图片 5" descr="Figure 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ure S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03950" cy="472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93D12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</w:rPr>
        <w:t xml:space="preserve">Fig 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S7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>.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 Mass cytometry analysis of T cell subset proportions in relation to Moyamoya disease (MMD) progression, as defined by Suzuki stages. 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>(A) T cell subsets (excluding DPT cells)</w:t>
      </w:r>
      <w:r>
        <w:rPr>
          <w:rFonts w:hint="eastAsia" w:cs="Times New Roman"/>
          <w:b w:val="0"/>
          <w:bCs w:val="0"/>
          <w:sz w:val="24"/>
          <w:szCs w:val="32"/>
          <w:lang w:val="en-US" w:eastAsia="zh-CN"/>
        </w:rPr>
        <w:t>;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 xml:space="preserve"> (B) CD4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vertAlign w:val="superscript"/>
          <w:lang w:val="en-US" w:eastAsia="zh-CN"/>
        </w:rPr>
        <w:t>+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 xml:space="preserve"> T cell subsets (excluding CD4 T03, CD4 T04, and CD4 T08)</w:t>
      </w:r>
      <w:r>
        <w:rPr>
          <w:rFonts w:hint="eastAsia" w:cs="Times New Roman"/>
          <w:b w:val="0"/>
          <w:bCs w:val="0"/>
          <w:sz w:val="24"/>
          <w:szCs w:val="32"/>
          <w:lang w:val="en-US" w:eastAsia="zh-CN"/>
        </w:rPr>
        <w:t>;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 xml:space="preserve"> (C) CD8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vertAlign w:val="superscript"/>
          <w:lang w:val="en-US" w:eastAsia="zh-CN"/>
        </w:rPr>
        <w:t>+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 xml:space="preserve"> T cell subsets (excluding CD8 T08).</w:t>
      </w:r>
      <w:r>
        <w:rPr>
          <w:rFonts w:hint="eastAsia" w:cs="Times New Roman"/>
          <w:b w:val="0"/>
          <w:bCs w:val="0"/>
          <w:sz w:val="24"/>
          <w:szCs w:val="32"/>
          <w:lang w:val="en-US" w:eastAsia="zh-CN"/>
        </w:rPr>
        <w:t xml:space="preserve"> </w:t>
      </w:r>
      <w:r>
        <w:rPr>
          <w:rFonts w:hint="eastAsia" w:cs="Times New Roman"/>
          <w:b w:val="0"/>
          <w:bCs w:val="0"/>
          <w:i/>
          <w:iCs/>
          <w:sz w:val="24"/>
          <w:szCs w:val="32"/>
          <w:lang w:val="en-US" w:eastAsia="zh-CN"/>
        </w:rPr>
        <w:t>P</w:t>
      </w:r>
      <w:r>
        <w:rPr>
          <w:rFonts w:hint="eastAsia" w:cs="Times New Roman"/>
          <w:b w:val="0"/>
          <w:bCs w:val="0"/>
          <w:sz w:val="24"/>
          <w:szCs w:val="32"/>
          <w:lang w:val="en-US" w:eastAsia="zh-CN"/>
        </w:rPr>
        <w:t>-values were calculated using Spearman correlation analysis.</w:t>
      </w:r>
    </w:p>
    <w:p w14:paraId="1AAC99C3">
      <w:pPr>
        <w:spacing w:before="240"/>
        <w:jc w:val="center"/>
        <w:rPr>
          <w:rFonts w:hint="eastAsia" w:eastAsiaTheme="minorEastAsia"/>
          <w:lang w:eastAsia="zh-CN"/>
        </w:rPr>
      </w:pPr>
    </w:p>
    <w:p w14:paraId="32F07923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43170" cy="7401560"/>
            <wp:effectExtent l="0" t="0" r="5080" b="8890"/>
            <wp:docPr id="4" name="图片 4" descr="F:/0.MMD-T细胞/13.Journal of Neuroinflammation/Figure/Figure S8.tifFigure S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:/0.MMD-T细胞/13.Journal of Neuroinflammation/Figure/Figure S8.tifFigure S8"/>
                    <pic:cNvPicPr>
                      <a:picLocks noChangeAspect="1"/>
                    </pic:cNvPicPr>
                  </pic:nvPicPr>
                  <pic:blipFill>
                    <a:blip r:embed="rId16"/>
                    <a:srcRect t="6" b="6"/>
                    <a:stretch>
                      <a:fillRect/>
                    </a:stretch>
                  </pic:blipFill>
                  <pic:spPr>
                    <a:xfrm>
                      <a:off x="0" y="0"/>
                      <a:ext cx="5043170" cy="740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4545C">
      <w:pPr>
        <w:jc w:val="both"/>
        <w:rPr>
          <w:rFonts w:hint="default" w:ascii="Times New Roman" w:hAnsi="Times New Roman" w:cs="Times New Roman" w:eastAsiaTheme="minorEastAsia"/>
          <w:b/>
          <w:bCs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</w:rPr>
        <w:t xml:space="preserve">Fig 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S8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>.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 Comparison of peripheral blood</w:t>
      </w:r>
      <w:r>
        <w:rPr>
          <w:rFonts w:hint="eastAsia" w:cs="Times New Roman"/>
          <w:b/>
          <w:bCs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RNA expression levels of genes associated with mass cytometry findings between healthy control (HC) and moyamoya disease (MMD) </w:t>
      </w:r>
      <w:r>
        <w:rPr>
          <w:rFonts w:hint="eastAsia" w:cs="Times New Roman"/>
          <w:b/>
          <w:bCs/>
          <w:sz w:val="24"/>
          <w:szCs w:val="32"/>
          <w:lang w:val="en-US" w:eastAsia="zh-CN"/>
        </w:rPr>
        <w:t>g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roups.</w:t>
      </w:r>
      <w:r>
        <w:rPr>
          <w:rFonts w:hint="eastAsia" w:cs="Times New Roman"/>
          <w:b/>
          <w:bCs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Statistical significance:</w:t>
      </w:r>
      <w:r>
        <w:rPr>
          <w:rFonts w:hint="eastAsia" w:cs="Times New Roman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ns</w:t>
      </w:r>
      <w:r>
        <w:rPr>
          <w:rFonts w:hint="eastAsia" w:cs="Times New Roman"/>
          <w:sz w:val="24"/>
          <w:szCs w:val="32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i/>
          <w:iCs/>
          <w:sz w:val="24"/>
          <w:szCs w:val="32"/>
          <w:lang w:val="en-US" w:eastAsia="zh-CN"/>
        </w:rPr>
        <w:t>p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 ≥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0.05</w:t>
      </w:r>
      <w:r>
        <w:rPr>
          <w:rFonts w:hint="eastAsia" w:cs="Times New Roman"/>
          <w:sz w:val="24"/>
          <w:szCs w:val="32"/>
          <w:lang w:val="en-US" w:eastAsia="zh-CN"/>
        </w:rPr>
        <w:t xml:space="preserve">. Adjusted </w:t>
      </w:r>
      <w:r>
        <w:rPr>
          <w:rFonts w:hint="eastAsia" w:cs="Times New Roman"/>
          <w:i/>
          <w:iCs/>
          <w:sz w:val="24"/>
          <w:szCs w:val="32"/>
          <w:lang w:val="en-US" w:eastAsia="zh-CN"/>
        </w:rPr>
        <w:t>p</w:t>
      </w:r>
      <w:r>
        <w:rPr>
          <w:rFonts w:hint="eastAsia" w:cs="Times New Roman"/>
          <w:sz w:val="24"/>
          <w:szCs w:val="32"/>
          <w:lang w:val="en-US" w:eastAsia="zh-CN"/>
        </w:rPr>
        <w:t>-values were calculated using the Benjamini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–</w:t>
      </w:r>
      <w:r>
        <w:rPr>
          <w:rFonts w:hint="eastAsia" w:cs="Times New Roman"/>
          <w:sz w:val="24"/>
          <w:szCs w:val="32"/>
          <w:lang w:val="en-US" w:eastAsia="zh-CN"/>
        </w:rPr>
        <w:t>Hochberg method implemented in the DESeq2 package in R.</w:t>
      </w:r>
    </w:p>
    <w:p w14:paraId="766380A0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743575" cy="7059295"/>
            <wp:effectExtent l="0" t="0" r="1905" b="12065"/>
            <wp:docPr id="3" name="图片 3" descr="F:/0.MMD-T细胞/13.Journal of Neuroinflammation/Figure/Figure S9.tifFigure S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:/0.MMD-T细胞/13.Journal of Neuroinflammation/Figure/Figure S9.tifFigure S9"/>
                    <pic:cNvPicPr>
                      <a:picLocks noChangeAspect="1"/>
                    </pic:cNvPicPr>
                  </pic:nvPicPr>
                  <pic:blipFill>
                    <a:blip r:embed="rId17"/>
                    <a:srcRect l="4" r="4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705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02977">
      <w:pPr>
        <w:jc w:val="both"/>
        <w:rPr>
          <w:rFonts w:hint="eastAsia" w:eastAsiaTheme="minorEastAsia"/>
          <w:lang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</w:rPr>
        <w:t xml:space="preserve">Fig 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S9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>.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 Single-cell RNA-seq</w:t>
      </w:r>
      <w:r>
        <w:rPr>
          <w:rFonts w:hint="eastAsia" w:cs="Times New Roman"/>
          <w:b/>
          <w:bCs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analysis of peripheral blood T cells.</w:t>
      </w:r>
      <w:r>
        <w:rPr>
          <w:rFonts w:hint="eastAsia" w:cs="Times New Roman"/>
          <w:b/>
          <w:bCs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>Gene Set Enrichment Analysis (GSEA) of T cells from the moyamoya disease (MMD) group compared to the healthy control (HC) group</w:t>
      </w:r>
      <w:r>
        <w:rPr>
          <w:rFonts w:hint="eastAsia" w:cs="Times New Roman"/>
          <w:b w:val="0"/>
          <w:bCs w:val="0"/>
          <w:sz w:val="24"/>
          <w:szCs w:val="32"/>
          <w:lang w:val="en-US" w:eastAsia="zh-CN"/>
        </w:rPr>
        <w:t xml:space="preserve">: 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>(A)</w:t>
      </w:r>
      <w:r>
        <w:rPr>
          <w:rFonts w:hint="eastAsia" w:cs="Times New Roman"/>
          <w:b w:val="0"/>
          <w:bCs w:val="0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>GOCC_T_CELL_RECEPTOR_COMPLEX</w:t>
      </w:r>
      <w:r>
        <w:rPr>
          <w:rFonts w:hint="eastAsia" w:cs="Times New Roman"/>
          <w:b w:val="0"/>
          <w:bCs w:val="0"/>
          <w:sz w:val="24"/>
          <w:szCs w:val="32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>(B)</w:t>
      </w:r>
      <w:r>
        <w:rPr>
          <w:rFonts w:hint="eastAsia" w:cs="Times New Roman"/>
          <w:b w:val="0"/>
          <w:bCs w:val="0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>REACTOME_PD_1_SIGNALING</w:t>
      </w:r>
      <w:r>
        <w:rPr>
          <w:rFonts w:hint="default" w:ascii="Times New Roman" w:hAnsi="Times New Roman" w:cs="Times New Roman"/>
          <w:b w:val="0"/>
          <w:bCs w:val="0"/>
          <w:sz w:val="24"/>
          <w:szCs w:val="32"/>
          <w:lang w:val="en-US" w:eastAsia="zh-CN"/>
        </w:rPr>
        <w:t>.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 xml:space="preserve"> (C) UMAP plot showing dimensionality reduction and clustering of T cell subsets</w:t>
      </w:r>
      <w:r>
        <w:rPr>
          <w:rFonts w:hint="eastAsia" w:cs="Times New Roman"/>
          <w:b w:val="0"/>
          <w:bCs w:val="0"/>
          <w:sz w:val="24"/>
          <w:szCs w:val="32"/>
          <w:lang w:val="en-US" w:eastAsia="zh-CN"/>
        </w:rPr>
        <w:t>;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 xml:space="preserve"> (D) Heatmap illustrating the correlation between T cell subsets and cluster-specific marker</w:t>
      </w:r>
      <w:r>
        <w:rPr>
          <w:rFonts w:hint="eastAsia" w:cs="Times New Roman"/>
          <w:b w:val="0"/>
          <w:bCs w:val="0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>genes</w:t>
      </w:r>
      <w:r>
        <w:rPr>
          <w:rFonts w:hint="eastAsia" w:cs="Times New Roman"/>
          <w:b w:val="0"/>
          <w:bCs w:val="0"/>
          <w:sz w:val="24"/>
          <w:szCs w:val="32"/>
          <w:lang w:val="en-US" w:eastAsia="zh-CN"/>
        </w:rPr>
        <w:t>;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 xml:space="preserve"> (E)</w:t>
      </w:r>
      <w:r>
        <w:rPr>
          <w:rFonts w:hint="eastAsia" w:cs="Times New Roman"/>
          <w:b w:val="0"/>
          <w:bCs w:val="0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>B</w:t>
      </w:r>
      <w:r>
        <w:rPr>
          <w:rFonts w:hint="eastAsia" w:cs="Times New Roman"/>
          <w:b w:val="0"/>
          <w:bCs w:val="0"/>
          <w:sz w:val="24"/>
          <w:szCs w:val="32"/>
          <w:lang w:val="en-US" w:eastAsia="zh-CN"/>
        </w:rPr>
        <w:t>ox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 xml:space="preserve"> </w:t>
      </w:r>
      <w:r>
        <w:rPr>
          <w:rFonts w:hint="eastAsia" w:cs="Times New Roman"/>
          <w:b w:val="0"/>
          <w:bCs w:val="0"/>
          <w:sz w:val="24"/>
          <w:szCs w:val="32"/>
          <w:lang w:val="en-US" w:eastAsia="zh-CN"/>
        </w:rPr>
        <w:t>plot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 xml:space="preserve"> comparing the proportion</w:t>
      </w:r>
      <w:r>
        <w:rPr>
          <w:rFonts w:hint="eastAsia" w:cs="Times New Roman"/>
          <w:b w:val="0"/>
          <w:bCs w:val="0"/>
          <w:sz w:val="24"/>
          <w:szCs w:val="32"/>
          <w:lang w:val="en-US" w:eastAsia="zh-CN"/>
        </w:rPr>
        <w:t>s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 xml:space="preserve"> of</w:t>
      </w:r>
      <w:r>
        <w:rPr>
          <w:rFonts w:hint="eastAsia" w:cs="Times New Roman"/>
          <w:b w:val="0"/>
          <w:bCs w:val="0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>T cell subsets between HC and MMD groups</w:t>
      </w:r>
      <w:r>
        <w:rPr>
          <w:rFonts w:hint="default" w:ascii="Times New Roman" w:hAnsi="Times New Roman" w:cs="Times New Roman"/>
          <w:b w:val="0"/>
          <w:bCs w:val="0"/>
          <w:sz w:val="24"/>
          <w:szCs w:val="32"/>
          <w:lang w:val="en-US" w:eastAsia="zh-CN"/>
        </w:rPr>
        <w:t>.</w:t>
      </w:r>
      <w:r>
        <w:rPr>
          <w:rFonts w:hint="eastAsia" w:cs="Times New Roman"/>
          <w:b w:val="0"/>
          <w:bCs w:val="0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Statistical significance: ns</w:t>
      </w:r>
      <w:r>
        <w:rPr>
          <w:rFonts w:hint="eastAsia" w:cs="Times New Roman"/>
          <w:sz w:val="24"/>
          <w:szCs w:val="32"/>
          <w:lang w:val="en-US" w:eastAsia="zh-CN"/>
        </w:rPr>
        <w:t>,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i/>
          <w:iCs/>
          <w:sz w:val="24"/>
          <w:szCs w:val="32"/>
          <w:lang w:val="en-US" w:eastAsia="zh-CN"/>
        </w:rPr>
        <w:t>p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 ≥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0.05; *</w:t>
      </w:r>
      <w:r>
        <w:rPr>
          <w:rFonts w:hint="eastAsia" w:ascii="Times New Roman" w:hAnsi="Times New Roman" w:cs="Times New Roman"/>
          <w:i/>
          <w:iCs/>
          <w:sz w:val="24"/>
          <w:szCs w:val="32"/>
          <w:lang w:val="en-US" w:eastAsia="zh-CN"/>
        </w:rPr>
        <w:t>p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&lt; 0.05; ***</w:t>
      </w:r>
      <w:r>
        <w:rPr>
          <w:rFonts w:hint="eastAsia" w:ascii="Times New Roman" w:hAnsi="Times New Roman" w:cs="Times New Roman"/>
          <w:i/>
          <w:iCs/>
          <w:sz w:val="24"/>
          <w:szCs w:val="32"/>
          <w:lang w:val="en-US" w:eastAsia="zh-CN"/>
        </w:rPr>
        <w:t>p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&lt; 0.001</w:t>
      </w:r>
      <w:r>
        <w:rPr>
          <w:rFonts w:hint="eastAsia" w:cs="Times New Roman"/>
          <w:sz w:val="24"/>
          <w:szCs w:val="32"/>
          <w:lang w:val="en-US" w:eastAsia="zh-CN"/>
        </w:rPr>
        <w:t xml:space="preserve"> (</w:t>
      </w:r>
      <w:bookmarkStart w:id="0" w:name="_GoBack"/>
      <w:bookmarkEnd w:id="0"/>
      <w:r>
        <w:rPr>
          <w:rFonts w:hint="eastAsia" w:cs="Times New Roman"/>
          <w:sz w:val="24"/>
          <w:szCs w:val="32"/>
          <w:lang w:val="en-US" w:eastAsia="zh-CN"/>
        </w:rPr>
        <w:t>Wilcoxon rank-sum test)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.</w:t>
      </w:r>
    </w:p>
    <w:sectPr>
      <w:headerReference r:id="rId5" w:type="first"/>
      <w:footerReference r:id="rId6" w:type="default"/>
      <w:headerReference r:id="rId4" w:type="even"/>
      <w:footerReference r:id="rId7" w:type="even"/>
      <w:pgSz w:w="12240" w:h="15840"/>
      <w:pgMar w:top="1138" w:right="1181" w:bottom="1138" w:left="1282" w:header="720" w:footer="720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Open Sans">
    <w:altName w:val="Times New Roman"/>
    <w:panose1 w:val="00000000000000000000"/>
    <w:charset w:val="00"/>
    <w:family w:val="swiss"/>
    <w:pitch w:val="default"/>
    <w:sig w:usb0="00000000" w:usb1="00000000" w:usb2="00000028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05492C">
    <w:pPr>
      <w:rPr>
        <w:b/>
        <w:sz w:val="2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930EF71"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56" o:spid="_x0000_s1026" o:spt="202" type="#_x0000_t202" style="position:absolute;left:0pt;margin-left:434.15pt;margin-top:726.5pt;height:31.15pt;width:118.8pt;mso-position-horizontal-relative:page;mso-position-vertical-relative:page;z-index:251659264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MV0Qi0gAAAAQBAAAPAAAAAAAAAAEAIAAAACIAAABkcnMvZG93bnJldi54bWxQSwEC&#10;FAAUAAAACACHTuJARAcAODMCAAB1BAAADgAAAAAAAAABACAAAAAhAQAAZHJzL2Uyb0RvYy54bWxQ&#10;SwUGAAAAAAYABgBZAQAAxgUAAAAA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 w14:paraId="0930EF71"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3B1CC5">
    <w:pPr>
      <w:rPr>
        <w:color w:val="C0000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1544A4D"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434.15pt;margin-top:724.2pt;height:31.15pt;width:118.8pt;mso-position-horizontal-relative:page;mso-position-vertical-relative:page;z-index:251660288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TFdEItIAAAAEAQAADwAAAAAAAAABACAAAAAiAAAAZHJzL2Rvd25yZXYueG1sUEsBAhQA&#10;FAAAAAgAh07iQFsR1fExAgAAcwQAAA4AAAAAAAAAAQAgAAAAI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 w14:paraId="01544A4D"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2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614036"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EDD8BB">
    <w:r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0601A"/>
    <w:multiLevelType w:val="multilevel"/>
    <w:tmpl w:val="1EC0601A"/>
    <w:lvl w:ilvl="0" w:tentative="0">
      <w:start w:val="1"/>
      <w:numFmt w:val="decimal"/>
      <w:pStyle w:val="2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pStyle w:val="4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pStyle w:val="5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pStyle w:val="6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pStyle w:val="7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attachedTemplate r:id="rId1"/>
  <w:documentProtection w:enforcement="0"/>
  <w:defaultTabStop w:val="720"/>
  <w:evenAndOddHeaders w:val="1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AyMzQ4ODc2NmQzMmMyMGQyNzc4NzA5NjFhYzgyMzIifQ=="/>
    <w:docVar w:name="KY_MEDREF_DOCUID" w:val="{B46D60FD-27E2-48FD-B6CF-BAA535F7547E}"/>
    <w:docVar w:name="KY_MEDREF_VERSION" w:val="3"/>
  </w:docVars>
  <w:rsids>
    <w:rsidRoot w:val="00ED20B5"/>
    <w:rsid w:val="0001436A"/>
    <w:rsid w:val="00034304"/>
    <w:rsid w:val="00035434"/>
    <w:rsid w:val="00052A14"/>
    <w:rsid w:val="00077D53"/>
    <w:rsid w:val="000D78CD"/>
    <w:rsid w:val="000F06FB"/>
    <w:rsid w:val="00105FD9"/>
    <w:rsid w:val="00117666"/>
    <w:rsid w:val="001549D3"/>
    <w:rsid w:val="00160065"/>
    <w:rsid w:val="00177D84"/>
    <w:rsid w:val="001E11A2"/>
    <w:rsid w:val="0020375A"/>
    <w:rsid w:val="00267D18"/>
    <w:rsid w:val="00274347"/>
    <w:rsid w:val="002868E2"/>
    <w:rsid w:val="002869C3"/>
    <w:rsid w:val="002936E4"/>
    <w:rsid w:val="002B4A57"/>
    <w:rsid w:val="002C74CA"/>
    <w:rsid w:val="003123F4"/>
    <w:rsid w:val="003544FB"/>
    <w:rsid w:val="003D2F2D"/>
    <w:rsid w:val="00401590"/>
    <w:rsid w:val="00447801"/>
    <w:rsid w:val="00452E9C"/>
    <w:rsid w:val="004735C8"/>
    <w:rsid w:val="004947A6"/>
    <w:rsid w:val="004961FF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17B86"/>
    <w:rsid w:val="00817DD6"/>
    <w:rsid w:val="0083759F"/>
    <w:rsid w:val="00866493"/>
    <w:rsid w:val="00885156"/>
    <w:rsid w:val="009151AA"/>
    <w:rsid w:val="0093429D"/>
    <w:rsid w:val="00943573"/>
    <w:rsid w:val="00964134"/>
    <w:rsid w:val="00970F7D"/>
    <w:rsid w:val="00994A3D"/>
    <w:rsid w:val="009C2B12"/>
    <w:rsid w:val="00A174D9"/>
    <w:rsid w:val="00AA4D24"/>
    <w:rsid w:val="00AB6715"/>
    <w:rsid w:val="00B1671E"/>
    <w:rsid w:val="00B25EB8"/>
    <w:rsid w:val="00B37F4D"/>
    <w:rsid w:val="00B43741"/>
    <w:rsid w:val="00C52A7B"/>
    <w:rsid w:val="00C56BAF"/>
    <w:rsid w:val="00C679AA"/>
    <w:rsid w:val="00C75972"/>
    <w:rsid w:val="00CD066B"/>
    <w:rsid w:val="00CE4FEE"/>
    <w:rsid w:val="00D060CF"/>
    <w:rsid w:val="00DB59C3"/>
    <w:rsid w:val="00DC259A"/>
    <w:rsid w:val="00DE23E8"/>
    <w:rsid w:val="00DF5D64"/>
    <w:rsid w:val="00E52377"/>
    <w:rsid w:val="00E537AD"/>
    <w:rsid w:val="00E64E17"/>
    <w:rsid w:val="00E866C9"/>
    <w:rsid w:val="00EA3D3C"/>
    <w:rsid w:val="00EC090A"/>
    <w:rsid w:val="00ED20B5"/>
    <w:rsid w:val="00F46900"/>
    <w:rsid w:val="00F61D89"/>
    <w:rsid w:val="0159301C"/>
    <w:rsid w:val="019C12DF"/>
    <w:rsid w:val="01A61B7D"/>
    <w:rsid w:val="023B086B"/>
    <w:rsid w:val="02C311FC"/>
    <w:rsid w:val="03632D3E"/>
    <w:rsid w:val="03C97EF9"/>
    <w:rsid w:val="03CB7B24"/>
    <w:rsid w:val="049A7BD3"/>
    <w:rsid w:val="04A3167E"/>
    <w:rsid w:val="05EB6B7D"/>
    <w:rsid w:val="06D13EB1"/>
    <w:rsid w:val="075903BE"/>
    <w:rsid w:val="08AF5C17"/>
    <w:rsid w:val="097A1AFB"/>
    <w:rsid w:val="0B27202A"/>
    <w:rsid w:val="0B4B60CB"/>
    <w:rsid w:val="0CFF6426"/>
    <w:rsid w:val="0D461B70"/>
    <w:rsid w:val="0D8542C2"/>
    <w:rsid w:val="0E120498"/>
    <w:rsid w:val="0E3D4D49"/>
    <w:rsid w:val="0F715A86"/>
    <w:rsid w:val="10BE53A4"/>
    <w:rsid w:val="11B440C1"/>
    <w:rsid w:val="12E656F8"/>
    <w:rsid w:val="1317796F"/>
    <w:rsid w:val="13E91ECE"/>
    <w:rsid w:val="146017B5"/>
    <w:rsid w:val="151E6C0C"/>
    <w:rsid w:val="162C402E"/>
    <w:rsid w:val="165C7A79"/>
    <w:rsid w:val="169010D2"/>
    <w:rsid w:val="16D1780F"/>
    <w:rsid w:val="1AB60A13"/>
    <w:rsid w:val="1B1E6718"/>
    <w:rsid w:val="1C6A2B24"/>
    <w:rsid w:val="1C990B48"/>
    <w:rsid w:val="1CBC044F"/>
    <w:rsid w:val="1DC55869"/>
    <w:rsid w:val="1E254DA8"/>
    <w:rsid w:val="1F8336C9"/>
    <w:rsid w:val="20427645"/>
    <w:rsid w:val="20FE1268"/>
    <w:rsid w:val="219410CD"/>
    <w:rsid w:val="21E604A4"/>
    <w:rsid w:val="23EB7A77"/>
    <w:rsid w:val="23F97D54"/>
    <w:rsid w:val="27EC072E"/>
    <w:rsid w:val="28804C9E"/>
    <w:rsid w:val="29214463"/>
    <w:rsid w:val="298D0473"/>
    <w:rsid w:val="29916E8F"/>
    <w:rsid w:val="29AB625B"/>
    <w:rsid w:val="2A527D2F"/>
    <w:rsid w:val="2C0D7983"/>
    <w:rsid w:val="2C1A3334"/>
    <w:rsid w:val="2C596E63"/>
    <w:rsid w:val="2CA109B0"/>
    <w:rsid w:val="2DBB4C76"/>
    <w:rsid w:val="2EF96161"/>
    <w:rsid w:val="302C0E04"/>
    <w:rsid w:val="3069482A"/>
    <w:rsid w:val="31A4743B"/>
    <w:rsid w:val="32802C62"/>
    <w:rsid w:val="32C3619E"/>
    <w:rsid w:val="32CA434E"/>
    <w:rsid w:val="336A7DDC"/>
    <w:rsid w:val="345B0136"/>
    <w:rsid w:val="34F0546A"/>
    <w:rsid w:val="373B7746"/>
    <w:rsid w:val="37DA7D0B"/>
    <w:rsid w:val="39AA0A74"/>
    <w:rsid w:val="3A1010EC"/>
    <w:rsid w:val="3A164E28"/>
    <w:rsid w:val="3A813937"/>
    <w:rsid w:val="3A9E1DB6"/>
    <w:rsid w:val="3AB02FA5"/>
    <w:rsid w:val="3ABF16EE"/>
    <w:rsid w:val="3AC02F4E"/>
    <w:rsid w:val="3ADD3F1B"/>
    <w:rsid w:val="3C655E40"/>
    <w:rsid w:val="3E6D469E"/>
    <w:rsid w:val="3E956359"/>
    <w:rsid w:val="3EAC5062"/>
    <w:rsid w:val="3FC512A1"/>
    <w:rsid w:val="409E3D7E"/>
    <w:rsid w:val="415B7B1D"/>
    <w:rsid w:val="41EA7A50"/>
    <w:rsid w:val="436454FA"/>
    <w:rsid w:val="438A406B"/>
    <w:rsid w:val="43AA0FC6"/>
    <w:rsid w:val="43D37649"/>
    <w:rsid w:val="455116DF"/>
    <w:rsid w:val="458D79A0"/>
    <w:rsid w:val="47233FC3"/>
    <w:rsid w:val="476725FC"/>
    <w:rsid w:val="488E4926"/>
    <w:rsid w:val="497E11DC"/>
    <w:rsid w:val="49DB166A"/>
    <w:rsid w:val="4A6E0952"/>
    <w:rsid w:val="4AFA204F"/>
    <w:rsid w:val="4B0215FB"/>
    <w:rsid w:val="4B603F89"/>
    <w:rsid w:val="4BE727C2"/>
    <w:rsid w:val="4CAC4C77"/>
    <w:rsid w:val="4DD621BA"/>
    <w:rsid w:val="4EA41F28"/>
    <w:rsid w:val="4F8F03A3"/>
    <w:rsid w:val="50287A13"/>
    <w:rsid w:val="528E7C7A"/>
    <w:rsid w:val="53F7629E"/>
    <w:rsid w:val="546B7E61"/>
    <w:rsid w:val="54980783"/>
    <w:rsid w:val="54B41868"/>
    <w:rsid w:val="55447DF1"/>
    <w:rsid w:val="555A1705"/>
    <w:rsid w:val="55940E88"/>
    <w:rsid w:val="55FA68D6"/>
    <w:rsid w:val="571F40B1"/>
    <w:rsid w:val="57440C10"/>
    <w:rsid w:val="58106F13"/>
    <w:rsid w:val="585B5C1B"/>
    <w:rsid w:val="58B45591"/>
    <w:rsid w:val="5971210D"/>
    <w:rsid w:val="599964A4"/>
    <w:rsid w:val="5A1C4581"/>
    <w:rsid w:val="5ABE78FA"/>
    <w:rsid w:val="5ADD0BCC"/>
    <w:rsid w:val="5B1B60CD"/>
    <w:rsid w:val="5B1E48EE"/>
    <w:rsid w:val="5BC85388"/>
    <w:rsid w:val="5BD80149"/>
    <w:rsid w:val="5BE37B82"/>
    <w:rsid w:val="5E3E4826"/>
    <w:rsid w:val="5E650DF4"/>
    <w:rsid w:val="5E892F14"/>
    <w:rsid w:val="5F450B71"/>
    <w:rsid w:val="5F5226F9"/>
    <w:rsid w:val="5F8B5C0B"/>
    <w:rsid w:val="5FCF1324"/>
    <w:rsid w:val="600734E4"/>
    <w:rsid w:val="60B161E0"/>
    <w:rsid w:val="61187181"/>
    <w:rsid w:val="623C4F9B"/>
    <w:rsid w:val="625F1D75"/>
    <w:rsid w:val="62AA5F04"/>
    <w:rsid w:val="62B43F8F"/>
    <w:rsid w:val="6366096D"/>
    <w:rsid w:val="636F3392"/>
    <w:rsid w:val="647A1DAB"/>
    <w:rsid w:val="64CE5906"/>
    <w:rsid w:val="65C4453D"/>
    <w:rsid w:val="65FD6E15"/>
    <w:rsid w:val="667A29FE"/>
    <w:rsid w:val="667D567E"/>
    <w:rsid w:val="66A14327"/>
    <w:rsid w:val="66CC5C4F"/>
    <w:rsid w:val="66D165FA"/>
    <w:rsid w:val="672E1BB9"/>
    <w:rsid w:val="694A2693"/>
    <w:rsid w:val="6A294057"/>
    <w:rsid w:val="6B377905"/>
    <w:rsid w:val="6C2078E8"/>
    <w:rsid w:val="6C8F28AE"/>
    <w:rsid w:val="6C944080"/>
    <w:rsid w:val="6CA259C8"/>
    <w:rsid w:val="6DDD5884"/>
    <w:rsid w:val="6E056B89"/>
    <w:rsid w:val="6EC66318"/>
    <w:rsid w:val="6ED1254C"/>
    <w:rsid w:val="6F6E2E11"/>
    <w:rsid w:val="6FDC1964"/>
    <w:rsid w:val="70090FA4"/>
    <w:rsid w:val="70F84E05"/>
    <w:rsid w:val="71165FAF"/>
    <w:rsid w:val="7244671B"/>
    <w:rsid w:val="734A1F2E"/>
    <w:rsid w:val="734E66A6"/>
    <w:rsid w:val="73553211"/>
    <w:rsid w:val="74412A76"/>
    <w:rsid w:val="745A2518"/>
    <w:rsid w:val="74D702EB"/>
    <w:rsid w:val="75CA55A2"/>
    <w:rsid w:val="76451F27"/>
    <w:rsid w:val="77213382"/>
    <w:rsid w:val="77BF01EA"/>
    <w:rsid w:val="78205AAD"/>
    <w:rsid w:val="78C439F5"/>
    <w:rsid w:val="7A0B61EA"/>
    <w:rsid w:val="7AB217CC"/>
    <w:rsid w:val="7ACD1873"/>
    <w:rsid w:val="7C72113B"/>
    <w:rsid w:val="7CA933D9"/>
    <w:rsid w:val="7D6C38EB"/>
    <w:rsid w:val="7D6F2271"/>
    <w:rsid w:val="7D7D4E49"/>
    <w:rsid w:val="7DC2579C"/>
    <w:rsid w:val="7FC8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nhideWhenUsed="0" w:uiPriority="2" w:semiHidden="0" w:name="heading 2"/>
    <w:lsdException w:qFormat="1" w:unhideWhenUsed="0" w:uiPriority="2" w:semiHidden="0" w:name="heading 3"/>
    <w:lsdException w:qFormat="1" w:unhideWhenUsed="0" w:uiPriority="2" w:semiHidden="0" w:name="heading 4"/>
    <w:lsdException w:qFormat="1" w:unhideWhenUsed="0" w:uiPriority="2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before="120" w:after="240"/>
    </w:pPr>
    <w:rPr>
      <w:rFonts w:ascii="Times New Roman" w:hAnsi="Times New Roman" w:eastAsiaTheme="minorEastAsia" w:cstheme="minorBidi"/>
      <w:sz w:val="24"/>
      <w:szCs w:val="22"/>
      <w:lang w:val="en-US" w:eastAsia="en-US" w:bidi="ar-SA"/>
    </w:rPr>
  </w:style>
  <w:style w:type="paragraph" w:styleId="2">
    <w:name w:val="heading 1"/>
    <w:basedOn w:val="3"/>
    <w:next w:val="1"/>
    <w:link w:val="31"/>
    <w:autoRedefine/>
    <w:qFormat/>
    <w:uiPriority w:val="2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paragraph" w:styleId="4">
    <w:name w:val="heading 2"/>
    <w:basedOn w:val="2"/>
    <w:next w:val="1"/>
    <w:link w:val="32"/>
    <w:autoRedefine/>
    <w:qFormat/>
    <w:uiPriority w:val="2"/>
    <w:pPr>
      <w:numPr>
        <w:ilvl w:val="1"/>
      </w:numPr>
      <w:spacing w:after="200"/>
      <w:outlineLvl w:val="1"/>
    </w:pPr>
  </w:style>
  <w:style w:type="paragraph" w:styleId="5">
    <w:name w:val="heading 3"/>
    <w:basedOn w:val="1"/>
    <w:next w:val="1"/>
    <w:link w:val="45"/>
    <w:autoRedefine/>
    <w:qFormat/>
    <w:uiPriority w:val="2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6">
    <w:name w:val="heading 4"/>
    <w:basedOn w:val="5"/>
    <w:next w:val="1"/>
    <w:link w:val="46"/>
    <w:autoRedefine/>
    <w:qFormat/>
    <w:uiPriority w:val="2"/>
    <w:pPr>
      <w:numPr>
        <w:ilvl w:val="3"/>
      </w:numPr>
      <w:outlineLvl w:val="3"/>
    </w:pPr>
    <w:rPr>
      <w:iCs/>
    </w:rPr>
  </w:style>
  <w:style w:type="paragraph" w:styleId="7">
    <w:name w:val="heading 5"/>
    <w:basedOn w:val="6"/>
    <w:next w:val="1"/>
    <w:link w:val="47"/>
    <w:autoRedefine/>
    <w:qFormat/>
    <w:uiPriority w:val="2"/>
    <w:pPr>
      <w:numPr>
        <w:ilvl w:val="4"/>
      </w:numPr>
      <w:outlineLvl w:val="4"/>
    </w:p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autoRedefine/>
    <w:qFormat/>
    <w:uiPriority w:val="3"/>
    <w:pPr>
      <w:numPr>
        <w:ilvl w:val="0"/>
        <w:numId w:val="2"/>
      </w:numPr>
      <w:contextualSpacing/>
    </w:pPr>
    <w:rPr>
      <w:rFonts w:eastAsia="Cambria" w:cs="Times New Roman"/>
      <w:szCs w:val="24"/>
    </w:rPr>
  </w:style>
  <w:style w:type="paragraph" w:styleId="8">
    <w:name w:val="caption"/>
    <w:basedOn w:val="1"/>
    <w:next w:val="9"/>
    <w:autoRedefine/>
    <w:unhideWhenUsed/>
    <w:qFormat/>
    <w:uiPriority w:val="35"/>
    <w:pPr>
      <w:keepNext/>
    </w:pPr>
    <w:rPr>
      <w:rFonts w:cs="Times New Roman"/>
      <w:b/>
      <w:bCs/>
      <w:szCs w:val="24"/>
    </w:rPr>
  </w:style>
  <w:style w:type="paragraph" w:styleId="9">
    <w:name w:val="No Spacing"/>
    <w:autoRedefine/>
    <w:unhideWhenUsed/>
    <w:qFormat/>
    <w:uiPriority w:val="99"/>
    <w:rPr>
      <w:rFonts w:ascii="Times New Roman" w:hAnsi="Times New Roman" w:eastAsiaTheme="minorEastAsia" w:cstheme="minorBidi"/>
      <w:sz w:val="24"/>
      <w:szCs w:val="22"/>
      <w:lang w:val="en-US" w:eastAsia="en-US" w:bidi="ar-SA"/>
    </w:rPr>
  </w:style>
  <w:style w:type="paragraph" w:styleId="10">
    <w:name w:val="annotation text"/>
    <w:basedOn w:val="1"/>
    <w:link w:val="37"/>
    <w:autoRedefine/>
    <w:semiHidden/>
    <w:unhideWhenUsed/>
    <w:qFormat/>
    <w:uiPriority w:val="99"/>
    <w:rPr>
      <w:sz w:val="20"/>
      <w:szCs w:val="20"/>
    </w:rPr>
  </w:style>
  <w:style w:type="paragraph" w:styleId="11">
    <w:name w:val="endnote text"/>
    <w:basedOn w:val="1"/>
    <w:link w:val="39"/>
    <w:autoRedefine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2">
    <w:name w:val="Balloon Text"/>
    <w:basedOn w:val="1"/>
    <w:link w:val="35"/>
    <w:autoRedefine/>
    <w:semiHidden/>
    <w:unhideWhenUsed/>
    <w:qFormat/>
    <w:uiPriority w:val="99"/>
    <w:pPr>
      <w:spacing w:after="0"/>
    </w:pPr>
    <w:rPr>
      <w:rFonts w:ascii="Tahoma" w:hAnsi="Tahoma" w:cs="Tahoma"/>
      <w:sz w:val="16"/>
      <w:szCs w:val="16"/>
    </w:rPr>
  </w:style>
  <w:style w:type="paragraph" w:styleId="13">
    <w:name w:val="footer"/>
    <w:basedOn w:val="1"/>
    <w:link w:val="40"/>
    <w:autoRedefine/>
    <w:unhideWhenUsed/>
    <w:qFormat/>
    <w:uiPriority w:val="99"/>
    <w:pPr>
      <w:tabs>
        <w:tab w:val="center" w:pos="4844"/>
        <w:tab w:val="right" w:pos="9689"/>
      </w:tabs>
      <w:spacing w:after="0"/>
    </w:pPr>
  </w:style>
  <w:style w:type="paragraph" w:styleId="14">
    <w:name w:val="header"/>
    <w:basedOn w:val="1"/>
    <w:link w:val="42"/>
    <w:autoRedefine/>
    <w:unhideWhenUsed/>
    <w:qFormat/>
    <w:uiPriority w:val="99"/>
    <w:pPr>
      <w:tabs>
        <w:tab w:val="center" w:pos="4844"/>
        <w:tab w:val="right" w:pos="9689"/>
      </w:tabs>
    </w:pPr>
    <w:rPr>
      <w:b/>
    </w:rPr>
  </w:style>
  <w:style w:type="paragraph" w:styleId="15">
    <w:name w:val="Subtitle"/>
    <w:basedOn w:val="1"/>
    <w:next w:val="1"/>
    <w:link w:val="33"/>
    <w:autoRedefine/>
    <w:unhideWhenUsed/>
    <w:qFormat/>
    <w:uiPriority w:val="99"/>
    <w:pPr>
      <w:spacing w:before="240"/>
    </w:pPr>
    <w:rPr>
      <w:rFonts w:cs="Times New Roman"/>
      <w:b/>
      <w:szCs w:val="24"/>
    </w:rPr>
  </w:style>
  <w:style w:type="paragraph" w:styleId="16">
    <w:name w:val="footnote text"/>
    <w:basedOn w:val="1"/>
    <w:link w:val="41"/>
    <w:autoRedefine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7">
    <w:name w:val="Normal (Web)"/>
    <w:basedOn w:val="1"/>
    <w:autoRedefine/>
    <w:unhideWhenUsed/>
    <w:qFormat/>
    <w:uiPriority w:val="99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18">
    <w:name w:val="Title"/>
    <w:basedOn w:val="1"/>
    <w:next w:val="1"/>
    <w:link w:val="51"/>
    <w:autoRedefine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19">
    <w:name w:val="annotation subject"/>
    <w:basedOn w:val="10"/>
    <w:next w:val="10"/>
    <w:link w:val="38"/>
    <w:autoRedefine/>
    <w:semiHidden/>
    <w:unhideWhenUsed/>
    <w:qFormat/>
    <w:uiPriority w:val="99"/>
    <w:rPr>
      <w:b/>
      <w:bCs/>
    </w:rPr>
  </w:style>
  <w:style w:type="table" w:styleId="21">
    <w:name w:val="Table Grid"/>
    <w:basedOn w:val="20"/>
    <w:autoRedefine/>
    <w:qFormat/>
    <w:uiPriority w:val="59"/>
    <w:rPr>
      <w:rFonts w:asciiTheme="majorHAnsi" w:hAnsiTheme="maj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autoRedefine/>
    <w:qFormat/>
    <w:uiPriority w:val="22"/>
    <w:rPr>
      <w:rFonts w:ascii="Times New Roman" w:hAnsi="Times New Roman"/>
      <w:b/>
      <w:bCs/>
    </w:rPr>
  </w:style>
  <w:style w:type="character" w:styleId="24">
    <w:name w:val="endnote reference"/>
    <w:basedOn w:val="22"/>
    <w:autoRedefine/>
    <w:semiHidden/>
    <w:unhideWhenUsed/>
    <w:qFormat/>
    <w:uiPriority w:val="99"/>
    <w:rPr>
      <w:vertAlign w:val="superscript"/>
    </w:rPr>
  </w:style>
  <w:style w:type="character" w:styleId="25">
    <w:name w:val="FollowedHyperlink"/>
    <w:basedOn w:val="22"/>
    <w:autoRedefine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6">
    <w:name w:val="Emphasis"/>
    <w:basedOn w:val="22"/>
    <w:autoRedefine/>
    <w:qFormat/>
    <w:uiPriority w:val="20"/>
    <w:rPr>
      <w:rFonts w:ascii="Times New Roman" w:hAnsi="Times New Roman"/>
      <w:i/>
      <w:iCs/>
    </w:rPr>
  </w:style>
  <w:style w:type="character" w:styleId="27">
    <w:name w:val="line number"/>
    <w:basedOn w:val="22"/>
    <w:autoRedefine/>
    <w:semiHidden/>
    <w:unhideWhenUsed/>
    <w:qFormat/>
    <w:uiPriority w:val="99"/>
  </w:style>
  <w:style w:type="character" w:styleId="28">
    <w:name w:val="Hyperlink"/>
    <w:basedOn w:val="22"/>
    <w:autoRedefine/>
    <w:unhideWhenUsed/>
    <w:qFormat/>
    <w:uiPriority w:val="99"/>
    <w:rPr>
      <w:color w:val="0000FF"/>
      <w:u w:val="single"/>
    </w:rPr>
  </w:style>
  <w:style w:type="character" w:styleId="29">
    <w:name w:val="annotation reference"/>
    <w:basedOn w:val="22"/>
    <w:autoRedefine/>
    <w:semiHidden/>
    <w:unhideWhenUsed/>
    <w:qFormat/>
    <w:uiPriority w:val="99"/>
    <w:rPr>
      <w:sz w:val="16"/>
      <w:szCs w:val="16"/>
    </w:rPr>
  </w:style>
  <w:style w:type="character" w:styleId="30">
    <w:name w:val="footnote reference"/>
    <w:basedOn w:val="22"/>
    <w:autoRedefine/>
    <w:semiHidden/>
    <w:unhideWhenUsed/>
    <w:qFormat/>
    <w:uiPriority w:val="99"/>
    <w:rPr>
      <w:vertAlign w:val="superscript"/>
    </w:rPr>
  </w:style>
  <w:style w:type="character" w:customStyle="1" w:styleId="31">
    <w:name w:val="标题 1 字符"/>
    <w:basedOn w:val="22"/>
    <w:link w:val="2"/>
    <w:autoRedefine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2">
    <w:name w:val="标题 2 字符"/>
    <w:basedOn w:val="22"/>
    <w:link w:val="4"/>
    <w:autoRedefine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3">
    <w:name w:val="副标题 字符"/>
    <w:basedOn w:val="22"/>
    <w:link w:val="15"/>
    <w:autoRedefine/>
    <w:qFormat/>
    <w:uiPriority w:val="99"/>
    <w:rPr>
      <w:rFonts w:ascii="Times New Roman" w:hAnsi="Times New Roman" w:cs="Times New Roman"/>
      <w:b/>
      <w:sz w:val="24"/>
      <w:szCs w:val="24"/>
    </w:rPr>
  </w:style>
  <w:style w:type="paragraph" w:customStyle="1" w:styleId="34">
    <w:name w:val="Author List"/>
    <w:basedOn w:val="15"/>
    <w:next w:val="1"/>
    <w:autoRedefine/>
    <w:qFormat/>
    <w:uiPriority w:val="1"/>
  </w:style>
  <w:style w:type="character" w:customStyle="1" w:styleId="35">
    <w:name w:val="批注框文本 字符"/>
    <w:basedOn w:val="22"/>
    <w:link w:val="12"/>
    <w:autoRedefine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6">
    <w:name w:val="书籍标题1"/>
    <w:basedOn w:val="22"/>
    <w:autoRedefine/>
    <w:qFormat/>
    <w:uiPriority w:val="33"/>
    <w:rPr>
      <w:rFonts w:ascii="Times New Roman" w:hAnsi="Times New Roman"/>
      <w:b/>
      <w:bCs/>
      <w:i/>
      <w:iCs/>
      <w:spacing w:val="5"/>
    </w:rPr>
  </w:style>
  <w:style w:type="character" w:customStyle="1" w:styleId="37">
    <w:name w:val="批注文字 字符"/>
    <w:basedOn w:val="22"/>
    <w:link w:val="10"/>
    <w:autoRedefine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38">
    <w:name w:val="批注主题 字符"/>
    <w:basedOn w:val="37"/>
    <w:link w:val="19"/>
    <w:autoRedefine/>
    <w:semiHidden/>
    <w:qFormat/>
    <w:uiPriority w:val="99"/>
    <w:rPr>
      <w:rFonts w:ascii="Times New Roman" w:hAnsi="Times New Roman"/>
      <w:b/>
      <w:bCs/>
      <w:sz w:val="20"/>
      <w:szCs w:val="20"/>
    </w:rPr>
  </w:style>
  <w:style w:type="character" w:customStyle="1" w:styleId="39">
    <w:name w:val="尾注文本 字符"/>
    <w:basedOn w:val="22"/>
    <w:link w:val="11"/>
    <w:autoRedefine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0">
    <w:name w:val="页脚 字符"/>
    <w:basedOn w:val="22"/>
    <w:link w:val="13"/>
    <w:autoRedefine/>
    <w:qFormat/>
    <w:uiPriority w:val="99"/>
    <w:rPr>
      <w:rFonts w:ascii="Times New Roman" w:hAnsi="Times New Roman"/>
      <w:sz w:val="24"/>
    </w:rPr>
  </w:style>
  <w:style w:type="character" w:customStyle="1" w:styleId="41">
    <w:name w:val="脚注文本 字符"/>
    <w:basedOn w:val="22"/>
    <w:link w:val="16"/>
    <w:autoRedefine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2">
    <w:name w:val="页眉 字符"/>
    <w:basedOn w:val="22"/>
    <w:link w:val="14"/>
    <w:autoRedefine/>
    <w:qFormat/>
    <w:uiPriority w:val="99"/>
    <w:rPr>
      <w:rFonts w:ascii="Times New Roman" w:hAnsi="Times New Roman"/>
      <w:b/>
      <w:sz w:val="24"/>
    </w:rPr>
  </w:style>
  <w:style w:type="character" w:customStyle="1" w:styleId="43">
    <w:name w:val="明显强调1"/>
    <w:basedOn w:val="22"/>
    <w:autoRedefine/>
    <w:unhideWhenUsed/>
    <w:qFormat/>
    <w:uiPriority w:val="21"/>
    <w:rPr>
      <w:rFonts w:ascii="Times New Roman" w:hAnsi="Times New Roman"/>
      <w:i/>
      <w:iCs/>
      <w:color w:val="auto"/>
    </w:rPr>
  </w:style>
  <w:style w:type="character" w:customStyle="1" w:styleId="44">
    <w:name w:val="明显参考1"/>
    <w:basedOn w:val="22"/>
    <w:autoRedefine/>
    <w:qFormat/>
    <w:uiPriority w:val="32"/>
    <w:rPr>
      <w:b/>
      <w:bCs/>
      <w:smallCaps/>
      <w:color w:val="auto"/>
      <w:spacing w:val="5"/>
    </w:rPr>
  </w:style>
  <w:style w:type="character" w:customStyle="1" w:styleId="45">
    <w:name w:val="标题 3 字符"/>
    <w:basedOn w:val="22"/>
    <w:link w:val="5"/>
    <w:autoRedefine/>
    <w:qFormat/>
    <w:uiPriority w:val="2"/>
    <w:rPr>
      <w:rFonts w:ascii="Times New Roman" w:hAnsi="Times New Roman" w:eastAsiaTheme="majorEastAsia" w:cstheme="majorBidi"/>
      <w:b/>
      <w:sz w:val="24"/>
      <w:szCs w:val="24"/>
    </w:rPr>
  </w:style>
  <w:style w:type="character" w:customStyle="1" w:styleId="46">
    <w:name w:val="标题 4 字符"/>
    <w:basedOn w:val="22"/>
    <w:link w:val="6"/>
    <w:autoRedefine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character" w:customStyle="1" w:styleId="47">
    <w:name w:val="标题 5 字符"/>
    <w:basedOn w:val="22"/>
    <w:link w:val="7"/>
    <w:autoRedefine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paragraph" w:styleId="48">
    <w:name w:val="Quote"/>
    <w:basedOn w:val="1"/>
    <w:next w:val="1"/>
    <w:link w:val="49"/>
    <w:autoRedefine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9">
    <w:name w:val="引用 字符"/>
    <w:basedOn w:val="22"/>
    <w:link w:val="48"/>
    <w:autoRedefine/>
    <w:qFormat/>
    <w:uiPriority w:val="29"/>
    <w:rPr>
      <w:rFonts w:ascii="Times New Roman" w:hAnsi="Times New Roman"/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0">
    <w:name w:val="不明显强调1"/>
    <w:basedOn w:val="22"/>
    <w:autoRedefine/>
    <w:qFormat/>
    <w:uiPriority w:val="19"/>
    <w:rPr>
      <w:rFonts w:ascii="Times New Roman" w:hAnsi="Times New Roman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1">
    <w:name w:val="标题 字符"/>
    <w:basedOn w:val="22"/>
    <w:link w:val="18"/>
    <w:autoRedefine/>
    <w:qFormat/>
    <w:uiPriority w:val="0"/>
    <w:rPr>
      <w:rFonts w:ascii="Times New Roman" w:hAnsi="Times New Roman" w:cs="Times New Roman"/>
      <w:b/>
      <w:sz w:val="32"/>
      <w:szCs w:val="32"/>
    </w:rPr>
  </w:style>
  <w:style w:type="paragraph" w:customStyle="1" w:styleId="52">
    <w:name w:val="Supplementary Material"/>
    <w:basedOn w:val="18"/>
    <w:next w:val="18"/>
    <w:autoRedefine/>
    <w:qFormat/>
    <w:uiPriority w:val="0"/>
    <w:pPr>
      <w:spacing w:after="120"/>
    </w:pPr>
    <w:rPr>
      <w:i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tiff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9.tiff"/><Relationship Id="rId16" Type="http://schemas.openxmlformats.org/officeDocument/2006/relationships/image" Target="media/image8.tiff"/><Relationship Id="rId15" Type="http://schemas.openxmlformats.org/officeDocument/2006/relationships/image" Target="media/image7.tiff"/><Relationship Id="rId14" Type="http://schemas.openxmlformats.org/officeDocument/2006/relationships/image" Target="media/image6.tiff"/><Relationship Id="rId13" Type="http://schemas.openxmlformats.org/officeDocument/2006/relationships/image" Target="media/image5.tiff"/><Relationship Id="rId12" Type="http://schemas.openxmlformats.org/officeDocument/2006/relationships/image" Target="media/image4.tiff"/><Relationship Id="rId11" Type="http://schemas.openxmlformats.org/officeDocument/2006/relationships/image" Target="media/image3.tiff"/><Relationship Id="rId10" Type="http://schemas.openxmlformats.org/officeDocument/2006/relationships/image" Target="media/image2.tiff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Pages>13</Pages>
  <Words>1081</Words>
  <Characters>5709</Characters>
  <Lines>23</Lines>
  <Paragraphs>6</Paragraphs>
  <TotalTime>8</TotalTime>
  <ScaleCrop>false</ScaleCrop>
  <LinksUpToDate>false</LinksUpToDate>
  <CharactersWithSpaces>6480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2018-11-23T08:58:00Z</dcterms:created>
  <dc:creator>Frontiers Media SA</dc:creator>
  <cp:lastModifiedBy>LIU Chenglong</cp:lastModifiedBy>
  <cp:lastPrinted>2013-10-03T12:51:00Z</cp:lastPrinted>
  <dcterms:modified xsi:type="dcterms:W3CDTF">2025-05-27T06:26:03Z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9F9AC5EE1117482497CF03AFBC65FFFB</vt:lpwstr>
  </property>
  <property fmtid="{D5CDD505-2E9C-101B-9397-08002B2CF9AE}" pid="4" name="KSOTemplateDocerSaveRecord">
    <vt:lpwstr>eyJoZGlkIjoiZjUzYTI1Yzc1Mjc3NjkwNDUwMWZjYzI4YWQzODU2NWQiLCJ1c2VySWQiOiI0NTU4NzQ2OTAifQ==</vt:lpwstr>
  </property>
</Properties>
</file>