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31D30">
      <w:pPr>
        <w:jc w:val="center"/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</w:pPr>
      <w:r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  <w:drawing>
          <wp:inline distT="0" distB="0" distL="114300" distR="114300">
            <wp:extent cx="2633345" cy="1969135"/>
            <wp:effectExtent l="0" t="0" r="8255" b="12065"/>
            <wp:docPr id="3" name="图片 3" descr="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S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33345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87855">
      <w:pPr>
        <w:spacing w:line="480" w:lineRule="auto"/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 xml:space="preserve">Sfigure 1. The behavioral comparison between exercised mice and SCI mice. </w:t>
      </w:r>
      <w:r>
        <w:rPr>
          <w:rFonts w:hint="eastAsia" w:ascii="Times New Roman" w:hAnsi="Times New Roman" w:cs="Times New Roman"/>
          <w:b w:val="0"/>
          <w:bCs w:val="0"/>
          <w:sz w:val="24"/>
          <w:szCs w:val="24"/>
          <w:lang w:val="en-US" w:eastAsia="zh-CN"/>
        </w:rPr>
        <w:t>(A)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>The BMS score of mice in each group (n=6). ** represents P &lt; 0.01 vs SCI group. The data are represented as the mean ± SD.</w:t>
      </w:r>
    </w:p>
    <w:p w14:paraId="2E222B65">
      <w:pPr>
        <w:spacing w:line="480" w:lineRule="auto"/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</w:pPr>
    </w:p>
    <w:p w14:paraId="6FDA805D">
      <w:pPr>
        <w:jc w:val="both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 w14:paraId="32432B09">
      <w:pPr>
        <w:jc w:val="center"/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</w:pPr>
      <w:r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  <w:drawing>
          <wp:inline distT="0" distB="0" distL="114300" distR="114300">
            <wp:extent cx="2719070" cy="1954530"/>
            <wp:effectExtent l="0" t="0" r="11430" b="1270"/>
            <wp:docPr id="4" name="图片 4" descr="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S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9070" cy="195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E05DF">
      <w:pPr>
        <w:spacing w:line="480" w:lineRule="auto"/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Sfigure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2. Screening for the Therapeutic Concentration of L-P. </w:t>
      </w:r>
      <w:r>
        <w:rPr>
          <w:rFonts w:hint="eastAsia" w:ascii="Times New Roman" w:hAnsi="Times New Roman" w:cs="Times New Roman"/>
          <w:b w:val="0"/>
          <w:bCs w:val="0"/>
          <w:sz w:val="24"/>
          <w:szCs w:val="24"/>
          <w:lang w:val="en-US" w:eastAsia="zh-CN"/>
        </w:rPr>
        <w:t>(A)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>The BMS score of mice in each group (n=6). ** represents P &lt; 0.01 vs SCI group. The data are represented as the mean ± SD.</w:t>
      </w:r>
    </w:p>
    <w:p w14:paraId="6BB6B556">
      <w:pPr>
        <w:jc w:val="center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drawing>
          <wp:inline distT="0" distB="0" distL="114300" distR="114300">
            <wp:extent cx="1883410" cy="2560320"/>
            <wp:effectExtent l="0" t="0" r="8890" b="5080"/>
            <wp:docPr id="1" name="图片 1" descr="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8341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481B5">
      <w:pPr>
        <w:spacing w:line="480" w:lineRule="auto"/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Sfigure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3. Quantification of Iba+ cells.</w:t>
      </w:r>
      <w:r>
        <w:rPr>
          <w:rFonts w:hint="eastAsia" w:ascii="Times New Roman" w:hAnsi="Times New Roman" w:cs="Times New Roman"/>
          <w:b w:val="0"/>
          <w:bCs w:val="0"/>
          <w:sz w:val="24"/>
          <w:szCs w:val="24"/>
          <w:lang w:val="en-US" w:eastAsia="zh-CN"/>
        </w:rPr>
        <w:t xml:space="preserve"> (A) Statistical analysis of the area occupied by Iba+ cells in each group.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>** represents P &lt; 0.01 vs SCI group. The data are represented as the mean ± SD (n=6).</w:t>
      </w:r>
    </w:p>
    <w:p w14:paraId="1985DA93">
      <w:pPr>
        <w:jc w:val="both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 w14:paraId="04D906CE">
      <w:pPr>
        <w:jc w:val="center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bookmarkStart w:id="0" w:name="_GoBack"/>
      <w: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  <w:drawing>
          <wp:inline distT="0" distB="0" distL="114300" distR="114300">
            <wp:extent cx="5267960" cy="5113655"/>
            <wp:effectExtent l="0" t="0" r="2540" b="4445"/>
            <wp:docPr id="2" name="图片 2" descr="C:/Users/12422/Desktop/Journal of neuroinflammation/S4.tif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12422/Desktop/Journal of neuroinflammation/S4.tifS4"/>
                    <pic:cNvPicPr>
                      <a:picLocks noChangeAspect="1"/>
                    </pic:cNvPicPr>
                  </pic:nvPicPr>
                  <pic:blipFill>
                    <a:blip r:embed="rId7"/>
                    <a:srcRect l="6" r="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511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0C76062">
      <w:pPr>
        <w:spacing w:line="480" w:lineRule="auto"/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Sfigure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4. Isolation of hematogenous macrophages and identification of their lipid metabolism and inflammatory characteristics.</w:t>
      </w:r>
      <w:r>
        <w:rPr>
          <w:rFonts w:hint="eastAsia" w:ascii="Times New Roman" w:hAnsi="Times New Roman" w:cs="Times New Roman"/>
          <w:b w:val="0"/>
          <w:bCs w:val="0"/>
          <w:sz w:val="24"/>
          <w:szCs w:val="24"/>
          <w:lang w:val="en-US" w:eastAsia="zh-CN"/>
        </w:rPr>
        <w:t xml:space="preserve"> (A) Sort Ly6c+ hematogenous macrophages from tdTomato-positive cells using flow cytometry. (B) Measure the fluorescence intensity of the sorted Ly6c+ &amp; tdTomato+ cells after BODIPY staining using a microplate reader. (C, D) Elisa assay for the expression levels of IL 1β and IL10 in Ly6c+ &amp; tdTomato+ cells of each group.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>** represents P &lt; 0.01 vs SCI group. The data are represented as the mean ± SD (n=6).</w:t>
      </w:r>
    </w:p>
    <w:p w14:paraId="7521083E">
      <w:pPr>
        <w:jc w:val="both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53B49"/>
    <w:rsid w:val="075D605C"/>
    <w:rsid w:val="51AA1715"/>
    <w:rsid w:val="59F83B5E"/>
    <w:rsid w:val="75D5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tiff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195</Words>
  <Characters>934</Characters>
  <Lines>0</Lines>
  <Paragraphs>0</Paragraphs>
  <TotalTime>0</TotalTime>
  <ScaleCrop>false</ScaleCrop>
  <LinksUpToDate>false</LinksUpToDate>
  <CharactersWithSpaces>1125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2025-02-20T00:33:00Z</dcterms:created>
  <dc:creator>12422</dc:creator>
  <cp:lastModifiedBy>三个月的纸片人</cp:lastModifiedBy>
  <dcterms:modified xsi:type="dcterms:W3CDTF">2025-06-20T09:09:28Z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eyJoZGlkIjoiMDljODUyZmM0YzkwMjk1NzE0ZjkyNTJlZTEwYTViY2UiLCJ1c2VySWQiOiI2NTE1OTg3MTEifQ==</vt:lpwstr>
  </property>
  <property fmtid="{D5CDD505-2E9C-101B-9397-08002B2CF9AE}" pid="4" name="ICV">
    <vt:lpwstr>486002111AA04235B6747A36361EAD6D_12</vt:lpwstr>
  </property>
</Properties>
</file>