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10AFF" w14:textId="4102DD09" w:rsidR="00380D9B" w:rsidRPr="005B79A1" w:rsidRDefault="0098230C" w:rsidP="00F12B30">
      <w:pPr>
        <w:widowControl/>
        <w:spacing w:before="100" w:beforeAutospacing="1" w:after="100" w:afterAutospacing="1" w:line="480" w:lineRule="auto"/>
        <w:contextualSpacing/>
        <w:rPr>
          <w:rFonts w:cs="Times New Roman"/>
          <w:color w:val="000000" w:themeColor="text1"/>
        </w:rPr>
      </w:pPr>
      <w:bookmarkStart w:id="0" w:name="OLE_LINK37"/>
      <w:bookmarkStart w:id="1" w:name="OLE_LINK38"/>
      <w:bookmarkStart w:id="2" w:name="OLE_LINK695"/>
      <w:bookmarkStart w:id="3" w:name="OLE_LINK696"/>
      <w:bookmarkStart w:id="4" w:name="OLE_LINK30"/>
      <w:bookmarkStart w:id="5" w:name="OLE_LINK31"/>
      <w:bookmarkStart w:id="6" w:name="OLE_LINK667"/>
      <w:bookmarkStart w:id="7" w:name="OLE_LINK668"/>
      <w:bookmarkStart w:id="8" w:name="OLE_LINK1264"/>
      <w:bookmarkStart w:id="9" w:name="OLE_LINK1265"/>
      <w:bookmarkStart w:id="10" w:name="OLE_LINK237"/>
      <w:bookmarkStart w:id="11" w:name="OLE_LINK308"/>
      <w:r>
        <w:rPr>
          <w:rFonts w:cs="Times New Roman"/>
          <w:noProof/>
          <w:color w:val="000000" w:themeColor="text1"/>
        </w:rPr>
        <w:drawing>
          <wp:inline distT="0" distB="0" distL="0" distR="0" wp14:anchorId="25E67F55" wp14:editId="1BF31280">
            <wp:extent cx="6188710" cy="5746115"/>
            <wp:effectExtent l="0" t="0" r="2540" b="6985"/>
            <wp:docPr id="18692119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11937" name="Picture 186921193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574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FB254" w14:textId="77777777" w:rsidR="00380D9B" w:rsidRPr="005B79A1" w:rsidRDefault="00380D9B" w:rsidP="00F12B30">
      <w:pPr>
        <w:widowControl/>
        <w:spacing w:before="100" w:beforeAutospacing="1" w:after="100" w:afterAutospacing="1" w:line="480" w:lineRule="auto"/>
        <w:contextualSpacing/>
        <w:outlineLvl w:val="2"/>
        <w:rPr>
          <w:rFonts w:cs="Times New Roman"/>
          <w:color w:val="000000" w:themeColor="text1"/>
        </w:rPr>
      </w:pPr>
      <w:r w:rsidRPr="005B79A1">
        <w:rPr>
          <w:rFonts w:cs="Times New Roman"/>
          <w:color w:val="000000" w:themeColor="text1"/>
        </w:rPr>
        <w:t>Supplementary Fig. S2. Reference</w:t>
      </w:r>
      <w:r w:rsidR="007B7542" w:rsidRPr="005B79A1">
        <w:rPr>
          <w:rFonts w:cs="Times New Roman"/>
          <w:color w:val="000000" w:themeColor="text1"/>
        </w:rPr>
        <w:t>–</w:t>
      </w:r>
      <w:r w:rsidRPr="005B79A1">
        <w:rPr>
          <w:rFonts w:cs="Times New Roman"/>
          <w:color w:val="000000" w:themeColor="text1"/>
        </w:rPr>
        <w:t>Based Annotation of Single</w:t>
      </w:r>
      <w:r w:rsidR="007B7542" w:rsidRPr="005B79A1">
        <w:rPr>
          <w:rFonts w:cs="Times New Roman"/>
          <w:color w:val="000000" w:themeColor="text1"/>
        </w:rPr>
        <w:t>–</w:t>
      </w:r>
      <w:r w:rsidRPr="005B79A1">
        <w:rPr>
          <w:rFonts w:cs="Times New Roman"/>
          <w:color w:val="000000" w:themeColor="text1"/>
        </w:rPr>
        <w:t>Cell Clusters.</w:t>
      </w:r>
    </w:p>
    <w:p w14:paraId="03290441" w14:textId="77777777" w:rsidR="00380D9B" w:rsidRPr="005B79A1" w:rsidRDefault="00380D9B" w:rsidP="00F12B30">
      <w:pPr>
        <w:widowControl/>
        <w:spacing w:before="100" w:beforeAutospacing="1" w:after="100" w:afterAutospacing="1" w:line="480" w:lineRule="auto"/>
        <w:contextualSpacing/>
        <w:rPr>
          <w:rFonts w:cs="Times New Roman"/>
          <w:color w:val="000000" w:themeColor="text1"/>
        </w:rPr>
      </w:pPr>
      <w:r w:rsidRPr="005B79A1">
        <w:rPr>
          <w:rFonts w:cs="Times New Roman"/>
          <w:color w:val="000000" w:themeColor="text1"/>
        </w:rPr>
        <w:t xml:space="preserve">(a) Violin plots of canonical marker gene expression across major cell clusters. (b–k) Heatmaps showing cell subtype assignment using </w:t>
      </w:r>
      <w:proofErr w:type="spellStart"/>
      <w:r w:rsidRPr="005B79A1">
        <w:rPr>
          <w:rFonts w:cs="Times New Roman"/>
          <w:color w:val="000000" w:themeColor="text1"/>
        </w:rPr>
        <w:t>SingleR</w:t>
      </w:r>
      <w:proofErr w:type="spellEnd"/>
      <w:r w:rsidRPr="005B79A1">
        <w:rPr>
          <w:rFonts w:cs="Times New Roman"/>
          <w:color w:val="000000" w:themeColor="text1"/>
        </w:rPr>
        <w:t xml:space="preserve"> with GSE198582 as the reference. Columns represent cell clusters; rows represent cell subtypes. (b) </w:t>
      </w:r>
      <w:proofErr w:type="spellStart"/>
      <w:r w:rsidRPr="005B79A1">
        <w:rPr>
          <w:rFonts w:cs="Times New Roman"/>
          <w:color w:val="000000" w:themeColor="text1"/>
        </w:rPr>
        <w:t>Neurofibroblasts</w:t>
      </w:r>
      <w:proofErr w:type="spellEnd"/>
      <w:r w:rsidRPr="005B79A1">
        <w:rPr>
          <w:rFonts w:cs="Times New Roman"/>
          <w:color w:val="000000" w:themeColor="text1"/>
        </w:rPr>
        <w:t xml:space="preserve"> (NF): fibroblasts (Fb), differentiating mesenchymal cells (</w:t>
      </w:r>
      <w:proofErr w:type="spellStart"/>
      <w:r w:rsidRPr="005B79A1">
        <w:rPr>
          <w:rFonts w:cs="Times New Roman"/>
          <w:color w:val="000000" w:themeColor="text1"/>
        </w:rPr>
        <w:t>dMES</w:t>
      </w:r>
      <w:proofErr w:type="spellEnd"/>
      <w:r w:rsidRPr="005B79A1">
        <w:rPr>
          <w:rFonts w:cs="Times New Roman"/>
          <w:color w:val="000000" w:themeColor="text1"/>
        </w:rPr>
        <w:t>), proliferating mesenchymal cells (</w:t>
      </w:r>
      <w:proofErr w:type="spellStart"/>
      <w:r w:rsidRPr="005B79A1">
        <w:rPr>
          <w:rFonts w:cs="Times New Roman"/>
          <w:color w:val="000000" w:themeColor="text1"/>
        </w:rPr>
        <w:t>prol.MES</w:t>
      </w:r>
      <w:proofErr w:type="spellEnd"/>
      <w:r w:rsidRPr="005B79A1">
        <w:rPr>
          <w:rFonts w:cs="Times New Roman"/>
          <w:color w:val="000000" w:themeColor="text1"/>
        </w:rPr>
        <w:t xml:space="preserve">), </w:t>
      </w:r>
      <w:proofErr w:type="spellStart"/>
      <w:r w:rsidRPr="005B79A1">
        <w:rPr>
          <w:rFonts w:cs="Times New Roman"/>
          <w:color w:val="000000" w:themeColor="text1"/>
        </w:rPr>
        <w:t>endoneurial</w:t>
      </w:r>
      <w:proofErr w:type="spellEnd"/>
      <w:r w:rsidRPr="005B79A1">
        <w:rPr>
          <w:rFonts w:cs="Times New Roman"/>
          <w:color w:val="000000" w:themeColor="text1"/>
        </w:rPr>
        <w:t xml:space="preserve"> (</w:t>
      </w:r>
      <w:proofErr w:type="spellStart"/>
      <w:r w:rsidRPr="005B79A1">
        <w:rPr>
          <w:rFonts w:cs="Times New Roman"/>
          <w:color w:val="000000" w:themeColor="text1"/>
        </w:rPr>
        <w:t>eMES</w:t>
      </w:r>
      <w:proofErr w:type="spellEnd"/>
      <w:r w:rsidRPr="005B79A1">
        <w:rPr>
          <w:rFonts w:cs="Times New Roman"/>
          <w:color w:val="000000" w:themeColor="text1"/>
        </w:rPr>
        <w:t>), and perineurial (</w:t>
      </w:r>
      <w:proofErr w:type="spellStart"/>
      <w:r w:rsidRPr="005B79A1">
        <w:rPr>
          <w:rFonts w:cs="Times New Roman"/>
          <w:color w:val="000000" w:themeColor="text1"/>
        </w:rPr>
        <w:t>pMES</w:t>
      </w:r>
      <w:proofErr w:type="spellEnd"/>
      <w:r w:rsidRPr="005B79A1">
        <w:rPr>
          <w:rFonts w:cs="Times New Roman"/>
          <w:color w:val="000000" w:themeColor="text1"/>
        </w:rPr>
        <w:t>) cells. (c) Glial cells (Gli): non</w:t>
      </w:r>
      <w:r w:rsidR="007B7542" w:rsidRPr="005B79A1">
        <w:rPr>
          <w:rFonts w:cs="Times New Roman"/>
          <w:color w:val="000000" w:themeColor="text1"/>
        </w:rPr>
        <w:t>–</w:t>
      </w:r>
      <w:r w:rsidRPr="005B79A1">
        <w:rPr>
          <w:rFonts w:cs="Times New Roman"/>
          <w:color w:val="000000" w:themeColor="text1"/>
        </w:rPr>
        <w:t>myelinating (</w:t>
      </w:r>
      <w:proofErr w:type="spellStart"/>
      <w:r w:rsidRPr="005B79A1">
        <w:rPr>
          <w:rFonts w:cs="Times New Roman"/>
          <w:color w:val="000000" w:themeColor="text1"/>
        </w:rPr>
        <w:t>nmSC</w:t>
      </w:r>
      <w:proofErr w:type="spellEnd"/>
      <w:r w:rsidRPr="005B79A1">
        <w:rPr>
          <w:rFonts w:cs="Times New Roman"/>
          <w:color w:val="000000" w:themeColor="text1"/>
        </w:rPr>
        <w:t>), myelinating (</w:t>
      </w:r>
      <w:proofErr w:type="spellStart"/>
      <w:r w:rsidRPr="005B79A1">
        <w:rPr>
          <w:rFonts w:cs="Times New Roman"/>
          <w:color w:val="000000" w:themeColor="text1"/>
        </w:rPr>
        <w:t>mSC</w:t>
      </w:r>
      <w:proofErr w:type="spellEnd"/>
      <w:r w:rsidRPr="005B79A1">
        <w:rPr>
          <w:rFonts w:cs="Times New Roman"/>
          <w:color w:val="000000" w:themeColor="text1"/>
        </w:rPr>
        <w:t>), repair (</w:t>
      </w:r>
      <w:proofErr w:type="spellStart"/>
      <w:r w:rsidRPr="005B79A1">
        <w:rPr>
          <w:rFonts w:cs="Times New Roman"/>
          <w:color w:val="000000" w:themeColor="text1"/>
        </w:rPr>
        <w:t>rSC</w:t>
      </w:r>
      <w:proofErr w:type="spellEnd"/>
      <w:r w:rsidRPr="005B79A1">
        <w:rPr>
          <w:rFonts w:cs="Times New Roman"/>
          <w:color w:val="000000" w:themeColor="text1"/>
        </w:rPr>
        <w:t>), and proliferating Schwann cells (prol.SC). (d) Pericytes (PC): venous (</w:t>
      </w:r>
      <w:proofErr w:type="spellStart"/>
      <w:r w:rsidRPr="005B79A1">
        <w:rPr>
          <w:rFonts w:cs="Times New Roman"/>
          <w:color w:val="000000" w:themeColor="text1"/>
        </w:rPr>
        <w:t>vPC</w:t>
      </w:r>
      <w:proofErr w:type="spellEnd"/>
      <w:r w:rsidRPr="005B79A1">
        <w:rPr>
          <w:rFonts w:cs="Times New Roman"/>
          <w:color w:val="000000" w:themeColor="text1"/>
        </w:rPr>
        <w:t>), arterial (</w:t>
      </w:r>
      <w:proofErr w:type="spellStart"/>
      <w:r w:rsidRPr="005B79A1">
        <w:rPr>
          <w:rFonts w:cs="Times New Roman"/>
          <w:color w:val="000000" w:themeColor="text1"/>
        </w:rPr>
        <w:t>aPC</w:t>
      </w:r>
      <w:proofErr w:type="spellEnd"/>
      <w:r w:rsidRPr="005B79A1">
        <w:rPr>
          <w:rFonts w:cs="Times New Roman"/>
          <w:color w:val="000000" w:themeColor="text1"/>
        </w:rPr>
        <w:t xml:space="preserve">), </w:t>
      </w:r>
      <w:r w:rsidRPr="005B79A1">
        <w:rPr>
          <w:rFonts w:cs="Times New Roman"/>
          <w:color w:val="000000" w:themeColor="text1"/>
        </w:rPr>
        <w:lastRenderedPageBreak/>
        <w:t>proliferating (</w:t>
      </w:r>
      <w:proofErr w:type="spellStart"/>
      <w:r w:rsidRPr="005B79A1">
        <w:rPr>
          <w:rFonts w:cs="Times New Roman"/>
          <w:color w:val="000000" w:themeColor="text1"/>
        </w:rPr>
        <w:t>prol.PC</w:t>
      </w:r>
      <w:proofErr w:type="spellEnd"/>
      <w:r w:rsidRPr="005B79A1">
        <w:rPr>
          <w:rFonts w:cs="Times New Roman"/>
          <w:color w:val="000000" w:themeColor="text1"/>
        </w:rPr>
        <w:t>), and vascular SMC</w:t>
      </w:r>
      <w:r w:rsidR="007B7542" w:rsidRPr="005B79A1">
        <w:rPr>
          <w:rFonts w:cs="Times New Roman"/>
          <w:color w:val="000000" w:themeColor="text1"/>
        </w:rPr>
        <w:t>–</w:t>
      </w:r>
      <w:r w:rsidRPr="005B79A1">
        <w:rPr>
          <w:rFonts w:cs="Times New Roman"/>
          <w:color w:val="000000" w:themeColor="text1"/>
        </w:rPr>
        <w:t>like pericytes (</w:t>
      </w:r>
      <w:proofErr w:type="spellStart"/>
      <w:r w:rsidRPr="005B79A1">
        <w:rPr>
          <w:rFonts w:cs="Times New Roman"/>
          <w:color w:val="000000" w:themeColor="text1"/>
        </w:rPr>
        <w:t>vSMC_PC</w:t>
      </w:r>
      <w:proofErr w:type="spellEnd"/>
      <w:r w:rsidRPr="005B79A1">
        <w:rPr>
          <w:rFonts w:cs="Times New Roman"/>
          <w:color w:val="000000" w:themeColor="text1"/>
        </w:rPr>
        <w:t>). (e) Smooth muscle cells (SMC): vascular SMCs (</w:t>
      </w:r>
      <w:proofErr w:type="spellStart"/>
      <w:r w:rsidRPr="005B79A1">
        <w:rPr>
          <w:rFonts w:cs="Times New Roman"/>
          <w:color w:val="000000" w:themeColor="text1"/>
        </w:rPr>
        <w:t>vSMC</w:t>
      </w:r>
      <w:proofErr w:type="spellEnd"/>
      <w:r w:rsidRPr="005B79A1">
        <w:rPr>
          <w:rFonts w:cs="Times New Roman"/>
          <w:color w:val="000000" w:themeColor="text1"/>
        </w:rPr>
        <w:t xml:space="preserve">). (f) Macrophages (Mac): tissue proliferating (tissue </w:t>
      </w:r>
      <w:proofErr w:type="spellStart"/>
      <w:r w:rsidRPr="005B79A1">
        <w:rPr>
          <w:rFonts w:cs="Times New Roman"/>
          <w:color w:val="000000" w:themeColor="text1"/>
        </w:rPr>
        <w:t>prol.Mac</w:t>
      </w:r>
      <w:proofErr w:type="spellEnd"/>
      <w:r w:rsidRPr="005B79A1">
        <w:rPr>
          <w:rFonts w:cs="Times New Roman"/>
          <w:color w:val="000000" w:themeColor="text1"/>
        </w:rPr>
        <w:t xml:space="preserve">), </w:t>
      </w:r>
      <w:proofErr w:type="spellStart"/>
      <w:r w:rsidRPr="005B79A1">
        <w:rPr>
          <w:rFonts w:cs="Times New Roman"/>
          <w:color w:val="000000" w:themeColor="text1"/>
        </w:rPr>
        <w:t>epineurial</w:t>
      </w:r>
      <w:proofErr w:type="spellEnd"/>
      <w:r w:rsidRPr="005B79A1">
        <w:rPr>
          <w:rFonts w:cs="Times New Roman"/>
          <w:color w:val="000000" w:themeColor="text1"/>
        </w:rPr>
        <w:t xml:space="preserve"> (epi</w:t>
      </w:r>
      <w:r w:rsidR="007B7542" w:rsidRPr="005B79A1">
        <w:rPr>
          <w:rFonts w:cs="Times New Roman"/>
          <w:color w:val="000000" w:themeColor="text1"/>
        </w:rPr>
        <w:t>–</w:t>
      </w:r>
      <w:r w:rsidRPr="005B79A1">
        <w:rPr>
          <w:rFonts w:cs="Times New Roman"/>
          <w:color w:val="000000" w:themeColor="text1"/>
        </w:rPr>
        <w:t xml:space="preserve">Mac), </w:t>
      </w:r>
      <w:proofErr w:type="spellStart"/>
      <w:r w:rsidRPr="005B79A1">
        <w:rPr>
          <w:rFonts w:cs="Times New Roman"/>
          <w:color w:val="000000" w:themeColor="text1"/>
        </w:rPr>
        <w:t>endoneurial</w:t>
      </w:r>
      <w:proofErr w:type="spellEnd"/>
      <w:r w:rsidRPr="005B79A1">
        <w:rPr>
          <w:rFonts w:cs="Times New Roman"/>
          <w:color w:val="000000" w:themeColor="text1"/>
        </w:rPr>
        <w:t xml:space="preserve"> (endo</w:t>
      </w:r>
      <w:r w:rsidR="007B7542" w:rsidRPr="005B79A1">
        <w:rPr>
          <w:rFonts w:cs="Times New Roman"/>
          <w:color w:val="000000" w:themeColor="text1"/>
        </w:rPr>
        <w:t>–</w:t>
      </w:r>
      <w:r w:rsidRPr="005B79A1">
        <w:rPr>
          <w:rFonts w:cs="Times New Roman"/>
          <w:color w:val="000000" w:themeColor="text1"/>
        </w:rPr>
        <w:t>Mac), and blood</w:t>
      </w:r>
      <w:r w:rsidR="007B7542" w:rsidRPr="005B79A1">
        <w:rPr>
          <w:rFonts w:cs="Times New Roman"/>
          <w:color w:val="000000" w:themeColor="text1"/>
        </w:rPr>
        <w:t>–</w:t>
      </w:r>
      <w:r w:rsidRPr="005B79A1">
        <w:rPr>
          <w:rFonts w:cs="Times New Roman"/>
          <w:color w:val="000000" w:themeColor="text1"/>
        </w:rPr>
        <w:t>derived macrophages. (g) Granulocytes (Gran): tissue GC</w:t>
      </w:r>
      <w:r w:rsidR="007B7542" w:rsidRPr="005B79A1">
        <w:rPr>
          <w:rFonts w:cs="Times New Roman"/>
          <w:color w:val="000000" w:themeColor="text1"/>
        </w:rPr>
        <w:t>–</w:t>
      </w:r>
      <w:r w:rsidRPr="005B79A1">
        <w:rPr>
          <w:rFonts w:cs="Times New Roman"/>
          <w:color w:val="000000" w:themeColor="text1"/>
        </w:rPr>
        <w:t>like (tissue GC</w:t>
      </w:r>
      <w:r w:rsidR="007B7542" w:rsidRPr="005B79A1">
        <w:rPr>
          <w:rFonts w:cs="Times New Roman"/>
          <w:color w:val="000000" w:themeColor="text1"/>
        </w:rPr>
        <w:t>–</w:t>
      </w:r>
      <w:r w:rsidRPr="005B79A1">
        <w:rPr>
          <w:rFonts w:cs="Times New Roman"/>
          <w:color w:val="000000" w:themeColor="text1"/>
        </w:rPr>
        <w:t>L), tissue GC, blood immature (</w:t>
      </w:r>
      <w:proofErr w:type="spellStart"/>
      <w:r w:rsidRPr="005B79A1">
        <w:rPr>
          <w:rFonts w:cs="Times New Roman"/>
          <w:color w:val="000000" w:themeColor="text1"/>
        </w:rPr>
        <w:t>iGC</w:t>
      </w:r>
      <w:proofErr w:type="spellEnd"/>
      <w:r w:rsidRPr="005B79A1">
        <w:rPr>
          <w:rFonts w:cs="Times New Roman"/>
          <w:color w:val="000000" w:themeColor="text1"/>
        </w:rPr>
        <w:t>), and mature granulocytes (</w:t>
      </w:r>
      <w:proofErr w:type="spellStart"/>
      <w:r w:rsidRPr="005B79A1">
        <w:rPr>
          <w:rFonts w:cs="Times New Roman"/>
          <w:color w:val="000000" w:themeColor="text1"/>
        </w:rPr>
        <w:t>mGC</w:t>
      </w:r>
      <w:proofErr w:type="spellEnd"/>
      <w:r w:rsidRPr="005B79A1">
        <w:rPr>
          <w:rFonts w:cs="Times New Roman"/>
          <w:color w:val="000000" w:themeColor="text1"/>
        </w:rPr>
        <w:t>). (h) Dendritic cells (DC): monocyte</w:t>
      </w:r>
      <w:r w:rsidR="007B7542" w:rsidRPr="005B79A1">
        <w:rPr>
          <w:rFonts w:cs="Times New Roman"/>
          <w:color w:val="000000" w:themeColor="text1"/>
        </w:rPr>
        <w:t>–</w:t>
      </w:r>
      <w:r w:rsidRPr="005B79A1">
        <w:rPr>
          <w:rFonts w:cs="Times New Roman"/>
          <w:color w:val="000000" w:themeColor="text1"/>
        </w:rPr>
        <w:t>derived (</w:t>
      </w:r>
      <w:proofErr w:type="spellStart"/>
      <w:r w:rsidRPr="005B79A1">
        <w:rPr>
          <w:rFonts w:cs="Times New Roman"/>
          <w:color w:val="000000" w:themeColor="text1"/>
        </w:rPr>
        <w:t>MoDC</w:t>
      </w:r>
      <w:proofErr w:type="spellEnd"/>
      <w:r w:rsidRPr="005B79A1">
        <w:rPr>
          <w:rFonts w:cs="Times New Roman"/>
          <w:color w:val="000000" w:themeColor="text1"/>
        </w:rPr>
        <w:t>), conventional (</w:t>
      </w:r>
      <w:proofErr w:type="spellStart"/>
      <w:r w:rsidRPr="005B79A1">
        <w:rPr>
          <w:rFonts w:cs="Times New Roman"/>
          <w:color w:val="000000" w:themeColor="text1"/>
        </w:rPr>
        <w:t>cDC</w:t>
      </w:r>
      <w:proofErr w:type="spellEnd"/>
      <w:r w:rsidRPr="005B79A1">
        <w:rPr>
          <w:rFonts w:cs="Times New Roman"/>
          <w:color w:val="000000" w:themeColor="text1"/>
        </w:rPr>
        <w:t>), proliferating (</w:t>
      </w:r>
      <w:proofErr w:type="spellStart"/>
      <w:r w:rsidRPr="005B79A1">
        <w:rPr>
          <w:rFonts w:cs="Times New Roman"/>
          <w:color w:val="000000" w:themeColor="text1"/>
        </w:rPr>
        <w:t>prol.DC</w:t>
      </w:r>
      <w:proofErr w:type="spellEnd"/>
      <w:r w:rsidRPr="005B79A1">
        <w:rPr>
          <w:rFonts w:cs="Times New Roman"/>
          <w:color w:val="000000" w:themeColor="text1"/>
        </w:rPr>
        <w:t>), plasmacytoid (</w:t>
      </w:r>
      <w:proofErr w:type="spellStart"/>
      <w:r w:rsidRPr="005B79A1">
        <w:rPr>
          <w:rFonts w:cs="Times New Roman"/>
          <w:color w:val="000000" w:themeColor="text1"/>
        </w:rPr>
        <w:t>pDC</w:t>
      </w:r>
      <w:proofErr w:type="spellEnd"/>
      <w:r w:rsidRPr="005B79A1">
        <w:rPr>
          <w:rFonts w:cs="Times New Roman"/>
          <w:color w:val="000000" w:themeColor="text1"/>
        </w:rPr>
        <w:t>), mature/migrating (</w:t>
      </w:r>
      <w:proofErr w:type="spellStart"/>
      <w:r w:rsidRPr="005B79A1">
        <w:rPr>
          <w:rFonts w:cs="Times New Roman"/>
          <w:color w:val="000000" w:themeColor="text1"/>
        </w:rPr>
        <w:t>DCx</w:t>
      </w:r>
      <w:proofErr w:type="spellEnd"/>
      <w:r w:rsidRPr="005B79A1">
        <w:rPr>
          <w:rFonts w:cs="Times New Roman"/>
          <w:color w:val="000000" w:themeColor="text1"/>
        </w:rPr>
        <w:t>), and blood DCs. (</w:t>
      </w:r>
      <w:proofErr w:type="spellStart"/>
      <w:r w:rsidRPr="005B79A1">
        <w:rPr>
          <w:rFonts w:cs="Times New Roman"/>
          <w:color w:val="000000" w:themeColor="text1"/>
        </w:rPr>
        <w:t>i</w:t>
      </w:r>
      <w:proofErr w:type="spellEnd"/>
      <w:r w:rsidRPr="005B79A1">
        <w:rPr>
          <w:rFonts w:cs="Times New Roman"/>
          <w:color w:val="000000" w:themeColor="text1"/>
        </w:rPr>
        <w:t>) T cells: blood T (blood TC), tissue T (tissue TC), and tissue T/NK cells. (j) NK cells: blood NK, tissue NK, and tissue T/NK cells. (k) B cells: B cells (BC) and plasma blasts (PB).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sectPr w:rsidR="00380D9B" w:rsidRPr="005B79A1" w:rsidSect="00BC2707">
      <w:footerReference w:type="even" r:id="rId9"/>
      <w:footerReference w:type="default" r:id="rId10"/>
      <w:pgSz w:w="11906" w:h="16838"/>
      <w:pgMar w:top="1440" w:right="1080" w:bottom="1440" w:left="1080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DD41A" w14:textId="77777777" w:rsidR="00766214" w:rsidRDefault="00766214">
      <w:r>
        <w:separator/>
      </w:r>
    </w:p>
  </w:endnote>
  <w:endnote w:type="continuationSeparator" w:id="0">
    <w:p w14:paraId="14E2DB86" w14:textId="77777777" w:rsidR="00766214" w:rsidRDefault="00766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altName w:val="宋体"/>
    <w:charset w:val="86"/>
    <w:family w:val="roman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53566229"/>
      <w:docPartObj>
        <w:docPartGallery w:val="Page Numbers (Bottom of Page)"/>
        <w:docPartUnique/>
      </w:docPartObj>
    </w:sdtPr>
    <w:sdtContent>
      <w:p w14:paraId="299A0F07" w14:textId="77777777" w:rsidR="008F1CEA" w:rsidRDefault="008F1CEA" w:rsidP="00D7086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C5D0D">
          <w:rPr>
            <w:rStyle w:val="PageNumber"/>
            <w:noProof/>
          </w:rPr>
          <w:t>52</w:t>
        </w:r>
        <w:r>
          <w:rPr>
            <w:rStyle w:val="PageNumber"/>
          </w:rPr>
          <w:fldChar w:fldCharType="end"/>
        </w:r>
      </w:p>
    </w:sdtContent>
  </w:sdt>
  <w:p w14:paraId="163F5A6F" w14:textId="77777777" w:rsidR="008F1CEA" w:rsidRDefault="008F1C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cs="Times New Roman"/>
        <w:color w:val="000000" w:themeColor="text1"/>
        <w:sz w:val="24"/>
        <w:szCs w:val="24"/>
      </w:rPr>
      <w:id w:val="151957732"/>
      <w:docPartObj>
        <w:docPartGallery w:val="Page Numbers (Bottom of Page)"/>
        <w:docPartUnique/>
      </w:docPartObj>
    </w:sdtPr>
    <w:sdtContent>
      <w:p w14:paraId="3486DF4A" w14:textId="77777777" w:rsidR="008F1CEA" w:rsidRPr="008F1CEA" w:rsidRDefault="008F1CEA" w:rsidP="00D70860">
        <w:pPr>
          <w:pStyle w:val="Footer"/>
          <w:framePr w:wrap="none" w:vAnchor="text" w:hAnchor="margin" w:xAlign="center" w:y="1"/>
          <w:rPr>
            <w:rStyle w:val="PageNumber"/>
            <w:rFonts w:cs="Times New Roman"/>
            <w:color w:val="000000" w:themeColor="text1"/>
            <w:sz w:val="24"/>
            <w:szCs w:val="24"/>
          </w:rPr>
        </w:pPr>
        <w:r w:rsidRPr="008F1CEA">
          <w:rPr>
            <w:rStyle w:val="PageNumber"/>
            <w:rFonts w:cs="Times New Roman"/>
            <w:color w:val="000000" w:themeColor="text1"/>
            <w:sz w:val="24"/>
            <w:szCs w:val="24"/>
          </w:rPr>
          <w:fldChar w:fldCharType="begin"/>
        </w:r>
        <w:r w:rsidRPr="008F1CEA">
          <w:rPr>
            <w:rStyle w:val="PageNumber"/>
            <w:rFonts w:cs="Times New Roman"/>
            <w:color w:val="000000" w:themeColor="text1"/>
            <w:sz w:val="24"/>
            <w:szCs w:val="24"/>
          </w:rPr>
          <w:instrText xml:space="preserve"> PAGE </w:instrText>
        </w:r>
        <w:r w:rsidRPr="008F1CEA">
          <w:rPr>
            <w:rStyle w:val="PageNumber"/>
            <w:rFonts w:cs="Times New Roman"/>
            <w:color w:val="000000" w:themeColor="text1"/>
            <w:sz w:val="24"/>
            <w:szCs w:val="24"/>
          </w:rPr>
          <w:fldChar w:fldCharType="separate"/>
        </w:r>
        <w:r w:rsidRPr="008F1CEA">
          <w:rPr>
            <w:rStyle w:val="PageNumber"/>
            <w:rFonts w:cs="Times New Roman"/>
            <w:noProof/>
            <w:color w:val="000000" w:themeColor="text1"/>
            <w:sz w:val="24"/>
            <w:szCs w:val="24"/>
          </w:rPr>
          <w:t>1</w:t>
        </w:r>
        <w:r w:rsidRPr="008F1CEA">
          <w:rPr>
            <w:rStyle w:val="PageNumber"/>
            <w:rFonts w:cs="Times New Roman"/>
            <w:color w:val="000000" w:themeColor="text1"/>
            <w:sz w:val="24"/>
            <w:szCs w:val="24"/>
          </w:rPr>
          <w:fldChar w:fldCharType="end"/>
        </w:r>
      </w:p>
    </w:sdtContent>
  </w:sdt>
  <w:p w14:paraId="3530ED5B" w14:textId="77777777" w:rsidR="008F1CEA" w:rsidRPr="008F1CEA" w:rsidRDefault="008F1CEA">
    <w:pPr>
      <w:pStyle w:val="Footer"/>
      <w:rPr>
        <w:rFonts w:cs="Times New Roman"/>
        <w:color w:val="000000" w:themeColor="text1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D512B" w14:textId="77777777" w:rsidR="00766214" w:rsidRDefault="00766214">
      <w:r>
        <w:separator/>
      </w:r>
    </w:p>
  </w:footnote>
  <w:footnote w:type="continuationSeparator" w:id="0">
    <w:p w14:paraId="3EB3493A" w14:textId="77777777" w:rsidR="00766214" w:rsidRDefault="007662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D46063"/>
    <w:multiLevelType w:val="hybridMultilevel"/>
    <w:tmpl w:val="9782EC0C"/>
    <w:lvl w:ilvl="0" w:tplc="B8042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D212622"/>
    <w:multiLevelType w:val="hybridMultilevel"/>
    <w:tmpl w:val="257A2D3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1DC2573"/>
    <w:multiLevelType w:val="hybridMultilevel"/>
    <w:tmpl w:val="525E5138"/>
    <w:lvl w:ilvl="0" w:tplc="9424AE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549929F2"/>
    <w:multiLevelType w:val="hybridMultilevel"/>
    <w:tmpl w:val="B9C2E878"/>
    <w:lvl w:ilvl="0" w:tplc="1220B1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DD6063A"/>
    <w:multiLevelType w:val="hybridMultilevel"/>
    <w:tmpl w:val="C290B3A2"/>
    <w:lvl w:ilvl="0" w:tplc="FA841B2C">
      <w:start w:val="1"/>
      <w:numFmt w:val="lowerLetter"/>
      <w:lvlText w:val="(%1)"/>
      <w:lvlJc w:val="left"/>
      <w:pPr>
        <w:ind w:left="36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4CF7E82"/>
    <w:multiLevelType w:val="multilevel"/>
    <w:tmpl w:val="4B0A2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0F2183"/>
    <w:multiLevelType w:val="hybridMultilevel"/>
    <w:tmpl w:val="6AB4D890"/>
    <w:lvl w:ilvl="0" w:tplc="3A0EB9E0">
      <w:start w:val="1"/>
      <w:numFmt w:val="lowerLetter"/>
      <w:lvlText w:val="(%1)"/>
      <w:lvlJc w:val="left"/>
      <w:pPr>
        <w:ind w:left="36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603878370">
    <w:abstractNumId w:val="5"/>
  </w:num>
  <w:num w:numId="2" w16cid:durableId="1899169748">
    <w:abstractNumId w:val="3"/>
  </w:num>
  <w:num w:numId="3" w16cid:durableId="1030376681">
    <w:abstractNumId w:val="1"/>
  </w:num>
  <w:num w:numId="4" w16cid:durableId="710152501">
    <w:abstractNumId w:val="0"/>
  </w:num>
  <w:num w:numId="5" w16cid:durableId="34931646">
    <w:abstractNumId w:val="2"/>
  </w:num>
  <w:num w:numId="6" w16cid:durableId="513542140">
    <w:abstractNumId w:val="4"/>
  </w:num>
  <w:num w:numId="7" w16cid:durableId="15947058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Neuroinflammation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D8719F"/>
    <w:rsid w:val="871DD91F"/>
    <w:rsid w:val="A2E1F760"/>
    <w:rsid w:val="ABEFC4E3"/>
    <w:rsid w:val="B7E4479F"/>
    <w:rsid w:val="B9FBFF5B"/>
    <w:rsid w:val="DBEBAB34"/>
    <w:rsid w:val="DDFE807B"/>
    <w:rsid w:val="DEFC3BE9"/>
    <w:rsid w:val="DFFD38DD"/>
    <w:rsid w:val="E5FD22DC"/>
    <w:rsid w:val="EAB7B864"/>
    <w:rsid w:val="EDFD90CB"/>
    <w:rsid w:val="EECF6B46"/>
    <w:rsid w:val="EFFFB689"/>
    <w:rsid w:val="EFFFE7C4"/>
    <w:rsid w:val="F5DCF976"/>
    <w:rsid w:val="F5E7C1D5"/>
    <w:rsid w:val="F61FF18C"/>
    <w:rsid w:val="F63F632F"/>
    <w:rsid w:val="F6EF8324"/>
    <w:rsid w:val="F6FB5EBA"/>
    <w:rsid w:val="F71F87D5"/>
    <w:rsid w:val="F7FD25F9"/>
    <w:rsid w:val="F92FB7B2"/>
    <w:rsid w:val="F9FB0C7E"/>
    <w:rsid w:val="F9FB8891"/>
    <w:rsid w:val="FBDFC0B2"/>
    <w:rsid w:val="FD699B25"/>
    <w:rsid w:val="FDCB9C10"/>
    <w:rsid w:val="FDFA8B2F"/>
    <w:rsid w:val="FF3A58ED"/>
    <w:rsid w:val="FF7A15AF"/>
    <w:rsid w:val="FFFB8EF3"/>
    <w:rsid w:val="00000C97"/>
    <w:rsid w:val="0000289D"/>
    <w:rsid w:val="0001174A"/>
    <w:rsid w:val="00012D71"/>
    <w:rsid w:val="00015BE9"/>
    <w:rsid w:val="000262A1"/>
    <w:rsid w:val="00035FC8"/>
    <w:rsid w:val="00036F94"/>
    <w:rsid w:val="00042478"/>
    <w:rsid w:val="000460F9"/>
    <w:rsid w:val="000461CD"/>
    <w:rsid w:val="00046A51"/>
    <w:rsid w:val="00052DF3"/>
    <w:rsid w:val="00056A8A"/>
    <w:rsid w:val="00060301"/>
    <w:rsid w:val="00062A07"/>
    <w:rsid w:val="00064ECC"/>
    <w:rsid w:val="0006538B"/>
    <w:rsid w:val="00066F83"/>
    <w:rsid w:val="00067E52"/>
    <w:rsid w:val="00074825"/>
    <w:rsid w:val="00077605"/>
    <w:rsid w:val="000776F3"/>
    <w:rsid w:val="00080402"/>
    <w:rsid w:val="000832EF"/>
    <w:rsid w:val="00083FEA"/>
    <w:rsid w:val="0009489E"/>
    <w:rsid w:val="00094FB4"/>
    <w:rsid w:val="00095622"/>
    <w:rsid w:val="00095DC4"/>
    <w:rsid w:val="000A0F41"/>
    <w:rsid w:val="000A566F"/>
    <w:rsid w:val="000B0937"/>
    <w:rsid w:val="000B0E9F"/>
    <w:rsid w:val="000B2D00"/>
    <w:rsid w:val="000B7756"/>
    <w:rsid w:val="000C27B7"/>
    <w:rsid w:val="000D1FAB"/>
    <w:rsid w:val="000D2F3C"/>
    <w:rsid w:val="000D3C1B"/>
    <w:rsid w:val="000D4230"/>
    <w:rsid w:val="000E01C2"/>
    <w:rsid w:val="000E23D6"/>
    <w:rsid w:val="000E3C24"/>
    <w:rsid w:val="000E7112"/>
    <w:rsid w:val="000E7471"/>
    <w:rsid w:val="000F68F8"/>
    <w:rsid w:val="000F7A61"/>
    <w:rsid w:val="00100DA4"/>
    <w:rsid w:val="00103178"/>
    <w:rsid w:val="00106B69"/>
    <w:rsid w:val="001111A1"/>
    <w:rsid w:val="00111D74"/>
    <w:rsid w:val="00114653"/>
    <w:rsid w:val="001172DE"/>
    <w:rsid w:val="00125194"/>
    <w:rsid w:val="001272F2"/>
    <w:rsid w:val="001302B6"/>
    <w:rsid w:val="001303CB"/>
    <w:rsid w:val="00130F7D"/>
    <w:rsid w:val="00132641"/>
    <w:rsid w:val="00132A3A"/>
    <w:rsid w:val="00134276"/>
    <w:rsid w:val="00134E6D"/>
    <w:rsid w:val="0013506A"/>
    <w:rsid w:val="001414A6"/>
    <w:rsid w:val="001417BB"/>
    <w:rsid w:val="00146D26"/>
    <w:rsid w:val="00150E1E"/>
    <w:rsid w:val="00152C12"/>
    <w:rsid w:val="001562F2"/>
    <w:rsid w:val="00156F23"/>
    <w:rsid w:val="001602A4"/>
    <w:rsid w:val="00160EAF"/>
    <w:rsid w:val="00161EBE"/>
    <w:rsid w:val="001622D2"/>
    <w:rsid w:val="00162A16"/>
    <w:rsid w:val="00164316"/>
    <w:rsid w:val="00165056"/>
    <w:rsid w:val="00171B85"/>
    <w:rsid w:val="00173C79"/>
    <w:rsid w:val="001745D5"/>
    <w:rsid w:val="00174B25"/>
    <w:rsid w:val="00182A33"/>
    <w:rsid w:val="0018646A"/>
    <w:rsid w:val="00191242"/>
    <w:rsid w:val="0019590C"/>
    <w:rsid w:val="00195E40"/>
    <w:rsid w:val="001A2EB3"/>
    <w:rsid w:val="001A5FBF"/>
    <w:rsid w:val="001B0238"/>
    <w:rsid w:val="001C11EA"/>
    <w:rsid w:val="001C46B4"/>
    <w:rsid w:val="001C5D9A"/>
    <w:rsid w:val="001C7946"/>
    <w:rsid w:val="001D4622"/>
    <w:rsid w:val="001E4BCD"/>
    <w:rsid w:val="001E668B"/>
    <w:rsid w:val="001F3D21"/>
    <w:rsid w:val="0020424B"/>
    <w:rsid w:val="002049FE"/>
    <w:rsid w:val="00204DBD"/>
    <w:rsid w:val="0021196F"/>
    <w:rsid w:val="0021297A"/>
    <w:rsid w:val="002130AB"/>
    <w:rsid w:val="0021400D"/>
    <w:rsid w:val="00214C9A"/>
    <w:rsid w:val="0022096C"/>
    <w:rsid w:val="00220DA4"/>
    <w:rsid w:val="0022139D"/>
    <w:rsid w:val="00221444"/>
    <w:rsid w:val="00221B3E"/>
    <w:rsid w:val="00222970"/>
    <w:rsid w:val="002237A2"/>
    <w:rsid w:val="002251C6"/>
    <w:rsid w:val="00227B63"/>
    <w:rsid w:val="00231521"/>
    <w:rsid w:val="00231E3B"/>
    <w:rsid w:val="00231EC0"/>
    <w:rsid w:val="0023564B"/>
    <w:rsid w:val="0023798F"/>
    <w:rsid w:val="00240C19"/>
    <w:rsid w:val="00243592"/>
    <w:rsid w:val="00244629"/>
    <w:rsid w:val="00247C61"/>
    <w:rsid w:val="00247FF1"/>
    <w:rsid w:val="00250725"/>
    <w:rsid w:val="00251E0A"/>
    <w:rsid w:val="00252200"/>
    <w:rsid w:val="002523F8"/>
    <w:rsid w:val="0025513D"/>
    <w:rsid w:val="00257291"/>
    <w:rsid w:val="0027320C"/>
    <w:rsid w:val="002771E7"/>
    <w:rsid w:val="002779F6"/>
    <w:rsid w:val="0028721E"/>
    <w:rsid w:val="002902C5"/>
    <w:rsid w:val="00291DCB"/>
    <w:rsid w:val="00293643"/>
    <w:rsid w:val="00296763"/>
    <w:rsid w:val="002A190D"/>
    <w:rsid w:val="002A1987"/>
    <w:rsid w:val="002A6261"/>
    <w:rsid w:val="002B2259"/>
    <w:rsid w:val="002B33BF"/>
    <w:rsid w:val="002B462B"/>
    <w:rsid w:val="002C6F01"/>
    <w:rsid w:val="002D33EB"/>
    <w:rsid w:val="002D4A16"/>
    <w:rsid w:val="002E42EB"/>
    <w:rsid w:val="002E75C7"/>
    <w:rsid w:val="002F1EE3"/>
    <w:rsid w:val="002F20C0"/>
    <w:rsid w:val="002F2DF7"/>
    <w:rsid w:val="002F5428"/>
    <w:rsid w:val="002F7414"/>
    <w:rsid w:val="00303E6D"/>
    <w:rsid w:val="003041F7"/>
    <w:rsid w:val="0030476A"/>
    <w:rsid w:val="003123C9"/>
    <w:rsid w:val="00317529"/>
    <w:rsid w:val="003212EF"/>
    <w:rsid w:val="00321E48"/>
    <w:rsid w:val="003227ED"/>
    <w:rsid w:val="003232CC"/>
    <w:rsid w:val="00323888"/>
    <w:rsid w:val="003262E7"/>
    <w:rsid w:val="00326327"/>
    <w:rsid w:val="003335CB"/>
    <w:rsid w:val="00333684"/>
    <w:rsid w:val="003354F3"/>
    <w:rsid w:val="00350261"/>
    <w:rsid w:val="0035402B"/>
    <w:rsid w:val="00354624"/>
    <w:rsid w:val="00357B24"/>
    <w:rsid w:val="00363F80"/>
    <w:rsid w:val="00364E7E"/>
    <w:rsid w:val="0036585D"/>
    <w:rsid w:val="00366A80"/>
    <w:rsid w:val="00367475"/>
    <w:rsid w:val="0037172C"/>
    <w:rsid w:val="00376DB3"/>
    <w:rsid w:val="00376E02"/>
    <w:rsid w:val="00380D9B"/>
    <w:rsid w:val="00385384"/>
    <w:rsid w:val="00392D08"/>
    <w:rsid w:val="00395173"/>
    <w:rsid w:val="003A4DCF"/>
    <w:rsid w:val="003A6947"/>
    <w:rsid w:val="003A7D1F"/>
    <w:rsid w:val="003B1982"/>
    <w:rsid w:val="003B2E92"/>
    <w:rsid w:val="003B49B4"/>
    <w:rsid w:val="003B7188"/>
    <w:rsid w:val="003B743C"/>
    <w:rsid w:val="003C0613"/>
    <w:rsid w:val="003C24CD"/>
    <w:rsid w:val="003C3B8B"/>
    <w:rsid w:val="003C59BB"/>
    <w:rsid w:val="003D0813"/>
    <w:rsid w:val="003D08DE"/>
    <w:rsid w:val="003D0AD7"/>
    <w:rsid w:val="003D0B50"/>
    <w:rsid w:val="003D1500"/>
    <w:rsid w:val="003D26E5"/>
    <w:rsid w:val="003E29DA"/>
    <w:rsid w:val="003E47CC"/>
    <w:rsid w:val="003E60D4"/>
    <w:rsid w:val="003F21D9"/>
    <w:rsid w:val="003F2ADA"/>
    <w:rsid w:val="003F5491"/>
    <w:rsid w:val="003F7035"/>
    <w:rsid w:val="004040A4"/>
    <w:rsid w:val="00406742"/>
    <w:rsid w:val="00411293"/>
    <w:rsid w:val="00413A27"/>
    <w:rsid w:val="0041635C"/>
    <w:rsid w:val="00421EAD"/>
    <w:rsid w:val="00425A16"/>
    <w:rsid w:val="00425D4E"/>
    <w:rsid w:val="004377F2"/>
    <w:rsid w:val="00441ABA"/>
    <w:rsid w:val="00441CA1"/>
    <w:rsid w:val="00443E7E"/>
    <w:rsid w:val="004450AA"/>
    <w:rsid w:val="00450FBF"/>
    <w:rsid w:val="004530F6"/>
    <w:rsid w:val="0046158B"/>
    <w:rsid w:val="004622FA"/>
    <w:rsid w:val="00463DC6"/>
    <w:rsid w:val="00476505"/>
    <w:rsid w:val="004766E2"/>
    <w:rsid w:val="00480A7F"/>
    <w:rsid w:val="004815C0"/>
    <w:rsid w:val="004922D7"/>
    <w:rsid w:val="00494258"/>
    <w:rsid w:val="004A2BC4"/>
    <w:rsid w:val="004A3B6B"/>
    <w:rsid w:val="004A7396"/>
    <w:rsid w:val="004B2874"/>
    <w:rsid w:val="004B5E51"/>
    <w:rsid w:val="004B6815"/>
    <w:rsid w:val="004B73D4"/>
    <w:rsid w:val="004C0789"/>
    <w:rsid w:val="004C2012"/>
    <w:rsid w:val="004C2CA5"/>
    <w:rsid w:val="004C5946"/>
    <w:rsid w:val="004D235B"/>
    <w:rsid w:val="004E2C6B"/>
    <w:rsid w:val="004E3F55"/>
    <w:rsid w:val="004F08A9"/>
    <w:rsid w:val="004F247D"/>
    <w:rsid w:val="004F6599"/>
    <w:rsid w:val="004F6EF6"/>
    <w:rsid w:val="00503A5F"/>
    <w:rsid w:val="00505F30"/>
    <w:rsid w:val="00517FE3"/>
    <w:rsid w:val="00527459"/>
    <w:rsid w:val="00527997"/>
    <w:rsid w:val="00530E28"/>
    <w:rsid w:val="005412D7"/>
    <w:rsid w:val="00542233"/>
    <w:rsid w:val="00543CE9"/>
    <w:rsid w:val="00570062"/>
    <w:rsid w:val="0057450C"/>
    <w:rsid w:val="0057567C"/>
    <w:rsid w:val="00577416"/>
    <w:rsid w:val="00580EDD"/>
    <w:rsid w:val="005823DA"/>
    <w:rsid w:val="0058391D"/>
    <w:rsid w:val="00584FD8"/>
    <w:rsid w:val="00586F3A"/>
    <w:rsid w:val="00587E6F"/>
    <w:rsid w:val="005906EC"/>
    <w:rsid w:val="00592BD2"/>
    <w:rsid w:val="0059389D"/>
    <w:rsid w:val="005942F8"/>
    <w:rsid w:val="005964E2"/>
    <w:rsid w:val="00597C4C"/>
    <w:rsid w:val="005A27E3"/>
    <w:rsid w:val="005A3BB4"/>
    <w:rsid w:val="005A59EC"/>
    <w:rsid w:val="005B0004"/>
    <w:rsid w:val="005B6421"/>
    <w:rsid w:val="005B7112"/>
    <w:rsid w:val="005B79A1"/>
    <w:rsid w:val="005C5A1C"/>
    <w:rsid w:val="005C648B"/>
    <w:rsid w:val="005C7E5D"/>
    <w:rsid w:val="005D5500"/>
    <w:rsid w:val="005E06F1"/>
    <w:rsid w:val="005E2351"/>
    <w:rsid w:val="005E3799"/>
    <w:rsid w:val="005E41F9"/>
    <w:rsid w:val="005E5280"/>
    <w:rsid w:val="005F172C"/>
    <w:rsid w:val="005F1C9D"/>
    <w:rsid w:val="005F3187"/>
    <w:rsid w:val="005F3790"/>
    <w:rsid w:val="00600221"/>
    <w:rsid w:val="0060067D"/>
    <w:rsid w:val="0060132B"/>
    <w:rsid w:val="00606D1A"/>
    <w:rsid w:val="00607151"/>
    <w:rsid w:val="00611E89"/>
    <w:rsid w:val="00614607"/>
    <w:rsid w:val="00614A55"/>
    <w:rsid w:val="00615F6F"/>
    <w:rsid w:val="00621D46"/>
    <w:rsid w:val="006265F6"/>
    <w:rsid w:val="00626ED0"/>
    <w:rsid w:val="00627612"/>
    <w:rsid w:val="006368B7"/>
    <w:rsid w:val="0063771B"/>
    <w:rsid w:val="006467F9"/>
    <w:rsid w:val="006477C7"/>
    <w:rsid w:val="00647EA2"/>
    <w:rsid w:val="006513AB"/>
    <w:rsid w:val="0065459E"/>
    <w:rsid w:val="006546BD"/>
    <w:rsid w:val="00655939"/>
    <w:rsid w:val="0066004B"/>
    <w:rsid w:val="00667144"/>
    <w:rsid w:val="0067328D"/>
    <w:rsid w:val="00673C7E"/>
    <w:rsid w:val="00677F19"/>
    <w:rsid w:val="00687833"/>
    <w:rsid w:val="00690B12"/>
    <w:rsid w:val="006914B6"/>
    <w:rsid w:val="00695A3A"/>
    <w:rsid w:val="00696563"/>
    <w:rsid w:val="00696E9B"/>
    <w:rsid w:val="0069794D"/>
    <w:rsid w:val="006A130E"/>
    <w:rsid w:val="006B0C95"/>
    <w:rsid w:val="006B4B47"/>
    <w:rsid w:val="006B5427"/>
    <w:rsid w:val="006B6207"/>
    <w:rsid w:val="006C1EE2"/>
    <w:rsid w:val="006C2E46"/>
    <w:rsid w:val="006C4D86"/>
    <w:rsid w:val="006D1FF5"/>
    <w:rsid w:val="006D3864"/>
    <w:rsid w:val="006D525F"/>
    <w:rsid w:val="006D76B2"/>
    <w:rsid w:val="006E2FFD"/>
    <w:rsid w:val="006E6C0A"/>
    <w:rsid w:val="006E78FC"/>
    <w:rsid w:val="006E794F"/>
    <w:rsid w:val="006F1121"/>
    <w:rsid w:val="006F16C2"/>
    <w:rsid w:val="006F33E1"/>
    <w:rsid w:val="006F3AD2"/>
    <w:rsid w:val="006F4D2F"/>
    <w:rsid w:val="006F73F1"/>
    <w:rsid w:val="00704B36"/>
    <w:rsid w:val="00710A48"/>
    <w:rsid w:val="00716350"/>
    <w:rsid w:val="00720126"/>
    <w:rsid w:val="007220E0"/>
    <w:rsid w:val="007259E1"/>
    <w:rsid w:val="00725A93"/>
    <w:rsid w:val="00725EB6"/>
    <w:rsid w:val="00730CE8"/>
    <w:rsid w:val="00733754"/>
    <w:rsid w:val="007339E0"/>
    <w:rsid w:val="00733CC0"/>
    <w:rsid w:val="007369AC"/>
    <w:rsid w:val="00740A74"/>
    <w:rsid w:val="007419FD"/>
    <w:rsid w:val="00741F25"/>
    <w:rsid w:val="007436D7"/>
    <w:rsid w:val="0075340A"/>
    <w:rsid w:val="00753BD9"/>
    <w:rsid w:val="00756809"/>
    <w:rsid w:val="00766214"/>
    <w:rsid w:val="00766A30"/>
    <w:rsid w:val="007826F8"/>
    <w:rsid w:val="00784626"/>
    <w:rsid w:val="00786757"/>
    <w:rsid w:val="0078713F"/>
    <w:rsid w:val="0078720D"/>
    <w:rsid w:val="00791134"/>
    <w:rsid w:val="00791AB5"/>
    <w:rsid w:val="00792335"/>
    <w:rsid w:val="007958BA"/>
    <w:rsid w:val="00796F8B"/>
    <w:rsid w:val="00797067"/>
    <w:rsid w:val="00797DA5"/>
    <w:rsid w:val="007A26B0"/>
    <w:rsid w:val="007A3F07"/>
    <w:rsid w:val="007B15BB"/>
    <w:rsid w:val="007B7542"/>
    <w:rsid w:val="007C27EB"/>
    <w:rsid w:val="007C3A65"/>
    <w:rsid w:val="007C7ED7"/>
    <w:rsid w:val="007C7F94"/>
    <w:rsid w:val="007D0938"/>
    <w:rsid w:val="007D0FEC"/>
    <w:rsid w:val="007D46F4"/>
    <w:rsid w:val="007D535B"/>
    <w:rsid w:val="007D6A5C"/>
    <w:rsid w:val="007D7778"/>
    <w:rsid w:val="007E0B06"/>
    <w:rsid w:val="007E1DC8"/>
    <w:rsid w:val="007F27B3"/>
    <w:rsid w:val="007F4357"/>
    <w:rsid w:val="007F6C1C"/>
    <w:rsid w:val="00804398"/>
    <w:rsid w:val="00804596"/>
    <w:rsid w:val="008103BD"/>
    <w:rsid w:val="008109CF"/>
    <w:rsid w:val="0082358C"/>
    <w:rsid w:val="008244BB"/>
    <w:rsid w:val="008255C4"/>
    <w:rsid w:val="008269C0"/>
    <w:rsid w:val="008275BB"/>
    <w:rsid w:val="00830758"/>
    <w:rsid w:val="00837820"/>
    <w:rsid w:val="008463D5"/>
    <w:rsid w:val="008510C4"/>
    <w:rsid w:val="00851691"/>
    <w:rsid w:val="00853582"/>
    <w:rsid w:val="00857D08"/>
    <w:rsid w:val="00861322"/>
    <w:rsid w:val="008625B2"/>
    <w:rsid w:val="008628FB"/>
    <w:rsid w:val="00862A24"/>
    <w:rsid w:val="0087386B"/>
    <w:rsid w:val="00881E9C"/>
    <w:rsid w:val="00884379"/>
    <w:rsid w:val="00884896"/>
    <w:rsid w:val="00884C78"/>
    <w:rsid w:val="00886636"/>
    <w:rsid w:val="00887D46"/>
    <w:rsid w:val="00891351"/>
    <w:rsid w:val="008915CA"/>
    <w:rsid w:val="0089186A"/>
    <w:rsid w:val="00892BA8"/>
    <w:rsid w:val="00894B5A"/>
    <w:rsid w:val="008A2B08"/>
    <w:rsid w:val="008A3C66"/>
    <w:rsid w:val="008A72B1"/>
    <w:rsid w:val="008B0C4C"/>
    <w:rsid w:val="008B6467"/>
    <w:rsid w:val="008B76C6"/>
    <w:rsid w:val="008C1FE5"/>
    <w:rsid w:val="008C3424"/>
    <w:rsid w:val="008C4C18"/>
    <w:rsid w:val="008D0073"/>
    <w:rsid w:val="008D274F"/>
    <w:rsid w:val="008E010C"/>
    <w:rsid w:val="008E01BF"/>
    <w:rsid w:val="008E1782"/>
    <w:rsid w:val="008E2F73"/>
    <w:rsid w:val="008E319C"/>
    <w:rsid w:val="008E5DA0"/>
    <w:rsid w:val="008E5EF3"/>
    <w:rsid w:val="008E7C2F"/>
    <w:rsid w:val="008F0D8A"/>
    <w:rsid w:val="008F1A70"/>
    <w:rsid w:val="008F1CEA"/>
    <w:rsid w:val="008F3AF9"/>
    <w:rsid w:val="0090050A"/>
    <w:rsid w:val="00900F83"/>
    <w:rsid w:val="009012B8"/>
    <w:rsid w:val="00903CBF"/>
    <w:rsid w:val="00913B05"/>
    <w:rsid w:val="00914FF7"/>
    <w:rsid w:val="0091587B"/>
    <w:rsid w:val="009170A7"/>
    <w:rsid w:val="009171AF"/>
    <w:rsid w:val="00920ABC"/>
    <w:rsid w:val="00922669"/>
    <w:rsid w:val="00923ACA"/>
    <w:rsid w:val="00923EF1"/>
    <w:rsid w:val="00930C18"/>
    <w:rsid w:val="009337FD"/>
    <w:rsid w:val="00935F07"/>
    <w:rsid w:val="0095148B"/>
    <w:rsid w:val="00951ACF"/>
    <w:rsid w:val="0096461F"/>
    <w:rsid w:val="00965A74"/>
    <w:rsid w:val="00966EAD"/>
    <w:rsid w:val="0098230C"/>
    <w:rsid w:val="00994C2D"/>
    <w:rsid w:val="009A2B11"/>
    <w:rsid w:val="009A4970"/>
    <w:rsid w:val="009A6A00"/>
    <w:rsid w:val="009A7559"/>
    <w:rsid w:val="009A7832"/>
    <w:rsid w:val="009B1678"/>
    <w:rsid w:val="009B3E77"/>
    <w:rsid w:val="009B65DC"/>
    <w:rsid w:val="009B717F"/>
    <w:rsid w:val="009B7951"/>
    <w:rsid w:val="009C1376"/>
    <w:rsid w:val="009C6921"/>
    <w:rsid w:val="009C7DD5"/>
    <w:rsid w:val="009D6EE3"/>
    <w:rsid w:val="009D70DA"/>
    <w:rsid w:val="009E2C62"/>
    <w:rsid w:val="009F152B"/>
    <w:rsid w:val="009F3649"/>
    <w:rsid w:val="009F7489"/>
    <w:rsid w:val="00A03EA4"/>
    <w:rsid w:val="00A059D7"/>
    <w:rsid w:val="00A05CCA"/>
    <w:rsid w:val="00A138E4"/>
    <w:rsid w:val="00A14E6A"/>
    <w:rsid w:val="00A23072"/>
    <w:rsid w:val="00A23F4E"/>
    <w:rsid w:val="00A25F0F"/>
    <w:rsid w:val="00A30DD7"/>
    <w:rsid w:val="00A323BE"/>
    <w:rsid w:val="00A3277A"/>
    <w:rsid w:val="00A419BD"/>
    <w:rsid w:val="00A44C05"/>
    <w:rsid w:val="00A46134"/>
    <w:rsid w:val="00A502F5"/>
    <w:rsid w:val="00A55E12"/>
    <w:rsid w:val="00A573D8"/>
    <w:rsid w:val="00A61028"/>
    <w:rsid w:val="00A620B9"/>
    <w:rsid w:val="00A64168"/>
    <w:rsid w:val="00A670D7"/>
    <w:rsid w:val="00A7506A"/>
    <w:rsid w:val="00A75EF5"/>
    <w:rsid w:val="00A80321"/>
    <w:rsid w:val="00A830E0"/>
    <w:rsid w:val="00A85A2E"/>
    <w:rsid w:val="00A91071"/>
    <w:rsid w:val="00AA14DD"/>
    <w:rsid w:val="00AA1EC4"/>
    <w:rsid w:val="00AA54B5"/>
    <w:rsid w:val="00AA5703"/>
    <w:rsid w:val="00AB3859"/>
    <w:rsid w:val="00AC1C62"/>
    <w:rsid w:val="00AC5EF5"/>
    <w:rsid w:val="00AD4712"/>
    <w:rsid w:val="00AE5DAB"/>
    <w:rsid w:val="00AE7F84"/>
    <w:rsid w:val="00AF272D"/>
    <w:rsid w:val="00AF33CD"/>
    <w:rsid w:val="00AF3409"/>
    <w:rsid w:val="00AF38EE"/>
    <w:rsid w:val="00AF4696"/>
    <w:rsid w:val="00AF4E8C"/>
    <w:rsid w:val="00AF5631"/>
    <w:rsid w:val="00B04A6D"/>
    <w:rsid w:val="00B100AC"/>
    <w:rsid w:val="00B1539D"/>
    <w:rsid w:val="00B20C9B"/>
    <w:rsid w:val="00B22209"/>
    <w:rsid w:val="00B31E97"/>
    <w:rsid w:val="00B347EE"/>
    <w:rsid w:val="00B35A94"/>
    <w:rsid w:val="00B43080"/>
    <w:rsid w:val="00B6137A"/>
    <w:rsid w:val="00B61A52"/>
    <w:rsid w:val="00B636AD"/>
    <w:rsid w:val="00B679EA"/>
    <w:rsid w:val="00B70B09"/>
    <w:rsid w:val="00B74F49"/>
    <w:rsid w:val="00B76FD3"/>
    <w:rsid w:val="00B77C1C"/>
    <w:rsid w:val="00B8251E"/>
    <w:rsid w:val="00B8596B"/>
    <w:rsid w:val="00B86E95"/>
    <w:rsid w:val="00B87280"/>
    <w:rsid w:val="00B909CB"/>
    <w:rsid w:val="00B90C92"/>
    <w:rsid w:val="00B9138A"/>
    <w:rsid w:val="00B915E0"/>
    <w:rsid w:val="00B92A9C"/>
    <w:rsid w:val="00B93A4C"/>
    <w:rsid w:val="00B94E62"/>
    <w:rsid w:val="00BA2158"/>
    <w:rsid w:val="00BA2DEA"/>
    <w:rsid w:val="00BA7B47"/>
    <w:rsid w:val="00BB04D4"/>
    <w:rsid w:val="00BB275A"/>
    <w:rsid w:val="00BB40B6"/>
    <w:rsid w:val="00BB41AC"/>
    <w:rsid w:val="00BC0693"/>
    <w:rsid w:val="00BC146D"/>
    <w:rsid w:val="00BC2707"/>
    <w:rsid w:val="00BC36E4"/>
    <w:rsid w:val="00BC3E7B"/>
    <w:rsid w:val="00BC42B5"/>
    <w:rsid w:val="00BD0F7D"/>
    <w:rsid w:val="00BD33F4"/>
    <w:rsid w:val="00BD3D62"/>
    <w:rsid w:val="00BD67DD"/>
    <w:rsid w:val="00BE0A33"/>
    <w:rsid w:val="00BE3884"/>
    <w:rsid w:val="00BE439A"/>
    <w:rsid w:val="00BE44B5"/>
    <w:rsid w:val="00BF24AE"/>
    <w:rsid w:val="00BF55D7"/>
    <w:rsid w:val="00BF5F55"/>
    <w:rsid w:val="00BF624F"/>
    <w:rsid w:val="00C0121C"/>
    <w:rsid w:val="00C01CF7"/>
    <w:rsid w:val="00C0427A"/>
    <w:rsid w:val="00C07A45"/>
    <w:rsid w:val="00C154C0"/>
    <w:rsid w:val="00C25BAE"/>
    <w:rsid w:val="00C25F68"/>
    <w:rsid w:val="00C26442"/>
    <w:rsid w:val="00C32A48"/>
    <w:rsid w:val="00C37C7B"/>
    <w:rsid w:val="00C37D43"/>
    <w:rsid w:val="00C431AA"/>
    <w:rsid w:val="00C4379A"/>
    <w:rsid w:val="00C46A54"/>
    <w:rsid w:val="00C51C26"/>
    <w:rsid w:val="00C61975"/>
    <w:rsid w:val="00C65791"/>
    <w:rsid w:val="00C80532"/>
    <w:rsid w:val="00C813A5"/>
    <w:rsid w:val="00C82CF0"/>
    <w:rsid w:val="00C84D86"/>
    <w:rsid w:val="00C915D1"/>
    <w:rsid w:val="00C95950"/>
    <w:rsid w:val="00C96246"/>
    <w:rsid w:val="00CA15AC"/>
    <w:rsid w:val="00CA1FCE"/>
    <w:rsid w:val="00CA2040"/>
    <w:rsid w:val="00CA2DCA"/>
    <w:rsid w:val="00CA30B4"/>
    <w:rsid w:val="00CA353A"/>
    <w:rsid w:val="00CA5D43"/>
    <w:rsid w:val="00CA6659"/>
    <w:rsid w:val="00CA7DFD"/>
    <w:rsid w:val="00CB1887"/>
    <w:rsid w:val="00CC75C3"/>
    <w:rsid w:val="00CD00E6"/>
    <w:rsid w:val="00CD75A4"/>
    <w:rsid w:val="00CD76FA"/>
    <w:rsid w:val="00CE0448"/>
    <w:rsid w:val="00CE387D"/>
    <w:rsid w:val="00CE5A78"/>
    <w:rsid w:val="00CE5D9E"/>
    <w:rsid w:val="00CF32BD"/>
    <w:rsid w:val="00CF7407"/>
    <w:rsid w:val="00D03CA1"/>
    <w:rsid w:val="00D048AE"/>
    <w:rsid w:val="00D078B8"/>
    <w:rsid w:val="00D14FCB"/>
    <w:rsid w:val="00D1557E"/>
    <w:rsid w:val="00D21B8A"/>
    <w:rsid w:val="00D236EA"/>
    <w:rsid w:val="00D2483E"/>
    <w:rsid w:val="00D31AA5"/>
    <w:rsid w:val="00D332B7"/>
    <w:rsid w:val="00D3521D"/>
    <w:rsid w:val="00D37410"/>
    <w:rsid w:val="00D378A7"/>
    <w:rsid w:val="00D40041"/>
    <w:rsid w:val="00D428EA"/>
    <w:rsid w:val="00D43E99"/>
    <w:rsid w:val="00D44198"/>
    <w:rsid w:val="00D44E5F"/>
    <w:rsid w:val="00D470B8"/>
    <w:rsid w:val="00D477BC"/>
    <w:rsid w:val="00D50F53"/>
    <w:rsid w:val="00D52025"/>
    <w:rsid w:val="00D5292D"/>
    <w:rsid w:val="00D54904"/>
    <w:rsid w:val="00D55330"/>
    <w:rsid w:val="00D57231"/>
    <w:rsid w:val="00D57E9D"/>
    <w:rsid w:val="00D705F0"/>
    <w:rsid w:val="00D713C8"/>
    <w:rsid w:val="00D72BF1"/>
    <w:rsid w:val="00D736F9"/>
    <w:rsid w:val="00D759A3"/>
    <w:rsid w:val="00D76CF4"/>
    <w:rsid w:val="00D80AC2"/>
    <w:rsid w:val="00D8719F"/>
    <w:rsid w:val="00D87C6D"/>
    <w:rsid w:val="00D91FAD"/>
    <w:rsid w:val="00D96120"/>
    <w:rsid w:val="00DA476A"/>
    <w:rsid w:val="00DA5FE6"/>
    <w:rsid w:val="00DB4DA4"/>
    <w:rsid w:val="00DB5F51"/>
    <w:rsid w:val="00DB7DE9"/>
    <w:rsid w:val="00DC2FD3"/>
    <w:rsid w:val="00DC5D0D"/>
    <w:rsid w:val="00DC6EE0"/>
    <w:rsid w:val="00DD6B3B"/>
    <w:rsid w:val="00DE0952"/>
    <w:rsid w:val="00DE13B4"/>
    <w:rsid w:val="00DE1C9A"/>
    <w:rsid w:val="00DE22AF"/>
    <w:rsid w:val="00DE4519"/>
    <w:rsid w:val="00DE5144"/>
    <w:rsid w:val="00DF0106"/>
    <w:rsid w:val="00DF6B5D"/>
    <w:rsid w:val="00E00C34"/>
    <w:rsid w:val="00E06EF8"/>
    <w:rsid w:val="00E07579"/>
    <w:rsid w:val="00E143FE"/>
    <w:rsid w:val="00E1682E"/>
    <w:rsid w:val="00E1706C"/>
    <w:rsid w:val="00E22F2C"/>
    <w:rsid w:val="00E239C2"/>
    <w:rsid w:val="00E326D9"/>
    <w:rsid w:val="00E356AF"/>
    <w:rsid w:val="00E37390"/>
    <w:rsid w:val="00E404A7"/>
    <w:rsid w:val="00E417A4"/>
    <w:rsid w:val="00E4274B"/>
    <w:rsid w:val="00E4643E"/>
    <w:rsid w:val="00E4771F"/>
    <w:rsid w:val="00E47D73"/>
    <w:rsid w:val="00E52A49"/>
    <w:rsid w:val="00E547ED"/>
    <w:rsid w:val="00E55502"/>
    <w:rsid w:val="00E57995"/>
    <w:rsid w:val="00E62BF7"/>
    <w:rsid w:val="00E646D2"/>
    <w:rsid w:val="00E6589F"/>
    <w:rsid w:val="00E7256C"/>
    <w:rsid w:val="00E72E45"/>
    <w:rsid w:val="00E86CA6"/>
    <w:rsid w:val="00E87430"/>
    <w:rsid w:val="00E94131"/>
    <w:rsid w:val="00E9675E"/>
    <w:rsid w:val="00EA056A"/>
    <w:rsid w:val="00EA0A4B"/>
    <w:rsid w:val="00EA1F69"/>
    <w:rsid w:val="00EA3672"/>
    <w:rsid w:val="00EA4A63"/>
    <w:rsid w:val="00EA51AD"/>
    <w:rsid w:val="00EB1AA2"/>
    <w:rsid w:val="00EB1ACF"/>
    <w:rsid w:val="00EC0CD6"/>
    <w:rsid w:val="00EC2350"/>
    <w:rsid w:val="00EC2937"/>
    <w:rsid w:val="00EC43CB"/>
    <w:rsid w:val="00ED3585"/>
    <w:rsid w:val="00ED6269"/>
    <w:rsid w:val="00EE3AB9"/>
    <w:rsid w:val="00EE6FC9"/>
    <w:rsid w:val="00EF1007"/>
    <w:rsid w:val="00EF4029"/>
    <w:rsid w:val="00EF43AE"/>
    <w:rsid w:val="00EF6C4C"/>
    <w:rsid w:val="00EF7833"/>
    <w:rsid w:val="00F07C36"/>
    <w:rsid w:val="00F1259E"/>
    <w:rsid w:val="00F12B30"/>
    <w:rsid w:val="00F139C4"/>
    <w:rsid w:val="00F1569E"/>
    <w:rsid w:val="00F21E7A"/>
    <w:rsid w:val="00F24549"/>
    <w:rsid w:val="00F255CB"/>
    <w:rsid w:val="00F32778"/>
    <w:rsid w:val="00F328DB"/>
    <w:rsid w:val="00F33000"/>
    <w:rsid w:val="00F34CF1"/>
    <w:rsid w:val="00F37B5C"/>
    <w:rsid w:val="00F400C1"/>
    <w:rsid w:val="00F50888"/>
    <w:rsid w:val="00F51AA5"/>
    <w:rsid w:val="00F53E5F"/>
    <w:rsid w:val="00F65F63"/>
    <w:rsid w:val="00F72103"/>
    <w:rsid w:val="00F724A9"/>
    <w:rsid w:val="00F73258"/>
    <w:rsid w:val="00F76D5B"/>
    <w:rsid w:val="00F806D9"/>
    <w:rsid w:val="00F853BC"/>
    <w:rsid w:val="00F90C1A"/>
    <w:rsid w:val="00F91D3A"/>
    <w:rsid w:val="00F97165"/>
    <w:rsid w:val="00FA0BD9"/>
    <w:rsid w:val="00FB0B0F"/>
    <w:rsid w:val="00FB4297"/>
    <w:rsid w:val="00FB5F55"/>
    <w:rsid w:val="00FB630C"/>
    <w:rsid w:val="00FB686C"/>
    <w:rsid w:val="00FB7487"/>
    <w:rsid w:val="00FC057E"/>
    <w:rsid w:val="00FC0B95"/>
    <w:rsid w:val="00FC0FA7"/>
    <w:rsid w:val="00FD5328"/>
    <w:rsid w:val="00FE126E"/>
    <w:rsid w:val="00FE58B1"/>
    <w:rsid w:val="00FE59F6"/>
    <w:rsid w:val="00FE6983"/>
    <w:rsid w:val="00FE6A97"/>
    <w:rsid w:val="00FF1691"/>
    <w:rsid w:val="00FF21E6"/>
    <w:rsid w:val="00FF7568"/>
    <w:rsid w:val="1EBD4768"/>
    <w:rsid w:val="1FB37F1A"/>
    <w:rsid w:val="23DE848D"/>
    <w:rsid w:val="2CFF4E00"/>
    <w:rsid w:val="3B789BD4"/>
    <w:rsid w:val="3EFA0B48"/>
    <w:rsid w:val="5B3F98C8"/>
    <w:rsid w:val="5FEB9D86"/>
    <w:rsid w:val="62E9CF5B"/>
    <w:rsid w:val="67F9A9B5"/>
    <w:rsid w:val="6E7E1FBB"/>
    <w:rsid w:val="753DBD43"/>
    <w:rsid w:val="77B6425E"/>
    <w:rsid w:val="77F2F969"/>
    <w:rsid w:val="7B7FACA9"/>
    <w:rsid w:val="7BCC9316"/>
    <w:rsid w:val="7BF790C7"/>
    <w:rsid w:val="7DFB197A"/>
    <w:rsid w:val="7FBB5C17"/>
    <w:rsid w:val="7FCF7E14"/>
    <w:rsid w:val="7FF5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93355F"/>
  <w15:docId w15:val="{630DD039-2BBA-5B45-A228-7FFEE4A5F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eastAsia="Times New Roman" w:cs="Times New Roman (正文 CS 字体)"/>
      <w:kern w:val="2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qFormat/>
    <w:pPr>
      <w:snapToGrid w:val="0"/>
      <w:jc w:val="left"/>
    </w:p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ndnoteReference">
    <w:name w:val="endnote reference"/>
    <w:basedOn w:val="DefaultParagraphFont"/>
    <w:uiPriority w:val="99"/>
    <w:semiHidden/>
    <w:unhideWhenUsed/>
    <w:qFormat/>
    <w:rPr>
      <w:vertAlign w:val="superscript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Hyperlink">
    <w:name w:val="Hyperlink"/>
    <w:basedOn w:val="DefaultParagraphFont"/>
    <w:uiPriority w:val="99"/>
    <w:unhideWhenUsed/>
    <w:qFormat/>
    <w:rPr>
      <w:color w:val="467886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cstheme="majorBidi"/>
      <w:b/>
      <w:bCs/>
      <w:color w:val="0F4761" w:themeColor="accent1" w:themeShade="B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cstheme="majorBidi"/>
      <w:b/>
      <w:bCs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cstheme="majorBidi"/>
      <w:color w:val="595959" w:themeColor="text1" w:themeTint="A6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595959" w:themeColor="text1" w:themeTint="A6"/>
      <w:sz w:val="24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rFonts w:ascii="Times New Roman" w:eastAsia="Times New Roman" w:hAnsi="Times New Roman" w:cs="Times New Roman (正文 CS 字体)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1">
    <w:name w:val="明显强调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rFonts w:ascii="Times New Roman" w:eastAsia="Times New Roman" w:hAnsi="Times New Roman" w:cs="Times New Roman (正文 CS 字体)"/>
      <w:i/>
      <w:iCs/>
      <w:color w:val="0F4761" w:themeColor="accent1" w:themeShade="BF"/>
      <w:sz w:val="24"/>
    </w:rPr>
  </w:style>
  <w:style w:type="character" w:customStyle="1" w:styleId="10">
    <w:name w:val="明显参考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0"/>
    <w:qFormat/>
    <w:pPr>
      <w:jc w:val="center"/>
    </w:pPr>
    <w:rPr>
      <w:rFonts w:cs="Times New Roman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Pr>
      <w:rFonts w:eastAsia="Times New Roman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0"/>
    <w:qFormat/>
    <w:rPr>
      <w:rFonts w:cs="Times New Roman"/>
    </w:rPr>
  </w:style>
  <w:style w:type="character" w:customStyle="1" w:styleId="EndNoteBibliography0">
    <w:name w:val="EndNote Bibliography 字符"/>
    <w:basedOn w:val="DefaultParagraphFont"/>
    <w:link w:val="EndNoteBibliography"/>
    <w:qFormat/>
    <w:rPr>
      <w:rFonts w:eastAsia="Times New Roman"/>
      <w:kern w:val="2"/>
      <w:sz w:val="24"/>
      <w:szCs w:val="24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 w:cs="Times New Roman (正文 CS 字体)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eastAsia="Times New Roman" w:hAnsi="Times New Roman" w:cs="Times New Roman (正文 CS 字体)"/>
      <w:sz w:val="18"/>
      <w:szCs w:val="18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Pr>
      <w:rFonts w:ascii="Times New Roman" w:eastAsia="Times New Roman" w:hAnsi="Times New Roman" w:cs="Times New Roman (正文 CS 字体)"/>
      <w:sz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ascii="Times New Roman" w:eastAsia="Times New Roman" w:hAnsi="Times New Roman" w:cs="Times New Roman (正文 CS 字体)"/>
      <w:sz w:val="18"/>
      <w:szCs w:val="18"/>
    </w:rPr>
  </w:style>
  <w:style w:type="character" w:customStyle="1" w:styleId="link">
    <w:name w:val="link"/>
    <w:basedOn w:val="DefaultParagraphFont"/>
    <w:qFormat/>
  </w:style>
  <w:style w:type="character" w:styleId="UnresolvedMention">
    <w:name w:val="Unresolved Mention"/>
    <w:basedOn w:val="DefaultParagraphFont"/>
    <w:uiPriority w:val="99"/>
    <w:semiHidden/>
    <w:unhideWhenUsed/>
    <w:rsid w:val="00887D46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3262E7"/>
  </w:style>
  <w:style w:type="paragraph" w:styleId="Caption">
    <w:name w:val="caption"/>
    <w:basedOn w:val="Normal"/>
    <w:next w:val="Normal"/>
    <w:uiPriority w:val="35"/>
    <w:unhideWhenUsed/>
    <w:qFormat/>
    <w:rsid w:val="00AA14DD"/>
    <w:rPr>
      <w:rFonts w:asciiTheme="majorHAnsi" w:eastAsia="SimHei" w:hAnsiTheme="majorHAnsi" w:cstheme="majorBidi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182A33"/>
  </w:style>
  <w:style w:type="character" w:styleId="PlaceholderText">
    <w:name w:val="Placeholder Text"/>
    <w:basedOn w:val="DefaultParagraphFont"/>
    <w:uiPriority w:val="99"/>
    <w:unhideWhenUsed/>
    <w:rsid w:val="00182A33"/>
    <w:rPr>
      <w:color w:val="666666"/>
    </w:rPr>
  </w:style>
  <w:style w:type="paragraph" w:customStyle="1" w:styleId="MDPI52figure">
    <w:name w:val="MDPI_5.2_figure"/>
    <w:qFormat/>
    <w:rsid w:val="001E4BCD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/>
      <w:snapToGrid w:val="0"/>
      <w:color w:val="000000"/>
      <w:kern w:val="2"/>
      <w:lang w:eastAsia="de-DE" w:bidi="en-US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8F1C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03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46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27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9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9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59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6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6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0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1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9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1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1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3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8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62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35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64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83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83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3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1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14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9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83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42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9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7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3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8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7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53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5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3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1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1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/APASixthEditionOfficeOnline.xsl" Version="6" StyleName="APA"/>
</file>

<file path=customXml/itemProps1.xml><?xml version="1.0" encoding="utf-8"?>
<ds:datastoreItem xmlns:ds="http://schemas.openxmlformats.org/officeDocument/2006/customXml" ds:itemID="{0A5D59A3-85A4-5842-A5E3-A88F6BDE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2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一奔 欧阳</dc:creator>
  <cp:keywords/>
  <dc:description/>
  <cp:lastModifiedBy>Savio Anthony Barretto</cp:lastModifiedBy>
  <cp:revision>30</cp:revision>
  <cp:lastPrinted>2025-06-27T14:34:00Z</cp:lastPrinted>
  <dcterms:created xsi:type="dcterms:W3CDTF">2025-06-27T14:34:00Z</dcterms:created>
  <dcterms:modified xsi:type="dcterms:W3CDTF">2025-07-15T07:55:00Z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2EB325A2738040CD7E0FCF67FBE824DA_43</vt:lpwstr>
  </property>
</Properties>
</file>