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6334" w14:textId="77777777" w:rsidR="004B678D" w:rsidRPr="004B678D" w:rsidRDefault="004B678D" w:rsidP="004B678D">
      <w:pPr>
        <w:jc w:val="center"/>
        <w:rPr>
          <w:rFonts w:ascii="Times New Roman" w:hAnsi="Times New Roman" w:cs="Times New Roman"/>
          <w:sz w:val="28"/>
          <w:szCs w:val="32"/>
        </w:rPr>
      </w:pPr>
      <w:r w:rsidRPr="004B678D">
        <w:rPr>
          <w:rFonts w:ascii="Times New Roman" w:hAnsi="Times New Roman" w:cs="Times New Roman" w:hint="eastAsia"/>
          <w:sz w:val="28"/>
          <w:szCs w:val="32"/>
        </w:rPr>
        <w:t>Supplemental Material</w:t>
      </w:r>
    </w:p>
    <w:p w14:paraId="0EFFE4C5" w14:textId="575A8718" w:rsidR="009D175C" w:rsidRDefault="004B678D" w:rsidP="004B678D">
      <w:pPr>
        <w:jc w:val="center"/>
        <w:rPr>
          <w:rFonts w:ascii="Times New Roman" w:hAnsi="Times New Roman" w:cs="Times New Roman"/>
          <w:i/>
          <w:iCs/>
          <w:sz w:val="28"/>
          <w:szCs w:val="32"/>
        </w:rPr>
      </w:pPr>
      <w:r w:rsidRPr="004B678D">
        <w:rPr>
          <w:rFonts w:ascii="Times New Roman" w:hAnsi="Times New Roman" w:cs="Times New Roman"/>
          <w:i/>
          <w:iCs/>
          <w:sz w:val="28"/>
          <w:szCs w:val="32"/>
        </w:rPr>
        <w:t>F</w:t>
      </w:r>
      <w:r w:rsidRPr="004B678D">
        <w:rPr>
          <w:rFonts w:ascii="Times New Roman" w:hAnsi="Times New Roman" w:cs="Times New Roman" w:hint="eastAsia"/>
          <w:i/>
          <w:iCs/>
          <w:sz w:val="28"/>
          <w:szCs w:val="32"/>
        </w:rPr>
        <w:t>or</w:t>
      </w:r>
    </w:p>
    <w:p w14:paraId="7B8B1C1B" w14:textId="77777777" w:rsidR="00D242F8" w:rsidRDefault="00D242F8" w:rsidP="00D242F8">
      <w:pPr>
        <w:rPr>
          <w:rFonts w:ascii="Times New Roman" w:hAnsi="Times New Roman" w:cs="Times New Roman"/>
          <w:i/>
          <w:iCs/>
          <w:sz w:val="28"/>
          <w:szCs w:val="32"/>
        </w:rPr>
      </w:pPr>
    </w:p>
    <w:p w14:paraId="06594207" w14:textId="77777777" w:rsidR="004B678D" w:rsidRDefault="004B678D" w:rsidP="004B678D">
      <w:pPr>
        <w:jc w:val="center"/>
        <w:rPr>
          <w:rFonts w:ascii="Times New Roman" w:hAnsi="Times New Roman" w:cs="Times New Roman"/>
          <w:i/>
          <w:iCs/>
          <w:sz w:val="28"/>
          <w:szCs w:val="32"/>
        </w:rPr>
      </w:pPr>
    </w:p>
    <w:p w14:paraId="1C4961BD" w14:textId="77777777" w:rsidR="004B678D" w:rsidRDefault="004B678D" w:rsidP="00D242F8">
      <w:pPr>
        <w:rPr>
          <w:rFonts w:ascii="Times New Roman" w:hAnsi="Times New Roman" w:cs="Times New Roman"/>
          <w:i/>
          <w:iCs/>
          <w:sz w:val="28"/>
          <w:szCs w:val="32"/>
        </w:rPr>
      </w:pPr>
    </w:p>
    <w:p w14:paraId="50CF8A9E" w14:textId="77777777" w:rsidR="004B678D" w:rsidRPr="004B678D" w:rsidRDefault="004B678D" w:rsidP="004B678D">
      <w:pPr>
        <w:jc w:val="center"/>
        <w:rPr>
          <w:rFonts w:ascii="Times New Roman" w:hAnsi="Times New Roman" w:cs="Times New Roman"/>
          <w:i/>
          <w:iCs/>
          <w:sz w:val="28"/>
          <w:szCs w:val="32"/>
        </w:rPr>
      </w:pPr>
    </w:p>
    <w:p w14:paraId="2F9AF1AF" w14:textId="60D03163" w:rsidR="004B678D" w:rsidRPr="004B678D" w:rsidRDefault="004B678D" w:rsidP="004B678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67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IL-1β</w:t>
      </w:r>
      <w:r w:rsidRPr="004B67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t>+</w:t>
      </w:r>
      <w:r w:rsidRPr="004B67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tumor-associated macrophages </w:t>
      </w:r>
      <w:r w:rsidRPr="004B678D">
        <w:rPr>
          <w:rFonts w:ascii="Times New Roman" w:eastAsia="微软雅黑" w:hAnsi="Times New Roman" w:cs="Times New Roman"/>
          <w:b/>
          <w:bCs/>
          <w:color w:val="000000" w:themeColor="text1"/>
          <w:sz w:val="28"/>
          <w:szCs w:val="28"/>
        </w:rPr>
        <w:t>accelerate</w:t>
      </w:r>
      <w:r w:rsidRPr="004B67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glioblastoma progression by amplifying the PGE2-EP4 signaling</w:t>
      </w:r>
    </w:p>
    <w:p w14:paraId="23555E76" w14:textId="63FAD506" w:rsidR="004B678D" w:rsidRDefault="004B678D" w:rsidP="004B678D">
      <w:pPr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B678D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Hao Liang,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4B678D">
        <w:rPr>
          <w:rFonts w:ascii="Times New Roman" w:hAnsi="Times New Roman" w:cs="Times New Roman" w:hint="eastAsia"/>
          <w:i/>
          <w:iCs/>
          <w:color w:val="000000" w:themeColor="text1"/>
          <w:sz w:val="28"/>
          <w:szCs w:val="28"/>
        </w:rPr>
        <w:t>et al.</w:t>
      </w:r>
    </w:p>
    <w:p w14:paraId="143A28EE" w14:textId="77777777" w:rsidR="004B678D" w:rsidRDefault="004B678D" w:rsidP="004B678D">
      <w:pPr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54E1416A" w14:textId="77777777" w:rsidR="004B678D" w:rsidRDefault="004B678D" w:rsidP="004B678D">
      <w:pPr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2D3C6F9D" w14:textId="77777777" w:rsidR="004B678D" w:rsidRDefault="004B678D" w:rsidP="004B678D">
      <w:pPr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06CADB91" w14:textId="77777777" w:rsidR="004B678D" w:rsidRDefault="004B678D" w:rsidP="004B678D">
      <w:pP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3790D398" w14:textId="0E253F76" w:rsidR="004B678D" w:rsidRPr="004B678D" w:rsidRDefault="00391FCB" w:rsidP="004B678D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8D">
        <w:rPr>
          <w:rFonts w:ascii="Times New Roman" w:hAnsi="Times New Roman" w:cs="Times New Roman"/>
          <w:color w:val="000000" w:themeColor="text1"/>
          <w:sz w:val="28"/>
          <w:szCs w:val="28"/>
        </w:rPr>
        <w:t>Corresponding</w:t>
      </w:r>
      <w:r w:rsidR="004B678D" w:rsidRPr="004B678D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authors:</w:t>
      </w:r>
    </w:p>
    <w:p w14:paraId="66BF84AB" w14:textId="4953C5C8" w:rsidR="004B678D" w:rsidRPr="004B678D" w:rsidRDefault="004B678D" w:rsidP="004B678D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8D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Yong Zhang, </w:t>
      </w:r>
      <w:hyperlink r:id="rId7" w:history="1">
        <w:r w:rsidRPr="004B678D">
          <w:rPr>
            <w:rStyle w:val="af3"/>
            <w:rFonts w:ascii="Times New Roman" w:hAnsi="Times New Roman" w:cs="Times New Roman" w:hint="eastAsia"/>
            <w:sz w:val="28"/>
            <w:szCs w:val="28"/>
          </w:rPr>
          <w:t>zhangyongsey@163.com</w:t>
        </w:r>
      </w:hyperlink>
    </w:p>
    <w:p w14:paraId="03642FB1" w14:textId="442AF712" w:rsidR="004B678D" w:rsidRDefault="004B678D" w:rsidP="004B678D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678D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Hui Peng, </w:t>
      </w:r>
      <w:hyperlink r:id="rId8" w:history="1">
        <w:r w:rsidRPr="008F5DFA">
          <w:rPr>
            <w:rStyle w:val="af3"/>
            <w:rFonts w:ascii="Times New Roman" w:hAnsi="Times New Roman" w:cs="Times New Roman" w:hint="eastAsia"/>
            <w:sz w:val="28"/>
            <w:szCs w:val="28"/>
          </w:rPr>
          <w:t>hpeng392@163.com</w:t>
        </w:r>
      </w:hyperlink>
    </w:p>
    <w:p w14:paraId="44E26E72" w14:textId="77777777" w:rsidR="004B678D" w:rsidRDefault="004B678D" w:rsidP="004B678D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1AB055" w14:textId="77777777" w:rsidR="004B678D" w:rsidRDefault="004B678D" w:rsidP="004B678D">
      <w:pPr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The PDF file includes:</w:t>
      </w:r>
    </w:p>
    <w:p w14:paraId="26ADC454" w14:textId="77777777" w:rsidR="004B678D" w:rsidRDefault="004B678D" w:rsidP="004B678D">
      <w:pPr>
        <w:ind w:firstLineChars="200" w:firstLine="56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Supplementary Figures 1-5</w:t>
      </w:r>
    </w:p>
    <w:p w14:paraId="69CCCE0B" w14:textId="527FBA16" w:rsidR="004B678D" w:rsidRDefault="004B678D" w:rsidP="004B678D">
      <w:pPr>
        <w:ind w:firstLineChars="200" w:firstLine="56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Supplementary </w:t>
      </w:r>
      <w:r w:rsidR="00D242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Table 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1CE2F28" w14:textId="230C8151" w:rsidR="004B678D" w:rsidRPr="004B678D" w:rsidRDefault="004B678D" w:rsidP="004B678D">
      <w:pPr>
        <w:jc w:val="left"/>
        <w:rPr>
          <w:rFonts w:ascii="Times New Roman" w:hAnsi="Times New Roman" w:cs="Times New Roman"/>
          <w:sz w:val="28"/>
          <w:szCs w:val="28"/>
        </w:rPr>
      </w:pPr>
      <w:r w:rsidRPr="004B678D">
        <w:rPr>
          <w:rFonts w:ascii="Times New Roman" w:hAnsi="Times New Roman" w:cs="Times New Roman" w:hint="eastAsia"/>
          <w:sz w:val="28"/>
          <w:szCs w:val="28"/>
        </w:rPr>
        <w:lastRenderedPageBreak/>
        <w:t>Fig.S1</w:t>
      </w:r>
    </w:p>
    <w:p w14:paraId="23538D57" w14:textId="6924AD10" w:rsidR="00DA5BC1" w:rsidRDefault="00525D27">
      <w:pPr>
        <w:rPr>
          <w:rFonts w:hint="eastAsia"/>
        </w:rPr>
      </w:pPr>
      <w:r>
        <w:rPr>
          <w:noProof/>
        </w:rPr>
        <w:drawing>
          <wp:inline distT="0" distB="0" distL="0" distR="0" wp14:anchorId="66099CB2" wp14:editId="5181B376">
            <wp:extent cx="5274310" cy="5478780"/>
            <wp:effectExtent l="0" t="0" r="2540" b="7620"/>
            <wp:docPr id="6354777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7BA8A" w14:textId="7416BE5A" w:rsidR="00C20AEF" w:rsidRPr="00DA1961" w:rsidRDefault="004B678D">
      <w:pPr>
        <w:rPr>
          <w:rFonts w:ascii="Times New Roman" w:hAnsi="Times New Roman" w:cs="Times New Roman"/>
          <w:b/>
          <w:bCs/>
        </w:rPr>
      </w:pPr>
      <w:bookmarkStart w:id="0" w:name="OLE_LINK2"/>
      <w:r>
        <w:rPr>
          <w:rFonts w:ascii="Times New Roman" w:hAnsi="Times New Roman" w:cs="Times New Roman" w:hint="eastAsia"/>
          <w:b/>
          <w:bCs/>
        </w:rPr>
        <w:t>Fig. S</w:t>
      </w:r>
      <w:r w:rsidR="00F40D0B" w:rsidRPr="005F0116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>.</w:t>
      </w:r>
      <w:bookmarkEnd w:id="0"/>
      <w:r w:rsidR="00F40D0B">
        <w:rPr>
          <w:rFonts w:ascii="Times New Roman" w:hAnsi="Times New Roman" w:cs="Times New Roman" w:hint="eastAsia"/>
          <w:b/>
          <w:bCs/>
        </w:rPr>
        <w:t xml:space="preserve"> </w:t>
      </w:r>
      <w:r w:rsidR="00F40D0B" w:rsidRPr="004B678D">
        <w:rPr>
          <w:rFonts w:ascii="Times New Roman" w:hAnsi="Times New Roman" w:cs="Times New Roman"/>
          <w:b/>
          <w:bCs/>
        </w:rPr>
        <w:t xml:space="preserve">Single-cell </w:t>
      </w:r>
      <w:r w:rsidR="00630A39" w:rsidRPr="004B678D">
        <w:rPr>
          <w:rFonts w:ascii="Times New Roman" w:hAnsi="Times New Roman" w:cs="Times New Roman" w:hint="eastAsia"/>
          <w:b/>
          <w:bCs/>
        </w:rPr>
        <w:t xml:space="preserve">RNA </w:t>
      </w:r>
      <w:r w:rsidR="00F40D0B" w:rsidRPr="004B678D">
        <w:rPr>
          <w:rFonts w:ascii="Times New Roman" w:hAnsi="Times New Roman" w:cs="Times New Roman"/>
          <w:b/>
          <w:bCs/>
        </w:rPr>
        <w:t>sequencing</w:t>
      </w:r>
      <w:r w:rsidR="00630A39" w:rsidRPr="004B678D">
        <w:rPr>
          <w:rFonts w:ascii="Times New Roman" w:hAnsi="Times New Roman" w:cs="Times New Roman" w:hint="eastAsia"/>
          <w:b/>
          <w:bCs/>
        </w:rPr>
        <w:t xml:space="preserve"> analysis</w:t>
      </w:r>
      <w:r w:rsidR="00F40D0B" w:rsidRPr="004B678D">
        <w:rPr>
          <w:rFonts w:ascii="Times New Roman" w:hAnsi="Times New Roman" w:cs="Times New Roman"/>
          <w:b/>
          <w:bCs/>
        </w:rPr>
        <w:t xml:space="preserve"> highlights differences in the microenvironment between normal human brain tissues and GBM patient tissues</w:t>
      </w:r>
      <w:r w:rsidR="00DA1961">
        <w:rPr>
          <w:rFonts w:ascii="Times New Roman" w:hAnsi="Times New Roman" w:cs="Times New Roman" w:hint="eastAsia"/>
          <w:b/>
          <w:bCs/>
        </w:rPr>
        <w:t xml:space="preserve">. </w:t>
      </w:r>
      <w:r w:rsidR="00525D27">
        <w:rPr>
          <w:rFonts w:ascii="Times New Roman" w:hAnsi="Times New Roman" w:cs="Times New Roman" w:hint="eastAsia"/>
          <w:b/>
          <w:bCs/>
        </w:rPr>
        <w:t>(A)</w:t>
      </w:r>
      <w:r w:rsidR="00F40D0B" w:rsidRPr="005F0116">
        <w:rPr>
          <w:rFonts w:ascii="Times New Roman" w:hAnsi="Times New Roman" w:cs="Times New Roman"/>
        </w:rPr>
        <w:t xml:space="preserve"> t-SNE plots from unsupervised clustering analysis of single-cell RNA sequencing data from normal brain tissues and GBM patient tissues. Colors and numbers represent different cell clusters. </w:t>
      </w:r>
      <w:r w:rsidR="00525D27" w:rsidRPr="00525D27">
        <w:rPr>
          <w:rFonts w:ascii="Times New Roman" w:hAnsi="Times New Roman" w:cs="Times New Roman" w:hint="eastAsia"/>
          <w:b/>
          <w:bCs/>
        </w:rPr>
        <w:t>(B)</w:t>
      </w:r>
      <w:r w:rsidR="00F40D0B" w:rsidRPr="00525D27">
        <w:rPr>
          <w:rFonts w:ascii="Times New Roman" w:hAnsi="Times New Roman" w:cs="Times New Roman"/>
          <w:b/>
          <w:bCs/>
        </w:rPr>
        <w:t xml:space="preserve"> </w:t>
      </w:r>
      <w:r w:rsidR="00F40D0B" w:rsidRPr="005F0116">
        <w:rPr>
          <w:rFonts w:ascii="Times New Roman" w:hAnsi="Times New Roman" w:cs="Times New Roman"/>
        </w:rPr>
        <w:t xml:space="preserve">Bubble plot showing marker gene expression for seven distinct cell types identified by single-cell sequencing. The size of the circles represents the percentage of cells expressing the gene, and the color intensity indicates the expression level of the gene within the cluster. </w:t>
      </w:r>
      <w:r w:rsidR="00525D27" w:rsidRPr="00525D27">
        <w:rPr>
          <w:rFonts w:ascii="Times New Roman" w:hAnsi="Times New Roman" w:cs="Times New Roman" w:hint="eastAsia"/>
          <w:b/>
          <w:bCs/>
        </w:rPr>
        <w:t>(</w:t>
      </w:r>
      <w:r w:rsidR="00F40D0B" w:rsidRPr="00525D27">
        <w:rPr>
          <w:rFonts w:ascii="Times New Roman" w:hAnsi="Times New Roman" w:cs="Times New Roman"/>
          <w:b/>
          <w:bCs/>
        </w:rPr>
        <w:t>C</w:t>
      </w:r>
      <w:r w:rsidR="00525D27" w:rsidRPr="00525D27">
        <w:rPr>
          <w:rFonts w:ascii="Times New Roman" w:hAnsi="Times New Roman" w:cs="Times New Roman" w:hint="eastAsia"/>
          <w:b/>
          <w:bCs/>
        </w:rPr>
        <w:t>)</w:t>
      </w:r>
      <w:r w:rsidR="00525D27">
        <w:rPr>
          <w:rFonts w:ascii="Times New Roman" w:hAnsi="Times New Roman" w:cs="Times New Roman" w:hint="eastAsia"/>
          <w:b/>
          <w:bCs/>
        </w:rPr>
        <w:t xml:space="preserve"> </w:t>
      </w:r>
      <w:r w:rsidR="00F40D0B" w:rsidRPr="005F0116">
        <w:rPr>
          <w:rFonts w:ascii="Times New Roman" w:hAnsi="Times New Roman" w:cs="Times New Roman"/>
        </w:rPr>
        <w:t>Heatmap of Gene Set Enrichment Analysis (GSEA) for hallmark pathways in six cell clusters from GBM patients (n=9). Colors represent the enrichment score of each pathway in different cell clusters.</w:t>
      </w:r>
      <w:r w:rsidR="007B5AC9">
        <w:rPr>
          <w:rFonts w:ascii="Times New Roman" w:hAnsi="Times New Roman" w:cs="Times New Roman" w:hint="eastAsia"/>
        </w:rPr>
        <w:t xml:space="preserve"> </w:t>
      </w:r>
      <w:r w:rsidR="00525D27">
        <w:rPr>
          <w:rFonts w:ascii="Times New Roman" w:hAnsi="Times New Roman" w:cs="Times New Roman" w:hint="eastAsia"/>
          <w:b/>
          <w:bCs/>
        </w:rPr>
        <w:t>(D-E)</w:t>
      </w:r>
      <w:r w:rsidR="007B5AC9" w:rsidRPr="007B5AC9">
        <w:rPr>
          <w:rFonts w:ascii="Segoe UI" w:hAnsi="Segoe UI" w:cs="Segoe UI"/>
          <w:shd w:val="clear" w:color="auto" w:fill="FFFFFF"/>
        </w:rPr>
        <w:t xml:space="preserve"> </w:t>
      </w:r>
      <w:r w:rsidR="007B5AC9" w:rsidRPr="007B5AC9">
        <w:rPr>
          <w:rFonts w:ascii="Times New Roman" w:hAnsi="Times New Roman" w:cs="Times New Roman"/>
        </w:rPr>
        <w:t>Expression distribution of CD68 in myeloid cell clusters from single-cell</w:t>
      </w:r>
      <w:r w:rsidR="00630A39">
        <w:rPr>
          <w:rFonts w:ascii="Times New Roman" w:hAnsi="Times New Roman" w:cs="Times New Roman" w:hint="eastAsia"/>
        </w:rPr>
        <w:t xml:space="preserve"> RNA </w:t>
      </w:r>
      <w:r w:rsidR="007B5AC9" w:rsidRPr="007B5AC9">
        <w:rPr>
          <w:rFonts w:ascii="Times New Roman" w:hAnsi="Times New Roman" w:cs="Times New Roman"/>
        </w:rPr>
        <w:t>sequencing data of GBM patients.</w:t>
      </w:r>
      <w:r w:rsidR="00C20AEF">
        <w:rPr>
          <w:rFonts w:ascii="Times New Roman" w:hAnsi="Times New Roman" w:cs="Times New Roman"/>
        </w:rPr>
        <w:br w:type="page"/>
      </w:r>
    </w:p>
    <w:p w14:paraId="177CC218" w14:textId="11E92DD3" w:rsidR="004B678D" w:rsidRPr="004B678D" w:rsidRDefault="004B678D" w:rsidP="004B678D">
      <w:pPr>
        <w:jc w:val="left"/>
        <w:rPr>
          <w:rFonts w:ascii="Times New Roman" w:hAnsi="Times New Roman" w:cs="Times New Roman"/>
          <w:sz w:val="28"/>
          <w:szCs w:val="28"/>
        </w:rPr>
      </w:pPr>
      <w:r w:rsidRPr="004B678D">
        <w:rPr>
          <w:rFonts w:ascii="Times New Roman" w:hAnsi="Times New Roman" w:cs="Times New Roman" w:hint="eastAsia"/>
          <w:sz w:val="28"/>
          <w:szCs w:val="28"/>
        </w:rPr>
        <w:lastRenderedPageBreak/>
        <w:t>Fig.S</w:t>
      </w:r>
      <w:r>
        <w:rPr>
          <w:rFonts w:ascii="Times New Roman" w:hAnsi="Times New Roman" w:cs="Times New Roman" w:hint="eastAsia"/>
          <w:sz w:val="28"/>
          <w:szCs w:val="28"/>
        </w:rPr>
        <w:t>2</w:t>
      </w:r>
    </w:p>
    <w:p w14:paraId="25447F61" w14:textId="3D9D4B9A" w:rsidR="00F40D0B" w:rsidRDefault="00337782">
      <w:pPr>
        <w:rPr>
          <w:rFonts w:hint="eastAsia"/>
        </w:rPr>
      </w:pPr>
      <w:r>
        <w:rPr>
          <w:noProof/>
        </w:rPr>
        <w:drawing>
          <wp:inline distT="0" distB="0" distL="0" distR="0" wp14:anchorId="4DD58299" wp14:editId="5DAEE3F9">
            <wp:extent cx="5274310" cy="3916680"/>
            <wp:effectExtent l="0" t="0" r="2540" b="7620"/>
            <wp:docPr id="586572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C726A" w14:textId="24858539" w:rsidR="00C20AEF" w:rsidRPr="00DA1961" w:rsidRDefault="004B678D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Fig. S2.</w:t>
      </w:r>
      <w:r w:rsidR="004D1D11">
        <w:rPr>
          <w:rFonts w:ascii="Times New Roman" w:hAnsi="Times New Roman" w:cs="Times New Roman" w:hint="eastAsia"/>
          <w:b/>
          <w:bCs/>
        </w:rPr>
        <w:t xml:space="preserve"> </w:t>
      </w:r>
      <w:r w:rsidR="000676DA" w:rsidRPr="000676DA">
        <w:rPr>
          <w:rFonts w:ascii="Times New Roman" w:hAnsi="Times New Roman" w:cs="Times New Roman"/>
          <w:b/>
          <w:bCs/>
        </w:rPr>
        <w:t>PGE</w:t>
      </w:r>
      <w:r w:rsidR="00337782">
        <w:rPr>
          <w:rFonts w:ascii="Times New Roman" w:hAnsi="Times New Roman" w:cs="Times New Roman" w:hint="eastAsia"/>
          <w:b/>
          <w:bCs/>
        </w:rPr>
        <w:t xml:space="preserve">2 </w:t>
      </w:r>
      <w:r w:rsidR="000676DA" w:rsidRPr="000676DA">
        <w:rPr>
          <w:rFonts w:ascii="Times New Roman" w:hAnsi="Times New Roman" w:cs="Times New Roman"/>
          <w:b/>
          <w:bCs/>
        </w:rPr>
        <w:t xml:space="preserve">and TNFα, not IL-1β secreted by GBM cells, collaboratively induce the IL-1β⁺ </w:t>
      </w:r>
      <w:r w:rsidR="00EE3E0E">
        <w:rPr>
          <w:rFonts w:ascii="Times New Roman" w:hAnsi="Times New Roman" w:cs="Times New Roman" w:hint="eastAsia"/>
          <w:b/>
          <w:bCs/>
        </w:rPr>
        <w:t>macrophage</w:t>
      </w:r>
      <w:r w:rsidR="000676DA" w:rsidRPr="000676DA">
        <w:rPr>
          <w:rFonts w:ascii="Times New Roman" w:hAnsi="Times New Roman" w:cs="Times New Roman"/>
          <w:b/>
          <w:bCs/>
        </w:rPr>
        <w:t xml:space="preserve"> phenotype</w:t>
      </w:r>
      <w:r w:rsidR="00DA1961">
        <w:rPr>
          <w:rFonts w:ascii="Times New Roman" w:hAnsi="Times New Roman" w:cs="Times New Roman" w:hint="eastAsia"/>
          <w:b/>
          <w:bCs/>
        </w:rPr>
        <w:t xml:space="preserve">. </w:t>
      </w:r>
      <w:r w:rsidR="00525D27">
        <w:rPr>
          <w:rFonts w:ascii="Times New Roman" w:hAnsi="Times New Roman" w:cs="Times New Roman" w:hint="eastAsia"/>
          <w:b/>
          <w:bCs/>
        </w:rPr>
        <w:t>(A)</w:t>
      </w:r>
      <w:r w:rsidR="004D1D11" w:rsidRPr="004B678D">
        <w:rPr>
          <w:rFonts w:ascii="Times New Roman" w:hAnsi="Times New Roman" w:cs="Times New Roman"/>
          <w:b/>
          <w:bCs/>
        </w:rPr>
        <w:t xml:space="preserve"> </w:t>
      </w:r>
      <w:r w:rsidR="00B979E2" w:rsidRPr="00A16BDE">
        <w:rPr>
          <w:rFonts w:ascii="Times New Roman" w:hAnsi="Times New Roman" w:cs="Times New Roman"/>
          <w:color w:val="000000" w:themeColor="text1"/>
        </w:rPr>
        <w:t xml:space="preserve">Workflow for collecting GCM from U251 cells treated with </w:t>
      </w:r>
      <w:r w:rsidR="00B979E2">
        <w:rPr>
          <w:rFonts w:ascii="Times New Roman" w:hAnsi="Times New Roman" w:cs="Times New Roman"/>
          <w:color w:val="000000" w:themeColor="text1"/>
        </w:rPr>
        <w:t xml:space="preserve">or without </w:t>
      </w:r>
      <w:r w:rsidR="00B979E2" w:rsidRPr="004D1D11">
        <w:rPr>
          <w:rFonts w:ascii="Times New Roman" w:hAnsi="Times New Roman" w:cs="Times New Roman"/>
        </w:rPr>
        <w:t>IL-1β stimulat</w:t>
      </w:r>
      <w:r w:rsidR="00B979E2">
        <w:rPr>
          <w:rFonts w:ascii="Times New Roman" w:hAnsi="Times New Roman" w:cs="Times New Roman" w:hint="eastAsia"/>
        </w:rPr>
        <w:t>ion</w:t>
      </w:r>
      <w:r w:rsidR="00B979E2" w:rsidRPr="00A16BDE">
        <w:rPr>
          <w:rFonts w:ascii="Times New Roman" w:hAnsi="Times New Roman" w:cs="Times New Roman"/>
          <w:color w:val="000000" w:themeColor="text1"/>
        </w:rPr>
        <w:t xml:space="preserve">. </w:t>
      </w:r>
      <w:r w:rsidR="00525D27">
        <w:rPr>
          <w:rFonts w:ascii="Times New Roman" w:hAnsi="Times New Roman" w:cs="Times New Roman" w:hint="eastAsia"/>
          <w:b/>
          <w:bCs/>
        </w:rPr>
        <w:t>(B)</w:t>
      </w:r>
      <w:r w:rsidR="004D1D11" w:rsidRPr="004D1D11">
        <w:rPr>
          <w:rFonts w:ascii="Times New Roman" w:hAnsi="Times New Roman" w:cs="Times New Roman"/>
        </w:rPr>
        <w:t xml:space="preserve"> ELISA was used to detect the expression level of IL-1β protein in tumor supernatants after U251 cells were stimulated with different concentrations of IL-1β. </w:t>
      </w:r>
      <w:r w:rsidR="00525D27">
        <w:rPr>
          <w:rFonts w:ascii="Times New Roman" w:hAnsi="Times New Roman" w:cs="Times New Roman" w:hint="eastAsia"/>
          <w:b/>
          <w:bCs/>
        </w:rPr>
        <w:t>(C)</w:t>
      </w:r>
      <w:r w:rsidR="004D1D11" w:rsidRPr="004B678D">
        <w:rPr>
          <w:rFonts w:ascii="Times New Roman" w:hAnsi="Times New Roman" w:cs="Times New Roman"/>
          <w:b/>
          <w:bCs/>
        </w:rPr>
        <w:t xml:space="preserve"> </w:t>
      </w:r>
      <w:r w:rsidR="004D1D11" w:rsidRPr="000676DA">
        <w:rPr>
          <w:rFonts w:ascii="Times New Roman" w:hAnsi="Times New Roman" w:cs="Times New Roman"/>
          <w:color w:val="000000" w:themeColor="text1"/>
        </w:rPr>
        <w:t xml:space="preserve">RT-PCR was performed to detect </w:t>
      </w:r>
      <w:r w:rsidR="00B979E2" w:rsidRPr="000676DA">
        <w:rPr>
          <w:rFonts w:ascii="Times New Roman" w:hAnsi="Times New Roman" w:cs="Times New Roman"/>
          <w:i/>
          <w:iCs/>
          <w:color w:val="000000" w:themeColor="text1"/>
        </w:rPr>
        <w:t>IL1B</w:t>
      </w:r>
      <w:r w:rsidR="00B979E2" w:rsidRPr="000676DA">
        <w:rPr>
          <w:rFonts w:ascii="Times New Roman" w:hAnsi="Times New Roman" w:cs="Times New Roman"/>
          <w:color w:val="000000" w:themeColor="text1"/>
        </w:rPr>
        <w:t xml:space="preserve"> expression </w:t>
      </w:r>
      <w:r w:rsidR="000676DA" w:rsidRPr="000676DA">
        <w:rPr>
          <w:rFonts w:ascii="Times New Roman" w:hAnsi="Times New Roman" w:cs="Times New Roman"/>
          <w:color w:val="000000" w:themeColor="text1"/>
          <w:sz w:val="22"/>
        </w:rPr>
        <w:t xml:space="preserve">in THP1 </w:t>
      </w:r>
      <w:r w:rsidR="000676DA" w:rsidRPr="000676DA">
        <w:rPr>
          <w:rFonts w:ascii="Times New Roman" w:hAnsi="Times New Roman" w:cs="Times New Roman"/>
          <w:color w:val="000000" w:themeColor="text1"/>
        </w:rPr>
        <w:t>Macs</w:t>
      </w:r>
      <w:r w:rsidR="000676DA" w:rsidRPr="000676DA">
        <w:rPr>
          <w:rFonts w:ascii="Times New Roman" w:hAnsi="Times New Roman" w:cs="Times New Roman"/>
          <w:color w:val="000000" w:themeColor="text1"/>
          <w:sz w:val="22"/>
        </w:rPr>
        <w:t xml:space="preserve"> treated with various concentrations of IL1β, and/or PGE2/TNFα for 24 hours</w:t>
      </w:r>
      <w:r w:rsidR="000676DA" w:rsidRPr="000676DA">
        <w:rPr>
          <w:rFonts w:ascii="Times New Roman" w:hAnsi="Times New Roman" w:cs="Times New Roman"/>
          <w:color w:val="000000" w:themeColor="text1"/>
        </w:rPr>
        <w:t xml:space="preserve"> </w:t>
      </w:r>
      <w:r w:rsidR="004D1D11" w:rsidRPr="000676DA"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="004D1D11" w:rsidRPr="000676DA">
        <w:rPr>
          <w:rFonts w:ascii="Times New Roman" w:hAnsi="Times New Roman" w:cs="Times New Roman"/>
          <w:color w:val="000000" w:themeColor="text1"/>
          <w:szCs w:val="21"/>
        </w:rPr>
        <w:t>Data are shown as the Mean ± SEM. *</w:t>
      </w:r>
      <w:r w:rsidR="004D1D11" w:rsidRPr="000676DA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="004D1D11" w:rsidRPr="000676DA">
        <w:rPr>
          <w:rFonts w:ascii="Times New Roman" w:hAnsi="Times New Roman" w:cs="Times New Roman"/>
          <w:color w:val="000000" w:themeColor="text1"/>
          <w:szCs w:val="21"/>
        </w:rPr>
        <w:t xml:space="preserve"> &lt; 0.05,***</w:t>
      </w:r>
      <w:r w:rsidR="004D1D11" w:rsidRPr="000676DA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="004D1D11" w:rsidRPr="000676DA">
        <w:rPr>
          <w:rFonts w:ascii="Times New Roman" w:hAnsi="Times New Roman" w:cs="Times New Roman"/>
          <w:color w:val="000000" w:themeColor="text1"/>
          <w:szCs w:val="21"/>
        </w:rPr>
        <w:t xml:space="preserve"> &lt; 0.001, ****</w:t>
      </w:r>
      <w:r w:rsidR="004D1D11" w:rsidRPr="000676DA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="004D1D11" w:rsidRPr="000676DA">
        <w:rPr>
          <w:rFonts w:ascii="Times New Roman" w:hAnsi="Times New Roman" w:cs="Times New Roman"/>
          <w:color w:val="000000" w:themeColor="text1"/>
          <w:szCs w:val="21"/>
        </w:rPr>
        <w:t xml:space="preserve"> &lt; 0.0001</w:t>
      </w:r>
      <w:r w:rsidR="004D1D11" w:rsidRPr="000676DA">
        <w:rPr>
          <w:rFonts w:ascii="Times New Roman" w:hAnsi="Times New Roman" w:cs="Times New Roman" w:hint="eastAsia"/>
          <w:color w:val="000000" w:themeColor="text1"/>
          <w:szCs w:val="21"/>
        </w:rPr>
        <w:t>).</w:t>
      </w:r>
    </w:p>
    <w:p w14:paraId="76E5C87A" w14:textId="52488A87" w:rsidR="00C20AEF" w:rsidRPr="000676DA" w:rsidRDefault="00C20AEF">
      <w:pPr>
        <w:rPr>
          <w:rFonts w:hint="eastAsia"/>
          <w:color w:val="000000" w:themeColor="text1"/>
        </w:rPr>
      </w:pPr>
      <w:r w:rsidRPr="000676DA">
        <w:rPr>
          <w:rFonts w:hint="eastAsia"/>
          <w:color w:val="000000" w:themeColor="text1"/>
        </w:rPr>
        <w:br w:type="page"/>
      </w:r>
    </w:p>
    <w:p w14:paraId="398FB16C" w14:textId="1AB3059A" w:rsidR="004B678D" w:rsidRPr="004B678D" w:rsidRDefault="004B678D" w:rsidP="004B678D">
      <w:pPr>
        <w:jc w:val="left"/>
        <w:rPr>
          <w:rFonts w:ascii="Times New Roman" w:hAnsi="Times New Roman" w:cs="Times New Roman"/>
          <w:sz w:val="28"/>
          <w:szCs w:val="28"/>
        </w:rPr>
      </w:pPr>
      <w:r w:rsidRPr="004B678D">
        <w:rPr>
          <w:rFonts w:ascii="Times New Roman" w:hAnsi="Times New Roman" w:cs="Times New Roman" w:hint="eastAsia"/>
          <w:sz w:val="28"/>
          <w:szCs w:val="28"/>
        </w:rPr>
        <w:lastRenderedPageBreak/>
        <w:t>Fig.S</w:t>
      </w:r>
      <w:r>
        <w:rPr>
          <w:rFonts w:ascii="Times New Roman" w:hAnsi="Times New Roman" w:cs="Times New Roman" w:hint="eastAsia"/>
          <w:sz w:val="28"/>
          <w:szCs w:val="28"/>
        </w:rPr>
        <w:t>3</w:t>
      </w:r>
    </w:p>
    <w:p w14:paraId="16A88EC0" w14:textId="7657F7ED" w:rsidR="00C20AEF" w:rsidRDefault="00C20AEF">
      <w:pPr>
        <w:rPr>
          <w:rFonts w:hint="eastAsia"/>
        </w:rPr>
      </w:pPr>
      <w:r>
        <w:rPr>
          <w:noProof/>
        </w:rPr>
        <w:drawing>
          <wp:inline distT="0" distB="0" distL="0" distR="0" wp14:anchorId="5FD8B672" wp14:editId="7437D3D4">
            <wp:extent cx="5274310" cy="7116445"/>
            <wp:effectExtent l="0" t="0" r="2540" b="8255"/>
            <wp:docPr id="471250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A86ED" w14:textId="251A42BC" w:rsidR="00C20AEF" w:rsidRPr="00A93628" w:rsidRDefault="004B678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</w:rPr>
        <w:t>Fig. S3.</w:t>
      </w:r>
      <w:r w:rsidR="004D1D11" w:rsidRPr="008617F2">
        <w:rPr>
          <w:rFonts w:ascii="Times New Roman" w:hAnsi="Times New Roman" w:cs="Times New Roman" w:hint="eastAsia"/>
        </w:rPr>
        <w:t xml:space="preserve"> </w:t>
      </w:r>
      <w:r w:rsidR="00A84294" w:rsidRPr="00A84294">
        <w:rPr>
          <w:rStyle w:val="af5"/>
          <w:rFonts w:ascii="Times New Roman" w:hAnsi="Times New Roman" w:cs="Times New Roman"/>
          <w:szCs w:val="21"/>
        </w:rPr>
        <w:t xml:space="preserve">Analysis of inflammasome-related gene expression </w:t>
      </w:r>
      <w:r w:rsidR="00B54AB8">
        <w:rPr>
          <w:rStyle w:val="af5"/>
          <w:rFonts w:ascii="Times New Roman" w:hAnsi="Times New Roman" w:cs="Times New Roman"/>
          <w:szCs w:val="21"/>
        </w:rPr>
        <w:t xml:space="preserve">in macrophages </w:t>
      </w:r>
      <w:r w:rsidR="00A84294">
        <w:rPr>
          <w:rStyle w:val="af5"/>
          <w:rFonts w:ascii="Times New Roman" w:hAnsi="Times New Roman" w:cs="Times New Roman"/>
          <w:szCs w:val="21"/>
        </w:rPr>
        <w:t>using</w:t>
      </w:r>
      <w:r w:rsidR="00A84294" w:rsidRPr="00A84294">
        <w:rPr>
          <w:rFonts w:ascii="Times New Roman" w:hAnsi="Times New Roman" w:cs="Times New Roman"/>
          <w:b/>
          <w:bCs/>
        </w:rPr>
        <w:t xml:space="preserve"> </w:t>
      </w:r>
      <w:r w:rsidR="00A84294" w:rsidRPr="004B678D">
        <w:rPr>
          <w:rFonts w:ascii="Times New Roman" w:hAnsi="Times New Roman" w:cs="Times New Roman"/>
          <w:b/>
          <w:bCs/>
        </w:rPr>
        <w:t>transcriptome</w:t>
      </w:r>
      <w:r w:rsidR="00A84294">
        <w:rPr>
          <w:rFonts w:ascii="Times New Roman" w:hAnsi="Times New Roman" w:cs="Times New Roman"/>
          <w:b/>
          <w:bCs/>
        </w:rPr>
        <w:t xml:space="preserve"> </w:t>
      </w:r>
      <w:r w:rsidR="00A84294" w:rsidRPr="004B678D">
        <w:rPr>
          <w:rFonts w:ascii="Times New Roman" w:hAnsi="Times New Roman" w:cs="Times New Roman"/>
          <w:b/>
          <w:bCs/>
        </w:rPr>
        <w:t>and</w:t>
      </w:r>
      <w:r w:rsidR="00A84294">
        <w:rPr>
          <w:rFonts w:ascii="Times New Roman" w:hAnsi="Times New Roman" w:cs="Times New Roman"/>
          <w:b/>
          <w:bCs/>
        </w:rPr>
        <w:t xml:space="preserve"> s</w:t>
      </w:r>
      <w:r w:rsidR="00A84294" w:rsidRPr="004B678D">
        <w:rPr>
          <w:rFonts w:ascii="Times New Roman" w:hAnsi="Times New Roman" w:cs="Times New Roman"/>
          <w:b/>
          <w:bCs/>
        </w:rPr>
        <w:t>ingle-cell sequencing</w:t>
      </w:r>
      <w:r w:rsidR="00A84294">
        <w:rPr>
          <w:rStyle w:val="af5"/>
          <w:rFonts w:ascii="Times New Roman" w:hAnsi="Times New Roman" w:cs="Times New Roman"/>
          <w:szCs w:val="21"/>
        </w:rPr>
        <w:t>.</w:t>
      </w:r>
      <w:r w:rsidR="00A84294" w:rsidRPr="00A84294">
        <w:rPr>
          <w:rStyle w:val="af5"/>
          <w:rFonts w:ascii="Times New Roman" w:hAnsi="Times New Roman" w:cs="Times New Roman"/>
          <w:szCs w:val="21"/>
        </w:rPr>
        <w:t xml:space="preserve"> </w:t>
      </w:r>
      <w:r w:rsidR="00A84294">
        <w:rPr>
          <w:rFonts w:ascii="Times New Roman" w:hAnsi="Times New Roman" w:cs="Times New Roman" w:hint="eastAsia"/>
          <w:b/>
          <w:bCs/>
        </w:rPr>
        <w:t>(A</w:t>
      </w:r>
      <w:r w:rsidR="00A84294">
        <w:rPr>
          <w:rFonts w:ascii="Times New Roman" w:hAnsi="Times New Roman" w:cs="Times New Roman"/>
          <w:b/>
          <w:bCs/>
        </w:rPr>
        <w:t>-B</w:t>
      </w:r>
      <w:r w:rsidR="00A84294">
        <w:rPr>
          <w:rFonts w:ascii="Times New Roman" w:hAnsi="Times New Roman" w:cs="Times New Roman" w:hint="eastAsia"/>
          <w:b/>
          <w:bCs/>
        </w:rPr>
        <w:t xml:space="preserve">) </w:t>
      </w:r>
      <w:r w:rsidR="00A84294" w:rsidRPr="00827225">
        <w:rPr>
          <w:rFonts w:ascii="Times New Roman" w:hAnsi="Times New Roman" w:cs="Times New Roman"/>
        </w:rPr>
        <w:t xml:space="preserve">Bulk RNA-seq analysis of THP1 </w:t>
      </w:r>
      <w:r w:rsidR="00827225">
        <w:rPr>
          <w:rFonts w:ascii="Times New Roman" w:hAnsi="Times New Roman" w:cs="Times New Roman"/>
        </w:rPr>
        <w:t>M</w:t>
      </w:r>
      <w:r w:rsidR="00A84294" w:rsidRPr="00827225">
        <w:rPr>
          <w:rFonts w:ascii="Times New Roman" w:hAnsi="Times New Roman" w:cs="Times New Roman"/>
        </w:rPr>
        <w:t>ac</w:t>
      </w:r>
      <w:r w:rsidR="00827225">
        <w:rPr>
          <w:rFonts w:ascii="Times New Roman" w:hAnsi="Times New Roman" w:cs="Times New Roman"/>
        </w:rPr>
        <w:t>s</w:t>
      </w:r>
      <w:r w:rsidR="00A84294" w:rsidRPr="00827225">
        <w:rPr>
          <w:rFonts w:ascii="Times New Roman" w:hAnsi="Times New Roman" w:cs="Times New Roman"/>
        </w:rPr>
        <w:t xml:space="preserve"> treated with GCM or PGE</w:t>
      </w:r>
      <w:r w:rsidR="00A93628">
        <w:rPr>
          <w:rFonts w:ascii="Times New Roman" w:hAnsi="Times New Roman" w:cs="Times New Roman" w:hint="eastAsia"/>
        </w:rPr>
        <w:t>2</w:t>
      </w:r>
      <w:r w:rsidR="00A84294" w:rsidRPr="00827225">
        <w:rPr>
          <w:rFonts w:ascii="Times New Roman" w:hAnsi="Times New Roman" w:cs="Times New Roman"/>
        </w:rPr>
        <w:t>/TNFα</w:t>
      </w:r>
      <w:r w:rsidR="00827225">
        <w:rPr>
          <w:rFonts w:ascii="Times New Roman" w:hAnsi="Times New Roman" w:cs="Times New Roman"/>
        </w:rPr>
        <w:t xml:space="preserve"> </w:t>
      </w:r>
      <w:r w:rsidR="00827225" w:rsidRPr="00827225">
        <w:rPr>
          <w:rFonts w:ascii="Times New Roman" w:hAnsi="Times New Roman" w:cs="Times New Roman"/>
        </w:rPr>
        <w:t xml:space="preserve">showed </w:t>
      </w:r>
      <w:r w:rsidR="00B54AB8">
        <w:rPr>
          <w:rFonts w:ascii="Times New Roman" w:hAnsi="Times New Roman" w:cs="Times New Roman"/>
        </w:rPr>
        <w:t xml:space="preserve">that </w:t>
      </w:r>
      <w:r w:rsidR="00827225" w:rsidRPr="00827225">
        <w:rPr>
          <w:rFonts w:ascii="Times New Roman" w:hAnsi="Times New Roman" w:cs="Times New Roman"/>
        </w:rPr>
        <w:t>CASP5 upregulation by GCM and CFLAR induction by GCM or PGE₂/TNFα</w:t>
      </w:r>
      <w:r w:rsidR="00827225">
        <w:rPr>
          <w:rFonts w:ascii="Times New Roman" w:hAnsi="Times New Roman" w:cs="Times New Roman"/>
        </w:rPr>
        <w:t>.</w:t>
      </w:r>
      <w:r w:rsidR="00827225" w:rsidRPr="00827225">
        <w:rPr>
          <w:rFonts w:ascii="Times New Roman" w:hAnsi="Times New Roman" w:cs="Times New Roman"/>
        </w:rPr>
        <w:t xml:space="preserve"> </w:t>
      </w:r>
      <w:r w:rsidR="00827225" w:rsidRPr="008617F2">
        <w:rPr>
          <w:rFonts w:ascii="Times New Roman" w:hAnsi="Times New Roman" w:cs="Times New Roman" w:hint="eastAsia"/>
          <w:szCs w:val="21"/>
        </w:rPr>
        <w:t>(</w:t>
      </w:r>
      <w:r w:rsidR="00827225" w:rsidRPr="008617F2">
        <w:rPr>
          <w:rFonts w:ascii="Times New Roman" w:hAnsi="Times New Roman" w:cs="Times New Roman"/>
          <w:szCs w:val="21"/>
        </w:rPr>
        <w:t>Data are shown as the Mean ± SEM. **</w:t>
      </w:r>
      <w:r w:rsidR="00827225" w:rsidRPr="008617F2">
        <w:rPr>
          <w:rFonts w:ascii="Times New Roman" w:hAnsi="Times New Roman" w:cs="Times New Roman"/>
          <w:i/>
          <w:iCs/>
          <w:szCs w:val="21"/>
        </w:rPr>
        <w:t>p</w:t>
      </w:r>
      <w:r w:rsidR="00827225" w:rsidRPr="008617F2">
        <w:rPr>
          <w:rFonts w:ascii="Times New Roman" w:hAnsi="Times New Roman" w:cs="Times New Roman"/>
          <w:szCs w:val="21"/>
        </w:rPr>
        <w:t xml:space="preserve"> &lt; 0.01,</w:t>
      </w:r>
      <w:r w:rsidR="00A77177">
        <w:rPr>
          <w:rFonts w:ascii="Times New Roman" w:hAnsi="Times New Roman" w:cs="Times New Roman" w:hint="eastAsia"/>
          <w:szCs w:val="21"/>
        </w:rPr>
        <w:t xml:space="preserve"> </w:t>
      </w:r>
      <w:r w:rsidR="00827225" w:rsidRPr="008617F2">
        <w:rPr>
          <w:rFonts w:ascii="Times New Roman" w:hAnsi="Times New Roman" w:cs="Times New Roman"/>
          <w:szCs w:val="21"/>
        </w:rPr>
        <w:t>****</w:t>
      </w:r>
      <w:r w:rsidR="00827225" w:rsidRPr="008617F2">
        <w:rPr>
          <w:rFonts w:ascii="Times New Roman" w:hAnsi="Times New Roman" w:cs="Times New Roman"/>
          <w:i/>
          <w:iCs/>
          <w:szCs w:val="21"/>
        </w:rPr>
        <w:t>p</w:t>
      </w:r>
      <w:r w:rsidR="00827225" w:rsidRPr="008617F2">
        <w:rPr>
          <w:rFonts w:ascii="Times New Roman" w:hAnsi="Times New Roman" w:cs="Times New Roman"/>
          <w:szCs w:val="21"/>
        </w:rPr>
        <w:t xml:space="preserve"> &lt; 0.0001</w:t>
      </w:r>
      <w:r w:rsidR="00827225" w:rsidRPr="008617F2">
        <w:rPr>
          <w:rFonts w:ascii="Times New Roman" w:hAnsi="Times New Roman" w:cs="Times New Roman" w:hint="eastAsia"/>
          <w:szCs w:val="21"/>
        </w:rPr>
        <w:t>).</w:t>
      </w:r>
      <w:r w:rsidR="00827225">
        <w:rPr>
          <w:rFonts w:ascii="Times New Roman" w:hAnsi="Times New Roman" w:cs="Times New Roman" w:hint="eastAsia"/>
          <w:b/>
          <w:bCs/>
        </w:rPr>
        <w:t xml:space="preserve"> </w:t>
      </w:r>
      <w:r w:rsidR="00A84294">
        <w:rPr>
          <w:rFonts w:ascii="Times New Roman" w:hAnsi="Times New Roman" w:cs="Times New Roman" w:hint="eastAsia"/>
          <w:b/>
          <w:bCs/>
        </w:rPr>
        <w:t>(C</w:t>
      </w:r>
      <w:r w:rsidR="00A9615B">
        <w:rPr>
          <w:rFonts w:ascii="Times New Roman" w:hAnsi="Times New Roman" w:cs="Times New Roman" w:hint="eastAsia"/>
          <w:b/>
          <w:bCs/>
        </w:rPr>
        <w:t>-H</w:t>
      </w:r>
      <w:r w:rsidR="00A84294">
        <w:rPr>
          <w:rFonts w:ascii="Times New Roman" w:hAnsi="Times New Roman" w:cs="Times New Roman" w:hint="eastAsia"/>
          <w:b/>
          <w:bCs/>
        </w:rPr>
        <w:t>)</w:t>
      </w:r>
      <w:r w:rsidR="00A84294" w:rsidRPr="008617F2">
        <w:rPr>
          <w:rFonts w:ascii="Times New Roman" w:hAnsi="Times New Roman" w:cs="Times New Roman"/>
        </w:rPr>
        <w:t xml:space="preserve"> </w:t>
      </w:r>
      <w:r w:rsidR="00A77177" w:rsidRPr="00A77177">
        <w:rPr>
          <w:rFonts w:ascii="Times New Roman" w:hAnsi="Times New Roman" w:cs="Times New Roman"/>
        </w:rPr>
        <w:t>Expression profiles of key inflammasome-related genes in myeloid cell populations from nine GBM patients.</w:t>
      </w:r>
    </w:p>
    <w:p w14:paraId="60EAAC46" w14:textId="1C0592B3" w:rsidR="004B678D" w:rsidRPr="004B678D" w:rsidRDefault="004B678D" w:rsidP="004B678D">
      <w:pPr>
        <w:jc w:val="left"/>
        <w:rPr>
          <w:rFonts w:ascii="Times New Roman" w:hAnsi="Times New Roman" w:cs="Times New Roman"/>
          <w:sz w:val="28"/>
          <w:szCs w:val="28"/>
        </w:rPr>
      </w:pPr>
      <w:r w:rsidRPr="004B678D">
        <w:rPr>
          <w:rFonts w:ascii="Times New Roman" w:hAnsi="Times New Roman" w:cs="Times New Roman" w:hint="eastAsia"/>
          <w:sz w:val="28"/>
          <w:szCs w:val="28"/>
        </w:rPr>
        <w:lastRenderedPageBreak/>
        <w:t>Fig.S</w:t>
      </w:r>
      <w:r>
        <w:rPr>
          <w:rFonts w:ascii="Times New Roman" w:hAnsi="Times New Roman" w:cs="Times New Roman" w:hint="eastAsia"/>
          <w:sz w:val="28"/>
          <w:szCs w:val="28"/>
        </w:rPr>
        <w:t>4</w:t>
      </w:r>
    </w:p>
    <w:p w14:paraId="23D339F7" w14:textId="18D278C5" w:rsidR="00C20AEF" w:rsidRDefault="00525D27">
      <w:pPr>
        <w:rPr>
          <w:rFonts w:hint="eastAsia"/>
        </w:rPr>
      </w:pPr>
      <w:r>
        <w:rPr>
          <w:noProof/>
        </w:rPr>
        <w:drawing>
          <wp:inline distT="0" distB="0" distL="0" distR="0" wp14:anchorId="6476906A" wp14:editId="3E8A0F82">
            <wp:extent cx="5274310" cy="2882265"/>
            <wp:effectExtent l="0" t="0" r="2540" b="0"/>
            <wp:docPr id="13226847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37883" w14:textId="176428F3" w:rsidR="00C20AEF" w:rsidRPr="005F1414" w:rsidRDefault="004B67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Fig. S4.</w:t>
      </w:r>
      <w:r w:rsidR="008617F2">
        <w:rPr>
          <w:rFonts w:ascii="Times New Roman" w:hAnsi="Times New Roman" w:cs="Times New Roman" w:hint="eastAsia"/>
          <w:b/>
          <w:bCs/>
        </w:rPr>
        <w:t xml:space="preserve"> </w:t>
      </w:r>
      <w:r w:rsidR="005F1414">
        <w:rPr>
          <w:rFonts w:ascii="Times New Roman" w:hAnsi="Times New Roman" w:cs="Times New Roman" w:hint="eastAsia"/>
          <w:b/>
          <w:bCs/>
        </w:rPr>
        <w:t xml:space="preserve"> </w:t>
      </w:r>
      <w:r w:rsidR="007B0755" w:rsidRPr="007B0755">
        <w:rPr>
          <w:rStyle w:val="af5"/>
          <w:rFonts w:ascii="Times New Roman" w:hAnsi="Times New Roman" w:cs="Times New Roman"/>
        </w:rPr>
        <w:t>Proliferation of U251 cells following PGE</w:t>
      </w:r>
      <w:r w:rsidR="00A93628">
        <w:rPr>
          <w:rStyle w:val="af5"/>
          <w:rFonts w:ascii="Times New Roman" w:hAnsi="Times New Roman" w:cs="Times New Roman" w:hint="eastAsia"/>
        </w:rPr>
        <w:t>2</w:t>
      </w:r>
      <w:r w:rsidR="007B0755" w:rsidRPr="007B0755">
        <w:rPr>
          <w:rStyle w:val="af5"/>
          <w:rFonts w:ascii="Times New Roman" w:hAnsi="Times New Roman" w:cs="Times New Roman"/>
        </w:rPr>
        <w:t>/TNFα or IL-1β stimulation at different time points.</w:t>
      </w:r>
      <w:r w:rsidR="00DA1961">
        <w:rPr>
          <w:rFonts w:ascii="Times New Roman" w:hAnsi="Times New Roman" w:cs="Times New Roman" w:hint="eastAsia"/>
        </w:rPr>
        <w:t xml:space="preserve"> </w:t>
      </w:r>
      <w:r w:rsidR="00AD3A26">
        <w:rPr>
          <w:rFonts w:ascii="Times New Roman" w:hAnsi="Times New Roman" w:cs="Times New Roman" w:hint="eastAsia"/>
          <w:b/>
          <w:bCs/>
        </w:rPr>
        <w:t>(A-C)</w:t>
      </w:r>
      <w:r w:rsidR="00AD3A26" w:rsidRPr="004B678D">
        <w:rPr>
          <w:rFonts w:ascii="Times New Roman" w:hAnsi="Times New Roman" w:cs="Times New Roman"/>
          <w:b/>
          <w:bCs/>
        </w:rPr>
        <w:t xml:space="preserve"> </w:t>
      </w:r>
      <w:r w:rsidR="007B0755" w:rsidRPr="007B0755">
        <w:rPr>
          <w:rFonts w:ascii="Times New Roman" w:hAnsi="Times New Roman" w:cs="Times New Roman"/>
        </w:rPr>
        <w:t xml:space="preserve">CCK-8 assay measuring U251 cell proliferation after stimulation with varying concentrations of PGE₂/TNFα for 24, 48, and 72 h.  </w:t>
      </w:r>
      <w:r w:rsidR="00AD3A26">
        <w:rPr>
          <w:rFonts w:ascii="Times New Roman" w:hAnsi="Times New Roman" w:cs="Times New Roman" w:hint="eastAsia"/>
          <w:b/>
          <w:bCs/>
        </w:rPr>
        <w:t>(D-F)</w:t>
      </w:r>
      <w:r w:rsidR="00AD3A26" w:rsidRPr="008617F2">
        <w:rPr>
          <w:rFonts w:ascii="Times New Roman" w:hAnsi="Times New Roman" w:cs="Times New Roman"/>
        </w:rPr>
        <w:t xml:space="preserve"> </w:t>
      </w:r>
      <w:r w:rsidR="007B0755" w:rsidRPr="007B0755">
        <w:rPr>
          <w:rFonts w:ascii="Times New Roman" w:hAnsi="Times New Roman" w:cs="Times New Roman"/>
        </w:rPr>
        <w:t>CCK-8 assay measuring U251 cell proliferation after stimulation with varying concentrations of IL-1β for 24, 48, and 72 h.</w:t>
      </w:r>
      <w:r w:rsidR="00C20AEF" w:rsidRPr="007B0755">
        <w:rPr>
          <w:rFonts w:ascii="Times New Roman" w:hAnsi="Times New Roman" w:cs="Times New Roman"/>
        </w:rPr>
        <w:br w:type="page"/>
      </w:r>
    </w:p>
    <w:p w14:paraId="1CD99B72" w14:textId="55BDA332" w:rsidR="004B678D" w:rsidRPr="004B678D" w:rsidRDefault="004B678D" w:rsidP="004B678D">
      <w:pPr>
        <w:jc w:val="left"/>
        <w:rPr>
          <w:rFonts w:ascii="Times New Roman" w:hAnsi="Times New Roman" w:cs="Times New Roman"/>
          <w:sz w:val="28"/>
          <w:szCs w:val="28"/>
        </w:rPr>
      </w:pPr>
      <w:r w:rsidRPr="004B678D">
        <w:rPr>
          <w:rFonts w:ascii="Times New Roman" w:hAnsi="Times New Roman" w:cs="Times New Roman" w:hint="eastAsia"/>
          <w:sz w:val="28"/>
          <w:szCs w:val="28"/>
        </w:rPr>
        <w:lastRenderedPageBreak/>
        <w:t>Fig.S</w:t>
      </w:r>
      <w:r>
        <w:rPr>
          <w:rFonts w:ascii="Times New Roman" w:hAnsi="Times New Roman" w:cs="Times New Roman" w:hint="eastAsia"/>
          <w:sz w:val="28"/>
          <w:szCs w:val="28"/>
        </w:rPr>
        <w:t>5</w:t>
      </w:r>
    </w:p>
    <w:p w14:paraId="07853928" w14:textId="29C63A43" w:rsidR="00C20AEF" w:rsidRDefault="006611CB">
      <w:pPr>
        <w:rPr>
          <w:rFonts w:hint="eastAsia"/>
        </w:rPr>
      </w:pPr>
      <w:r>
        <w:rPr>
          <w:noProof/>
        </w:rPr>
        <w:drawing>
          <wp:inline distT="0" distB="0" distL="0" distR="0" wp14:anchorId="1715304C" wp14:editId="4ACE0AF8">
            <wp:extent cx="5274310" cy="3108325"/>
            <wp:effectExtent l="0" t="0" r="2540" b="0"/>
            <wp:docPr id="55690255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66C05" w14:textId="1F95479B" w:rsidR="00480764" w:rsidRPr="006A49A4" w:rsidRDefault="00F610C6" w:rsidP="006A49A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b/>
          <w:bCs/>
        </w:rPr>
        <w:t>Fig. S5.</w:t>
      </w:r>
      <w:r w:rsidR="008617F2">
        <w:rPr>
          <w:rFonts w:ascii="Times New Roman" w:hAnsi="Times New Roman" w:cs="Times New Roman" w:hint="eastAsia"/>
          <w:b/>
          <w:bCs/>
        </w:rPr>
        <w:t xml:space="preserve"> </w:t>
      </w:r>
      <w:r w:rsidR="006611CB" w:rsidRPr="00F610C6">
        <w:rPr>
          <w:rFonts w:ascii="Times New Roman" w:hAnsi="Times New Roman" w:cs="Times New Roman"/>
          <w:b/>
          <w:bCs/>
        </w:rPr>
        <w:t xml:space="preserve">Effect of EP4 receptor antagonist (ONO-AE3-208) </w:t>
      </w:r>
      <w:r w:rsidR="006611CB" w:rsidRPr="006A49A4">
        <w:rPr>
          <w:rFonts w:ascii="Times New Roman" w:hAnsi="Times New Roman" w:cs="Times New Roman"/>
          <w:b/>
          <w:bCs/>
          <w:color w:val="000000" w:themeColor="text1"/>
        </w:rPr>
        <w:t xml:space="preserve">on </w:t>
      </w:r>
      <w:r w:rsidR="00480764" w:rsidRPr="006A49A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</w:rPr>
        <w:t>U251 cell proliferation and tumor progression.</w:t>
      </w:r>
      <w:r w:rsidR="00480764" w:rsidRPr="006A49A4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525D27" w:rsidRPr="006A49A4">
        <w:rPr>
          <w:rFonts w:ascii="Times New Roman" w:hAnsi="Times New Roman" w:cs="Times New Roman" w:hint="eastAsia"/>
          <w:b/>
          <w:bCs/>
          <w:color w:val="000000" w:themeColor="text1"/>
        </w:rPr>
        <w:t>(A-C)</w:t>
      </w:r>
      <w:r w:rsidR="006611CB" w:rsidRPr="006A49A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80764" w:rsidRP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The impact of various concentrations of ONO-AE3-208 on U251 cell proliferation was evaluated in vitro over multiple time points</w:t>
      </w:r>
      <w:r w:rsid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>.</w:t>
      </w:r>
      <w:r w:rsidR="00480764" w:rsidRP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</w:t>
      </w:r>
      <w:r w:rsidR="00480764" w:rsidRPr="006A49A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</w:rPr>
        <w:t>(D–F)</w:t>
      </w:r>
      <w:r w:rsidR="00480764" w:rsidRP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A subcutaneous xenograft model was created by injecting 5 × 10⁶ U251 cells into BALB/c nude mice. Once tumors reached ~100 mm³, mice were randomly divided into two groups: control (G) and treatment (GO). The treatment group received daily intraperitoneal injections of ONO-AE3-208 (10 mg/kg). Tumor volume was measured every two days using the formula: (length × width²)/2. </w:t>
      </w:r>
      <w:r w:rsidR="00480764" w:rsidRPr="006A49A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</w:rPr>
        <w:t>(D)</w:t>
      </w:r>
      <w:r w:rsidR="00480764" w:rsidRP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Tumor growth curves comparing treated mice (Group GO, n = 3) to untreated controls (Group G, n = 4). </w:t>
      </w:r>
      <w:r w:rsidR="00480764" w:rsidRPr="006A49A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</w:rPr>
        <w:t>(E)</w:t>
      </w:r>
      <w:r w:rsidR="00480764" w:rsidRP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Final tumor weights in both groups (n = 3–4). </w:t>
      </w:r>
      <w:r w:rsidR="00480764" w:rsidRPr="006A49A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2"/>
        </w:rPr>
        <w:t>(F)</w:t>
      </w:r>
      <w:r w:rsidR="00480764" w:rsidRPr="006A49A4">
        <w:rPr>
          <w:rFonts w:ascii="Times New Roman" w:eastAsia="Times New Roman" w:hAnsi="Times New Roman" w:cs="Times New Roman"/>
          <w:color w:val="000000" w:themeColor="text1"/>
          <w:kern w:val="0"/>
          <w:sz w:val="22"/>
        </w:rPr>
        <w:t xml:space="preserve"> Tumor images collected at the experimental endpoint.</w:t>
      </w:r>
    </w:p>
    <w:p w14:paraId="00B90BFD" w14:textId="620EA3A0" w:rsidR="004B678D" w:rsidRPr="006A49A4" w:rsidRDefault="004B678D">
      <w:pPr>
        <w:rPr>
          <w:rFonts w:ascii="Times New Roman" w:hAnsi="Times New Roman" w:cs="Times New Roman"/>
          <w:color w:val="000000" w:themeColor="text1"/>
        </w:rPr>
      </w:pPr>
      <w:r w:rsidRPr="006A49A4">
        <w:rPr>
          <w:rFonts w:ascii="Times New Roman" w:hAnsi="Times New Roman" w:cs="Times New Roman"/>
          <w:color w:val="000000" w:themeColor="text1"/>
        </w:rPr>
        <w:br w:type="page"/>
      </w:r>
    </w:p>
    <w:p w14:paraId="12067C3F" w14:textId="2F62CE43" w:rsidR="00C20AEF" w:rsidRPr="004B678D" w:rsidRDefault="004B678D" w:rsidP="004B67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175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 Primer list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4B678D" w:rsidRPr="009D175C" w14:paraId="2F21014B" w14:textId="77777777" w:rsidTr="00EE6A71">
        <w:tc>
          <w:tcPr>
            <w:tcW w:w="2689" w:type="dxa"/>
          </w:tcPr>
          <w:p w14:paraId="2F296FAE" w14:textId="77777777" w:rsidR="004B678D" w:rsidRPr="009D175C" w:rsidRDefault="004B678D" w:rsidP="00EE6A71">
            <w:pPr>
              <w:jc w:val="center"/>
              <w:rPr>
                <w:rFonts w:ascii="Times New Roman" w:eastAsia="黑体" w:hAnsi="Times New Roman" w:cs="Times New Roman"/>
                <w:b/>
                <w:bCs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07" w:type="dxa"/>
          </w:tcPr>
          <w:p w14:paraId="63AE41D9" w14:textId="77777777" w:rsidR="004B678D" w:rsidRPr="009D175C" w:rsidRDefault="004B678D" w:rsidP="00EE6A71">
            <w:pPr>
              <w:jc w:val="center"/>
              <w:rPr>
                <w:rFonts w:ascii="Times New Roman" w:eastAsia="黑体" w:hAnsi="Times New Roman" w:cs="Times New Roman"/>
                <w:b/>
                <w:bCs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b/>
                <w:bCs/>
                <w:sz w:val="24"/>
                <w:szCs w:val="24"/>
              </w:rPr>
              <w:t>Primer</w:t>
            </w:r>
          </w:p>
        </w:tc>
      </w:tr>
      <w:tr w:rsidR="004B678D" w:rsidRPr="009D175C" w14:paraId="7C90052A" w14:textId="77777777" w:rsidTr="00EE6A71">
        <w:tc>
          <w:tcPr>
            <w:tcW w:w="2689" w:type="dxa"/>
          </w:tcPr>
          <w:p w14:paraId="203B5D76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IL1B-F</w:t>
            </w:r>
          </w:p>
        </w:tc>
        <w:tc>
          <w:tcPr>
            <w:tcW w:w="5607" w:type="dxa"/>
          </w:tcPr>
          <w:p w14:paraId="207D28B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ATGATGGCTTATTACAGTGGCAA</w:t>
            </w:r>
          </w:p>
        </w:tc>
      </w:tr>
      <w:tr w:rsidR="004B678D" w:rsidRPr="009D175C" w14:paraId="71FD675E" w14:textId="77777777" w:rsidTr="00EE6A71">
        <w:tc>
          <w:tcPr>
            <w:tcW w:w="2689" w:type="dxa"/>
          </w:tcPr>
          <w:p w14:paraId="3C2312CC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IL1B-R</w:t>
            </w:r>
          </w:p>
        </w:tc>
        <w:tc>
          <w:tcPr>
            <w:tcW w:w="5607" w:type="dxa"/>
          </w:tcPr>
          <w:p w14:paraId="2894DD60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GTCGGAGATTCGTAGCTGGA</w:t>
            </w:r>
          </w:p>
        </w:tc>
      </w:tr>
      <w:tr w:rsidR="004B678D" w:rsidRPr="009D175C" w14:paraId="32B4CDED" w14:textId="77777777" w:rsidTr="00EE6A71">
        <w:tc>
          <w:tcPr>
            <w:tcW w:w="2689" w:type="dxa"/>
          </w:tcPr>
          <w:p w14:paraId="21736388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PTGS2-F</w:t>
            </w:r>
          </w:p>
        </w:tc>
        <w:tc>
          <w:tcPr>
            <w:tcW w:w="5607" w:type="dxa"/>
          </w:tcPr>
          <w:p w14:paraId="62BE1EE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CTGGCGCTCAGCCATACAG</w:t>
            </w:r>
          </w:p>
        </w:tc>
      </w:tr>
      <w:tr w:rsidR="004B678D" w:rsidRPr="009D175C" w14:paraId="65199FEE" w14:textId="77777777" w:rsidTr="00EE6A71">
        <w:tc>
          <w:tcPr>
            <w:tcW w:w="2689" w:type="dxa"/>
          </w:tcPr>
          <w:p w14:paraId="5D4CCB8C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PTGS</w:t>
            </w: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2</w:t>
            </w: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5607" w:type="dxa"/>
          </w:tcPr>
          <w:p w14:paraId="66299A84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CGCACTTATACTGGTCAAATCCC</w:t>
            </w:r>
          </w:p>
        </w:tc>
      </w:tr>
      <w:tr w:rsidR="004B678D" w:rsidRPr="009D175C" w14:paraId="35BF776A" w14:textId="77777777" w:rsidTr="00EE6A71">
        <w:tc>
          <w:tcPr>
            <w:tcW w:w="2689" w:type="dxa"/>
            <w:vAlign w:val="center"/>
          </w:tcPr>
          <w:p w14:paraId="23194F78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Human TNFA-F</w:t>
            </w:r>
          </w:p>
        </w:tc>
        <w:tc>
          <w:tcPr>
            <w:tcW w:w="5607" w:type="dxa"/>
            <w:vAlign w:val="bottom"/>
          </w:tcPr>
          <w:p w14:paraId="1D0A788D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CTCTTCTGCCTGCTGCACTTTG</w:t>
            </w:r>
          </w:p>
        </w:tc>
      </w:tr>
      <w:tr w:rsidR="004B678D" w:rsidRPr="009D175C" w14:paraId="43000018" w14:textId="77777777" w:rsidTr="00EE6A71">
        <w:tc>
          <w:tcPr>
            <w:tcW w:w="2689" w:type="dxa"/>
            <w:vAlign w:val="center"/>
          </w:tcPr>
          <w:p w14:paraId="0D54EE36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color w:val="000000"/>
                <w:sz w:val="24"/>
                <w:szCs w:val="24"/>
              </w:rPr>
              <w:t>Human TNFA-R</w:t>
            </w:r>
          </w:p>
        </w:tc>
        <w:tc>
          <w:tcPr>
            <w:tcW w:w="5607" w:type="dxa"/>
            <w:vAlign w:val="bottom"/>
          </w:tcPr>
          <w:p w14:paraId="0E4332C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ATGGGCTACAGGCTTGTCACTC</w:t>
            </w:r>
          </w:p>
        </w:tc>
      </w:tr>
      <w:tr w:rsidR="004B678D" w:rsidRPr="009D175C" w14:paraId="516C6BE3" w14:textId="77777777" w:rsidTr="00EE6A71">
        <w:tc>
          <w:tcPr>
            <w:tcW w:w="2689" w:type="dxa"/>
            <w:vAlign w:val="center"/>
          </w:tcPr>
          <w:p w14:paraId="72105F9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PTGER1-F</w:t>
            </w:r>
          </w:p>
        </w:tc>
        <w:tc>
          <w:tcPr>
            <w:tcW w:w="5607" w:type="dxa"/>
            <w:vAlign w:val="bottom"/>
          </w:tcPr>
          <w:p w14:paraId="79306A56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AGCTTGTCGGTATCATGGTGG</w:t>
            </w:r>
          </w:p>
        </w:tc>
      </w:tr>
      <w:tr w:rsidR="004B678D" w:rsidRPr="009D175C" w14:paraId="1B6BA228" w14:textId="77777777" w:rsidTr="00EE6A71">
        <w:tc>
          <w:tcPr>
            <w:tcW w:w="2689" w:type="dxa"/>
            <w:vAlign w:val="center"/>
          </w:tcPr>
          <w:p w14:paraId="4773CD0A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PTGER1-R</w:t>
            </w:r>
          </w:p>
        </w:tc>
        <w:tc>
          <w:tcPr>
            <w:tcW w:w="5607" w:type="dxa"/>
            <w:vAlign w:val="bottom"/>
          </w:tcPr>
          <w:p w14:paraId="408DCFDA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AAGAGGCGAAGCAGTTGGC</w:t>
            </w:r>
          </w:p>
        </w:tc>
      </w:tr>
      <w:tr w:rsidR="004B678D" w:rsidRPr="009D175C" w14:paraId="5F6E6091" w14:textId="77777777" w:rsidTr="00EE6A71">
        <w:tc>
          <w:tcPr>
            <w:tcW w:w="2689" w:type="dxa"/>
            <w:vAlign w:val="center"/>
          </w:tcPr>
          <w:p w14:paraId="0B38A8B5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PTGER2-F</w:t>
            </w:r>
          </w:p>
        </w:tc>
        <w:tc>
          <w:tcPr>
            <w:tcW w:w="5607" w:type="dxa"/>
            <w:vAlign w:val="bottom"/>
          </w:tcPr>
          <w:p w14:paraId="17ACE8DF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CGATGCTCATGCTCTTCGC</w:t>
            </w:r>
          </w:p>
        </w:tc>
      </w:tr>
      <w:tr w:rsidR="004B678D" w:rsidRPr="009D175C" w14:paraId="43E12406" w14:textId="77777777" w:rsidTr="00EE6A71">
        <w:tc>
          <w:tcPr>
            <w:tcW w:w="2689" w:type="dxa"/>
            <w:vAlign w:val="center"/>
          </w:tcPr>
          <w:p w14:paraId="287B854D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PTGER2-R</w:t>
            </w:r>
          </w:p>
        </w:tc>
        <w:tc>
          <w:tcPr>
            <w:tcW w:w="5607" w:type="dxa"/>
            <w:vAlign w:val="bottom"/>
          </w:tcPr>
          <w:p w14:paraId="25B5A0A8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GGGAGACTGCATAGATGACAGG</w:t>
            </w:r>
          </w:p>
        </w:tc>
      </w:tr>
      <w:tr w:rsidR="004B678D" w:rsidRPr="009D175C" w14:paraId="106A4E41" w14:textId="77777777" w:rsidTr="00EE6A71">
        <w:tc>
          <w:tcPr>
            <w:tcW w:w="2689" w:type="dxa"/>
            <w:vAlign w:val="center"/>
          </w:tcPr>
          <w:p w14:paraId="2F2FCF9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PTGER3-F</w:t>
            </w:r>
          </w:p>
        </w:tc>
        <w:tc>
          <w:tcPr>
            <w:tcW w:w="5607" w:type="dxa"/>
            <w:vAlign w:val="bottom"/>
          </w:tcPr>
          <w:p w14:paraId="583BFD1E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CGCCTCAACCACTCCTACAC</w:t>
            </w:r>
          </w:p>
        </w:tc>
      </w:tr>
      <w:tr w:rsidR="004B678D" w:rsidRPr="009D175C" w14:paraId="5D2B7E27" w14:textId="77777777" w:rsidTr="00EE6A71">
        <w:tc>
          <w:tcPr>
            <w:tcW w:w="2689" w:type="dxa"/>
            <w:vAlign w:val="center"/>
          </w:tcPr>
          <w:p w14:paraId="5948CBBC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PTGER3-R</w:t>
            </w:r>
          </w:p>
        </w:tc>
        <w:tc>
          <w:tcPr>
            <w:tcW w:w="5607" w:type="dxa"/>
            <w:vAlign w:val="bottom"/>
          </w:tcPr>
          <w:p w14:paraId="58BCC702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GACACCGATCCGCAATCCTC</w:t>
            </w:r>
          </w:p>
        </w:tc>
      </w:tr>
      <w:tr w:rsidR="004B678D" w:rsidRPr="009D175C" w14:paraId="29575D80" w14:textId="77777777" w:rsidTr="00EE6A71">
        <w:tc>
          <w:tcPr>
            <w:tcW w:w="2689" w:type="dxa"/>
            <w:vAlign w:val="center"/>
          </w:tcPr>
          <w:p w14:paraId="6893839E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PTGER4-F</w:t>
            </w:r>
          </w:p>
        </w:tc>
        <w:tc>
          <w:tcPr>
            <w:tcW w:w="5607" w:type="dxa"/>
            <w:vAlign w:val="bottom"/>
          </w:tcPr>
          <w:p w14:paraId="7E2D425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CCGGCGGTGATGTTCATCTT</w:t>
            </w:r>
          </w:p>
        </w:tc>
      </w:tr>
      <w:tr w:rsidR="004B678D" w:rsidRPr="009D175C" w14:paraId="634A095A" w14:textId="77777777" w:rsidTr="00EE6A71">
        <w:tc>
          <w:tcPr>
            <w:tcW w:w="2689" w:type="dxa"/>
            <w:vAlign w:val="center"/>
          </w:tcPr>
          <w:p w14:paraId="17AAB312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PTGER4-R</w:t>
            </w:r>
          </w:p>
        </w:tc>
        <w:tc>
          <w:tcPr>
            <w:tcW w:w="5607" w:type="dxa"/>
            <w:vAlign w:val="bottom"/>
          </w:tcPr>
          <w:p w14:paraId="0AA47C87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CCCACATACCAGCGTGTAGAA</w:t>
            </w:r>
          </w:p>
        </w:tc>
      </w:tr>
      <w:tr w:rsidR="004B678D" w:rsidRPr="009D175C" w14:paraId="56FC1058" w14:textId="77777777" w:rsidTr="00EE6A71">
        <w:tc>
          <w:tcPr>
            <w:tcW w:w="2689" w:type="dxa"/>
            <w:vAlign w:val="center"/>
          </w:tcPr>
          <w:p w14:paraId="2A55B862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IL6-F</w:t>
            </w:r>
          </w:p>
        </w:tc>
        <w:tc>
          <w:tcPr>
            <w:tcW w:w="5607" w:type="dxa"/>
            <w:vAlign w:val="center"/>
          </w:tcPr>
          <w:p w14:paraId="358F56A7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ACTCACCTCTTCAGAACGAATTG</w:t>
            </w:r>
          </w:p>
        </w:tc>
      </w:tr>
      <w:tr w:rsidR="004B678D" w:rsidRPr="009D175C" w14:paraId="4EBE2DD1" w14:textId="77777777" w:rsidTr="00EE6A71">
        <w:tc>
          <w:tcPr>
            <w:tcW w:w="2689" w:type="dxa"/>
            <w:vAlign w:val="center"/>
          </w:tcPr>
          <w:p w14:paraId="1F0BEB58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IL6-R</w:t>
            </w:r>
          </w:p>
        </w:tc>
        <w:tc>
          <w:tcPr>
            <w:tcW w:w="5607" w:type="dxa"/>
            <w:vAlign w:val="center"/>
          </w:tcPr>
          <w:p w14:paraId="27504D9C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CCATCTTTGGAAGGTTCAGGTTG</w:t>
            </w:r>
          </w:p>
        </w:tc>
      </w:tr>
      <w:tr w:rsidR="004B678D" w:rsidRPr="009D175C" w14:paraId="1673C5D4" w14:textId="77777777" w:rsidTr="00EE6A71">
        <w:tc>
          <w:tcPr>
            <w:tcW w:w="2689" w:type="dxa"/>
            <w:vAlign w:val="center"/>
          </w:tcPr>
          <w:p w14:paraId="70F08416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CSF3-F</w:t>
            </w:r>
          </w:p>
        </w:tc>
        <w:tc>
          <w:tcPr>
            <w:tcW w:w="5607" w:type="dxa"/>
            <w:vAlign w:val="center"/>
          </w:tcPr>
          <w:p w14:paraId="5608460A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GCTGCTTGAGCCAACTCCATA</w:t>
            </w:r>
          </w:p>
        </w:tc>
      </w:tr>
      <w:tr w:rsidR="004B678D" w:rsidRPr="009D175C" w14:paraId="0672C495" w14:textId="77777777" w:rsidTr="00EE6A71">
        <w:tc>
          <w:tcPr>
            <w:tcW w:w="2689" w:type="dxa"/>
            <w:vAlign w:val="center"/>
          </w:tcPr>
          <w:p w14:paraId="7279017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Human CSF3-R</w:t>
            </w:r>
          </w:p>
        </w:tc>
        <w:tc>
          <w:tcPr>
            <w:tcW w:w="5607" w:type="dxa"/>
            <w:vAlign w:val="center"/>
          </w:tcPr>
          <w:p w14:paraId="273A6649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GAACGCGGTACGACACCTC</w:t>
            </w:r>
          </w:p>
        </w:tc>
      </w:tr>
      <w:tr w:rsidR="004B678D" w:rsidRPr="009D175C" w14:paraId="6C949FF0" w14:textId="77777777" w:rsidTr="00EE6A71">
        <w:tc>
          <w:tcPr>
            <w:tcW w:w="2689" w:type="dxa"/>
            <w:vAlign w:val="center"/>
          </w:tcPr>
          <w:p w14:paraId="7BEC353B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Human </w:t>
            </w: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CEBPB</w:t>
            </w: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F</w:t>
            </w:r>
          </w:p>
        </w:tc>
        <w:tc>
          <w:tcPr>
            <w:tcW w:w="5607" w:type="dxa"/>
            <w:vAlign w:val="center"/>
          </w:tcPr>
          <w:p w14:paraId="2FC325F9" w14:textId="77777777" w:rsidR="004B678D" w:rsidRPr="009D175C" w:rsidRDefault="004B678D" w:rsidP="00EE6A71">
            <w:pPr>
              <w:widowControl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AGAAGACCGTGGACAAGCACAG</w:t>
            </w:r>
          </w:p>
        </w:tc>
      </w:tr>
      <w:tr w:rsidR="004B678D" w:rsidRPr="009D175C" w14:paraId="6A8710A7" w14:textId="77777777" w:rsidTr="00EE6A71">
        <w:tc>
          <w:tcPr>
            <w:tcW w:w="2689" w:type="dxa"/>
            <w:vAlign w:val="center"/>
          </w:tcPr>
          <w:p w14:paraId="1CC8BC44" w14:textId="77777777" w:rsidR="004B678D" w:rsidRPr="009D175C" w:rsidRDefault="004B678D" w:rsidP="00EE6A71">
            <w:pPr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 xml:space="preserve">Human </w:t>
            </w:r>
            <w:r>
              <w:rPr>
                <w:rFonts w:ascii="Times New Roman" w:eastAsia="黑体" w:hAnsi="Times New Roman" w:cs="Times New Roman" w:hint="eastAsia"/>
                <w:sz w:val="24"/>
                <w:szCs w:val="24"/>
              </w:rPr>
              <w:t>CEBPB</w:t>
            </w: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5607" w:type="dxa"/>
            <w:vAlign w:val="center"/>
          </w:tcPr>
          <w:p w14:paraId="5BEB3CC4" w14:textId="77777777" w:rsidR="004B678D" w:rsidRPr="009D175C" w:rsidRDefault="004B678D" w:rsidP="00EE6A71">
            <w:pPr>
              <w:widowControl/>
              <w:jc w:val="left"/>
              <w:rPr>
                <w:rFonts w:ascii="Times New Roman" w:eastAsia="黑体" w:hAnsi="Times New Roman" w:cs="Times New Roman"/>
                <w:sz w:val="24"/>
                <w:szCs w:val="24"/>
              </w:rPr>
            </w:pPr>
            <w:r w:rsidRPr="009D175C">
              <w:rPr>
                <w:rFonts w:ascii="Times New Roman" w:eastAsia="黑体" w:hAnsi="Times New Roman" w:cs="Times New Roman"/>
                <w:sz w:val="24"/>
                <w:szCs w:val="24"/>
              </w:rPr>
              <w:t>CTCCAGGACCTTGTGCTGCGT</w:t>
            </w:r>
          </w:p>
        </w:tc>
      </w:tr>
    </w:tbl>
    <w:p w14:paraId="18772DEC" w14:textId="77777777" w:rsidR="004B678D" w:rsidRPr="000B5E56" w:rsidRDefault="004B678D">
      <w:pPr>
        <w:rPr>
          <w:rFonts w:hint="eastAsia"/>
        </w:rPr>
      </w:pPr>
    </w:p>
    <w:sectPr w:rsidR="004B678D" w:rsidRPr="000B5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311D" w14:textId="77777777" w:rsidR="008806E5" w:rsidRDefault="008806E5" w:rsidP="000D72DA">
      <w:pPr>
        <w:rPr>
          <w:rFonts w:hint="eastAsia"/>
        </w:rPr>
      </w:pPr>
      <w:r>
        <w:separator/>
      </w:r>
    </w:p>
  </w:endnote>
  <w:endnote w:type="continuationSeparator" w:id="0">
    <w:p w14:paraId="72EFB00F" w14:textId="77777777" w:rsidR="008806E5" w:rsidRDefault="008806E5" w:rsidP="000D72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3E54" w14:textId="77777777" w:rsidR="008806E5" w:rsidRDefault="008806E5" w:rsidP="000D72DA">
      <w:pPr>
        <w:rPr>
          <w:rFonts w:hint="eastAsia"/>
        </w:rPr>
      </w:pPr>
      <w:r>
        <w:separator/>
      </w:r>
    </w:p>
  </w:footnote>
  <w:footnote w:type="continuationSeparator" w:id="0">
    <w:p w14:paraId="0DEF0897" w14:textId="77777777" w:rsidR="008806E5" w:rsidRDefault="008806E5" w:rsidP="000D72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FA"/>
    <w:rsid w:val="000676DA"/>
    <w:rsid w:val="000B5E56"/>
    <w:rsid w:val="000C5DD4"/>
    <w:rsid w:val="000D57A9"/>
    <w:rsid w:val="000D72DA"/>
    <w:rsid w:val="001476C3"/>
    <w:rsid w:val="00165663"/>
    <w:rsid w:val="002F2988"/>
    <w:rsid w:val="00321670"/>
    <w:rsid w:val="00337782"/>
    <w:rsid w:val="00365B93"/>
    <w:rsid w:val="00391FCB"/>
    <w:rsid w:val="00480764"/>
    <w:rsid w:val="004B678D"/>
    <w:rsid w:val="004C5D88"/>
    <w:rsid w:val="004D1D11"/>
    <w:rsid w:val="00525D27"/>
    <w:rsid w:val="00555D50"/>
    <w:rsid w:val="005B6EFA"/>
    <w:rsid w:val="005F1414"/>
    <w:rsid w:val="006167FA"/>
    <w:rsid w:val="00630A39"/>
    <w:rsid w:val="006611CB"/>
    <w:rsid w:val="0068274B"/>
    <w:rsid w:val="006A49A4"/>
    <w:rsid w:val="006A4AC8"/>
    <w:rsid w:val="007212FF"/>
    <w:rsid w:val="007B0755"/>
    <w:rsid w:val="007B5AC9"/>
    <w:rsid w:val="00827225"/>
    <w:rsid w:val="008617F2"/>
    <w:rsid w:val="008806E5"/>
    <w:rsid w:val="008857C7"/>
    <w:rsid w:val="008D0830"/>
    <w:rsid w:val="00942E03"/>
    <w:rsid w:val="009A6AC0"/>
    <w:rsid w:val="009D175C"/>
    <w:rsid w:val="00A66ACC"/>
    <w:rsid w:val="00A77177"/>
    <w:rsid w:val="00A84294"/>
    <w:rsid w:val="00A93628"/>
    <w:rsid w:val="00A9615B"/>
    <w:rsid w:val="00AA2A74"/>
    <w:rsid w:val="00AB22E6"/>
    <w:rsid w:val="00AD3A26"/>
    <w:rsid w:val="00B35D62"/>
    <w:rsid w:val="00B54AB8"/>
    <w:rsid w:val="00B62F14"/>
    <w:rsid w:val="00B738A3"/>
    <w:rsid w:val="00B75AD1"/>
    <w:rsid w:val="00B979E2"/>
    <w:rsid w:val="00BA5E5A"/>
    <w:rsid w:val="00C20AEF"/>
    <w:rsid w:val="00C4741A"/>
    <w:rsid w:val="00CA2832"/>
    <w:rsid w:val="00CB09D5"/>
    <w:rsid w:val="00D242F8"/>
    <w:rsid w:val="00DA1961"/>
    <w:rsid w:val="00DA5BC1"/>
    <w:rsid w:val="00DA735F"/>
    <w:rsid w:val="00E12AB0"/>
    <w:rsid w:val="00E22727"/>
    <w:rsid w:val="00E411B9"/>
    <w:rsid w:val="00E90566"/>
    <w:rsid w:val="00EE3E0E"/>
    <w:rsid w:val="00F40D0B"/>
    <w:rsid w:val="00F6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9CEBF"/>
  <w15:chartTrackingRefBased/>
  <w15:docId w15:val="{0F2E9F7D-A376-4CB4-948A-0C7666C4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2D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67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7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7F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7F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7F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7F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7F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7F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67F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6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6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67F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67F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167F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67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67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67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67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7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67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7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67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7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7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67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67F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72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D72D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D7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D72DA"/>
    <w:rPr>
      <w:sz w:val="18"/>
      <w:szCs w:val="18"/>
    </w:rPr>
  </w:style>
  <w:style w:type="table" w:styleId="af2">
    <w:name w:val="Table Grid"/>
    <w:basedOn w:val="a1"/>
    <w:uiPriority w:val="39"/>
    <w:rsid w:val="009D1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4B678D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4B678D"/>
    <w:rPr>
      <w:color w:val="605E5C"/>
      <w:shd w:val="clear" w:color="auto" w:fill="E1DFDD"/>
    </w:rPr>
  </w:style>
  <w:style w:type="character" w:styleId="af5">
    <w:name w:val="Strong"/>
    <w:basedOn w:val="a0"/>
    <w:uiPriority w:val="22"/>
    <w:qFormat/>
    <w:rsid w:val="00A84294"/>
    <w:rPr>
      <w:b/>
      <w:bCs/>
    </w:rPr>
  </w:style>
  <w:style w:type="character" w:styleId="af6">
    <w:name w:val="Emphasis"/>
    <w:basedOn w:val="a0"/>
    <w:uiPriority w:val="20"/>
    <w:qFormat/>
    <w:rsid w:val="00A84294"/>
    <w:rPr>
      <w:i/>
      <w:iCs/>
    </w:rPr>
  </w:style>
  <w:style w:type="paragraph" w:styleId="af7">
    <w:name w:val="Normal (Web)"/>
    <w:basedOn w:val="a"/>
    <w:uiPriority w:val="99"/>
    <w:semiHidden/>
    <w:unhideWhenUsed/>
    <w:rsid w:val="00B54AB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8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peng392@163.com" TargetMode="Externa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mailto:zhangyongsey@163.com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D804-5EF3-4470-8A68-D49C4AAB6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Magic</dc:creator>
  <cp:keywords/>
  <dc:description/>
  <cp:lastModifiedBy>Hao Magic</cp:lastModifiedBy>
  <cp:revision>3</cp:revision>
  <dcterms:created xsi:type="dcterms:W3CDTF">2025-08-13T12:36:00Z</dcterms:created>
  <dcterms:modified xsi:type="dcterms:W3CDTF">2025-08-13T15:19:00Z</dcterms:modified>
</cp:coreProperties>
</file>