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0665F" w14:textId="16D69E02" w:rsidR="00D063C9" w:rsidRDefault="00D063C9" w:rsidP="00D063C9">
      <w:pPr>
        <w:autoSpaceDE w:val="0"/>
        <w:autoSpaceDN w:val="0"/>
        <w:adjustRightInd w:val="0"/>
        <w:spacing w:after="0" w:line="240" w:lineRule="auto"/>
        <w:jc w:val="both"/>
        <w:rPr>
          <w:b/>
          <w:bCs/>
        </w:rPr>
      </w:pPr>
      <w:r>
        <w:rPr>
          <w:b/>
          <w:bCs/>
        </w:rPr>
        <w:t>Supplementary</w:t>
      </w:r>
    </w:p>
    <w:p w14:paraId="31945AEA" w14:textId="77777777" w:rsidR="009635F7" w:rsidRDefault="009635F7" w:rsidP="00D063C9">
      <w:pPr>
        <w:autoSpaceDE w:val="0"/>
        <w:autoSpaceDN w:val="0"/>
        <w:adjustRightInd w:val="0"/>
        <w:spacing w:after="0" w:line="240" w:lineRule="auto"/>
        <w:jc w:val="both"/>
        <w:rPr>
          <w:b/>
          <w:bCs/>
        </w:rPr>
      </w:pPr>
    </w:p>
    <w:p w14:paraId="153D4B71" w14:textId="77777777" w:rsidR="005F77D7" w:rsidRPr="00FC492F" w:rsidRDefault="005F77D7" w:rsidP="005F77D7">
      <w:pPr>
        <w:tabs>
          <w:tab w:val="left" w:pos="1598"/>
        </w:tabs>
        <w:spacing w:line="240" w:lineRule="auto"/>
        <w:jc w:val="both"/>
        <w:rPr>
          <w:rFonts w:ascii="Times New Roman" w:hAnsi="Times New Roman" w:cs="Times New Roman"/>
          <w:b/>
          <w:bCs/>
          <w:sz w:val="28"/>
          <w:szCs w:val="28"/>
        </w:rPr>
      </w:pPr>
      <w:r w:rsidRPr="00FC492F">
        <w:rPr>
          <w:rFonts w:ascii="Times New Roman" w:hAnsi="Times New Roman" w:cs="Times New Roman"/>
          <w:b/>
          <w:bCs/>
          <w:sz w:val="28"/>
          <w:szCs w:val="28"/>
        </w:rPr>
        <w:t>Metabolic reprogramming and altered ATP content impair neuroprotective functions of microglia in β-glucocerebrosidase deficiency models</w:t>
      </w:r>
    </w:p>
    <w:p w14:paraId="6B83EB0A" w14:textId="77777777" w:rsidR="005F77D7" w:rsidRPr="00FC492F" w:rsidRDefault="005F77D7" w:rsidP="005F77D7">
      <w:pPr>
        <w:tabs>
          <w:tab w:val="left" w:pos="1598"/>
        </w:tabs>
        <w:spacing w:line="240" w:lineRule="auto"/>
        <w:jc w:val="both"/>
        <w:rPr>
          <w:rFonts w:ascii="Times New Roman" w:hAnsi="Times New Roman" w:cs="Times New Roman"/>
          <w:i/>
          <w:iCs/>
        </w:rPr>
      </w:pPr>
    </w:p>
    <w:p w14:paraId="3EDCD94A" w14:textId="77777777" w:rsidR="005F77D7" w:rsidRPr="00FC492F" w:rsidRDefault="005F77D7" w:rsidP="005F77D7">
      <w:pPr>
        <w:tabs>
          <w:tab w:val="left" w:pos="1598"/>
        </w:tabs>
        <w:spacing w:line="240" w:lineRule="auto"/>
        <w:jc w:val="both"/>
        <w:rPr>
          <w:rFonts w:ascii="Times New Roman" w:hAnsi="Times New Roman" w:cs="Times New Roman"/>
          <w:b/>
          <w:bCs/>
          <w:sz w:val="28"/>
          <w:szCs w:val="28"/>
          <w:lang w:val="it-IT"/>
        </w:rPr>
      </w:pPr>
      <w:r w:rsidRPr="00FC492F">
        <w:rPr>
          <w:rFonts w:ascii="Times New Roman" w:hAnsi="Times New Roman" w:cs="Times New Roman"/>
          <w:b/>
          <w:bCs/>
          <w:sz w:val="28"/>
          <w:szCs w:val="28"/>
          <w:lang w:val="it-IT"/>
        </w:rPr>
        <w:t>Authors</w:t>
      </w:r>
    </w:p>
    <w:p w14:paraId="3988D30F" w14:textId="77777777" w:rsidR="005F77D7" w:rsidRPr="00FC492F" w:rsidRDefault="005F77D7" w:rsidP="005F77D7">
      <w:pPr>
        <w:pStyle w:val="Paragraph"/>
        <w:suppressLineNumbers/>
        <w:spacing w:before="0"/>
        <w:ind w:firstLine="0"/>
        <w:jc w:val="both"/>
        <w:rPr>
          <w:lang w:val="it-IT"/>
        </w:rPr>
      </w:pPr>
      <w:r w:rsidRPr="00FC492F">
        <w:rPr>
          <w:lang w:val="it-IT"/>
        </w:rPr>
        <w:t>Electra Brunialti</w:t>
      </w:r>
      <w:r w:rsidRPr="00FC492F">
        <w:rPr>
          <w:vertAlign w:val="superscript"/>
          <w:lang w:val="it-IT"/>
        </w:rPr>
        <w:t>1</w:t>
      </w:r>
      <w:r w:rsidRPr="00FC492F">
        <w:rPr>
          <w:lang w:val="it-IT"/>
        </w:rPr>
        <w:t>, Alessandro Villa</w:t>
      </w:r>
      <w:r w:rsidRPr="00FC492F">
        <w:rPr>
          <w:vertAlign w:val="superscript"/>
          <w:lang w:val="it-IT"/>
        </w:rPr>
        <w:t>1</w:t>
      </w:r>
      <w:r w:rsidRPr="00FC492F">
        <w:rPr>
          <w:lang w:val="it-IT"/>
        </w:rPr>
        <w:t>, Eva M. Szego</w:t>
      </w:r>
      <w:r w:rsidRPr="00FC492F">
        <w:rPr>
          <w:vertAlign w:val="superscript"/>
          <w:lang w:val="it-IT"/>
        </w:rPr>
        <w:t>2</w:t>
      </w:r>
      <w:r w:rsidRPr="00FC492F">
        <w:rPr>
          <w:lang w:val="it-IT"/>
        </w:rPr>
        <w:t xml:space="preserve">, </w:t>
      </w:r>
      <w:r w:rsidRPr="0055219B">
        <w:rPr>
          <w:lang w:val="it-IT"/>
        </w:rPr>
        <w:t>Pietro</w:t>
      </w:r>
      <w:r w:rsidRPr="002D0292">
        <w:rPr>
          <w:lang w:val="it-IT"/>
        </w:rPr>
        <w:t xml:space="preserve"> La Vitola</w:t>
      </w:r>
      <w:r w:rsidRPr="002D0292">
        <w:rPr>
          <w:vertAlign w:val="superscript"/>
          <w:lang w:val="it-IT"/>
        </w:rPr>
        <w:t>2</w:t>
      </w:r>
      <w:r w:rsidRPr="00FC492F">
        <w:rPr>
          <w:lang w:val="it-IT"/>
        </w:rPr>
        <w:t>, Denise Drago</w:t>
      </w:r>
      <w:r w:rsidRPr="00FC492F">
        <w:rPr>
          <w:vertAlign w:val="superscript"/>
          <w:lang w:val="it-IT"/>
        </w:rPr>
        <w:t>3</w:t>
      </w:r>
      <w:r w:rsidRPr="00FC492F">
        <w:rPr>
          <w:lang w:val="it-IT"/>
        </w:rPr>
        <w:t>, Radmila Pavlovic</w:t>
      </w:r>
      <w:r w:rsidRPr="00FC492F">
        <w:rPr>
          <w:vertAlign w:val="superscript"/>
          <w:lang w:val="it-IT"/>
        </w:rPr>
        <w:t>3</w:t>
      </w:r>
      <w:r w:rsidRPr="00FC492F">
        <w:rPr>
          <w:lang w:val="it-IT"/>
        </w:rPr>
        <w:t>, Laura Fontana</w:t>
      </w:r>
      <w:r w:rsidRPr="00FC492F">
        <w:rPr>
          <w:vertAlign w:val="superscript"/>
          <w:lang w:val="it-IT"/>
        </w:rPr>
        <w:t>4,5</w:t>
      </w:r>
      <w:r w:rsidRPr="00FC492F">
        <w:rPr>
          <w:lang w:val="it-IT"/>
        </w:rPr>
        <w:t>, Doga Tuna</w:t>
      </w:r>
      <w:r w:rsidRPr="00FC492F">
        <w:rPr>
          <w:vertAlign w:val="superscript"/>
          <w:lang w:val="it-IT"/>
        </w:rPr>
        <w:t>1</w:t>
      </w:r>
      <w:r w:rsidRPr="00FC492F">
        <w:rPr>
          <w:lang w:val="it-IT"/>
        </w:rPr>
        <w:t>, Alessia Panzeri</w:t>
      </w:r>
      <w:r w:rsidRPr="00FC492F">
        <w:rPr>
          <w:vertAlign w:val="superscript"/>
          <w:lang w:val="it-IT"/>
        </w:rPr>
        <w:t>1</w:t>
      </w:r>
      <w:r w:rsidRPr="00FC492F">
        <w:rPr>
          <w:lang w:val="it-IT"/>
        </w:rPr>
        <w:t>, Clara Meda</w:t>
      </w:r>
      <w:r w:rsidRPr="00FC492F">
        <w:rPr>
          <w:vertAlign w:val="superscript"/>
          <w:lang w:val="it-IT"/>
        </w:rPr>
        <w:t>1</w:t>
      </w:r>
      <w:r w:rsidRPr="00FC492F">
        <w:rPr>
          <w:lang w:val="it-IT"/>
        </w:rPr>
        <w:t>,</w:t>
      </w:r>
      <w:r>
        <w:rPr>
          <w:lang w:val="it-IT"/>
        </w:rPr>
        <w:t xml:space="preserve"> </w:t>
      </w:r>
      <w:r w:rsidRPr="001237ED">
        <w:rPr>
          <w:lang w:val="it-IT"/>
        </w:rPr>
        <w:t>Christin Weissleder</w:t>
      </w:r>
      <w:r w:rsidRPr="007B0DFB">
        <w:rPr>
          <w:vertAlign w:val="superscript"/>
          <w:lang w:val="it-IT"/>
        </w:rPr>
        <w:t>6</w:t>
      </w:r>
      <w:r>
        <w:rPr>
          <w:lang w:val="it-IT"/>
        </w:rPr>
        <w:t xml:space="preserve">, </w:t>
      </w:r>
      <w:r w:rsidRPr="00FC492F">
        <w:rPr>
          <w:lang w:val="it-IT"/>
        </w:rPr>
        <w:t>Ornella Rondinone</w:t>
      </w:r>
      <w:r w:rsidRPr="00FC492F">
        <w:rPr>
          <w:vertAlign w:val="superscript"/>
          <w:lang w:val="it-IT"/>
        </w:rPr>
        <w:t>4</w:t>
      </w:r>
      <w:r w:rsidRPr="00FC492F">
        <w:rPr>
          <w:lang w:val="it-IT"/>
        </w:rPr>
        <w:t>, Mattia Pitasi</w:t>
      </w:r>
      <w:r>
        <w:rPr>
          <w:vertAlign w:val="superscript"/>
          <w:lang w:val="it-IT"/>
        </w:rPr>
        <w:t>7</w:t>
      </w:r>
      <w:r w:rsidRPr="00FC492F">
        <w:rPr>
          <w:lang w:val="it-IT"/>
        </w:rPr>
        <w:t>, Monica Miozzo</w:t>
      </w:r>
      <w:r w:rsidRPr="00FC492F">
        <w:rPr>
          <w:vertAlign w:val="superscript"/>
          <w:lang w:val="it-IT"/>
        </w:rPr>
        <w:t>4,5</w:t>
      </w:r>
      <w:r w:rsidRPr="00FC492F">
        <w:rPr>
          <w:lang w:val="it-IT"/>
        </w:rPr>
        <w:t xml:space="preserve">, </w:t>
      </w:r>
      <w:r>
        <w:rPr>
          <w:lang w:val="it-IT"/>
        </w:rPr>
        <w:t>Michela Deleidi</w:t>
      </w:r>
      <w:r w:rsidRPr="007B0DFB">
        <w:rPr>
          <w:vertAlign w:val="superscript"/>
          <w:lang w:val="it-IT"/>
        </w:rPr>
        <w:t>6</w:t>
      </w:r>
      <w:r>
        <w:rPr>
          <w:lang w:val="it-IT"/>
        </w:rPr>
        <w:t xml:space="preserve">, </w:t>
      </w:r>
      <w:r w:rsidRPr="00FC492F">
        <w:rPr>
          <w:lang w:val="it-IT"/>
        </w:rPr>
        <w:t>Annapaola Andolfo</w:t>
      </w:r>
      <w:r w:rsidRPr="00FC492F">
        <w:rPr>
          <w:vertAlign w:val="superscript"/>
          <w:lang w:val="it-IT"/>
        </w:rPr>
        <w:t>3</w:t>
      </w:r>
      <w:r w:rsidRPr="00FC492F">
        <w:rPr>
          <w:lang w:val="it-IT"/>
        </w:rPr>
        <w:t>, Donato A. Di Monte</w:t>
      </w:r>
      <w:r w:rsidRPr="00FC492F">
        <w:rPr>
          <w:vertAlign w:val="superscript"/>
          <w:lang w:val="it-IT"/>
        </w:rPr>
        <w:t>2</w:t>
      </w:r>
      <w:r w:rsidRPr="00FC492F">
        <w:rPr>
          <w:lang w:val="it-IT"/>
        </w:rPr>
        <w:t xml:space="preserve"> and Paolo Ciana</w:t>
      </w:r>
      <w:r w:rsidRPr="00FC492F">
        <w:rPr>
          <w:vertAlign w:val="superscript"/>
          <w:lang w:val="it-IT"/>
        </w:rPr>
        <w:t>1*</w:t>
      </w:r>
    </w:p>
    <w:p w14:paraId="5115C4DC" w14:textId="77777777" w:rsidR="005F77D7" w:rsidRPr="00FC492F" w:rsidRDefault="005F77D7" w:rsidP="005F77D7">
      <w:pPr>
        <w:pStyle w:val="Paragraph"/>
        <w:suppressLineNumbers/>
        <w:spacing w:before="0"/>
        <w:ind w:firstLine="0"/>
        <w:jc w:val="both"/>
        <w:rPr>
          <w:b/>
          <w:lang w:val="it-IT"/>
        </w:rPr>
      </w:pPr>
    </w:p>
    <w:p w14:paraId="4B2E00AA" w14:textId="77777777" w:rsidR="005F77D7" w:rsidRPr="00FC492F" w:rsidRDefault="005F77D7" w:rsidP="005F77D7">
      <w:pPr>
        <w:pStyle w:val="Paragraph"/>
        <w:suppressLineNumbers/>
        <w:spacing w:before="0"/>
        <w:ind w:firstLine="0"/>
        <w:jc w:val="both"/>
        <w:rPr>
          <w:sz w:val="28"/>
          <w:szCs w:val="28"/>
        </w:rPr>
      </w:pPr>
      <w:r w:rsidRPr="00FC492F">
        <w:rPr>
          <w:b/>
          <w:sz w:val="28"/>
          <w:szCs w:val="28"/>
        </w:rPr>
        <w:t>Affiliations</w:t>
      </w:r>
      <w:r w:rsidRPr="00FC492F">
        <w:rPr>
          <w:sz w:val="28"/>
          <w:szCs w:val="28"/>
        </w:rPr>
        <w:t xml:space="preserve"> </w:t>
      </w:r>
    </w:p>
    <w:p w14:paraId="3EDC644E" w14:textId="77777777" w:rsidR="005F77D7" w:rsidRPr="00FC492F" w:rsidRDefault="005F77D7" w:rsidP="005F77D7">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r w:rsidRPr="00FC492F">
        <w:rPr>
          <w:rFonts w:ascii="Times New Roman" w:eastAsia="Times New Roman" w:hAnsi="Times New Roman" w:cs="Times New Roman"/>
          <w:sz w:val="24"/>
          <w:szCs w:val="24"/>
          <w:vertAlign w:val="superscript"/>
        </w:rPr>
        <w:t>1</w:t>
      </w:r>
      <w:r w:rsidRPr="00FC492F">
        <w:rPr>
          <w:rFonts w:ascii="Times New Roman" w:eastAsia="Times New Roman" w:hAnsi="Times New Roman" w:cs="Times New Roman"/>
          <w:sz w:val="24"/>
          <w:szCs w:val="24"/>
        </w:rPr>
        <w:t xml:space="preserve"> Department of Health Sciences, University of Milan, Via di Rudinì 8, 20142 Milan, Italy.</w:t>
      </w:r>
    </w:p>
    <w:p w14:paraId="2800E96A" w14:textId="77777777" w:rsidR="005F77D7" w:rsidRPr="00FC492F" w:rsidRDefault="005F77D7" w:rsidP="005F77D7">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r w:rsidRPr="00FC492F">
        <w:rPr>
          <w:rFonts w:ascii="Times New Roman" w:eastAsia="Times New Roman" w:hAnsi="Times New Roman" w:cs="Times New Roman"/>
          <w:sz w:val="24"/>
          <w:szCs w:val="24"/>
          <w:vertAlign w:val="superscript"/>
        </w:rPr>
        <w:t>2</w:t>
      </w:r>
      <w:r w:rsidRPr="00FC492F">
        <w:rPr>
          <w:rFonts w:ascii="Times New Roman" w:eastAsia="Times New Roman" w:hAnsi="Times New Roman" w:cs="Times New Roman"/>
          <w:sz w:val="24"/>
          <w:szCs w:val="24"/>
        </w:rPr>
        <w:t xml:space="preserve"> German Center for Neurodegenerative Diseases (DZNE), Venusberg-Campus 1, Gebäude 99, 53127 Bonn, Germany.</w:t>
      </w:r>
    </w:p>
    <w:p w14:paraId="4607629F" w14:textId="77777777" w:rsidR="005F77D7" w:rsidRPr="00FC492F" w:rsidRDefault="005F77D7" w:rsidP="005F77D7">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r w:rsidRPr="00FC492F">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w:t>
      </w:r>
      <w:r w:rsidRPr="00FC492F">
        <w:rPr>
          <w:rFonts w:ascii="Times New Roman" w:eastAsia="Times New Roman" w:hAnsi="Times New Roman" w:cs="Times New Roman"/>
          <w:sz w:val="24"/>
          <w:szCs w:val="24"/>
        </w:rPr>
        <w:t>Center for Omics Sciences (COSR), IRCCS San Raffaele Scientific Institute, Via Olgettina 60, 20132 Milan, Italy.</w:t>
      </w:r>
    </w:p>
    <w:p w14:paraId="245F42CF" w14:textId="77777777" w:rsidR="005F77D7" w:rsidRPr="00FC492F" w:rsidRDefault="005F77D7" w:rsidP="005F77D7">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r w:rsidRPr="00FC492F">
        <w:rPr>
          <w:rFonts w:ascii="Times New Roman" w:eastAsia="Times New Roman" w:hAnsi="Times New Roman" w:cs="Times New Roman"/>
          <w:sz w:val="24"/>
          <w:szCs w:val="24"/>
          <w:vertAlign w:val="superscript"/>
        </w:rPr>
        <w:t>4</w:t>
      </w:r>
      <w:r w:rsidRPr="00FC492F">
        <w:rPr>
          <w:rFonts w:ascii="Times New Roman" w:eastAsia="Times New Roman" w:hAnsi="Times New Roman" w:cs="Times New Roman"/>
          <w:sz w:val="24"/>
          <w:szCs w:val="24"/>
        </w:rPr>
        <w:t xml:space="preserve"> Medical Genetics, Department of Health Sciences</w:t>
      </w:r>
      <w:r>
        <w:rPr>
          <w:rFonts w:ascii="Times New Roman" w:eastAsia="Times New Roman" w:hAnsi="Times New Roman" w:cs="Times New Roman"/>
          <w:sz w:val="24"/>
          <w:szCs w:val="24"/>
        </w:rPr>
        <w:t>,</w:t>
      </w:r>
      <w:r w:rsidRPr="00FC492F">
        <w:rPr>
          <w:rFonts w:ascii="Times New Roman" w:eastAsia="Times New Roman" w:hAnsi="Times New Roman" w:cs="Times New Roman"/>
          <w:sz w:val="24"/>
          <w:szCs w:val="24"/>
        </w:rPr>
        <w:t xml:space="preserve"> University of Milan, Via di Rudinì 8, 20142 Milan, Italy.</w:t>
      </w:r>
    </w:p>
    <w:p w14:paraId="7592B8E4" w14:textId="77777777" w:rsidR="005F77D7" w:rsidRDefault="005F77D7" w:rsidP="005F77D7">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lang w:val="it-IT"/>
        </w:rPr>
      </w:pPr>
      <w:r w:rsidRPr="00FC492F">
        <w:rPr>
          <w:rFonts w:ascii="Times New Roman" w:eastAsia="Times New Roman" w:hAnsi="Times New Roman" w:cs="Times New Roman"/>
          <w:sz w:val="24"/>
          <w:szCs w:val="24"/>
          <w:vertAlign w:val="superscript"/>
          <w:lang w:val="it-IT"/>
        </w:rPr>
        <w:t>5</w:t>
      </w:r>
      <w:r w:rsidRPr="00FC492F">
        <w:rPr>
          <w:rFonts w:ascii="Times New Roman" w:eastAsia="Times New Roman" w:hAnsi="Times New Roman" w:cs="Times New Roman"/>
          <w:sz w:val="24"/>
          <w:szCs w:val="24"/>
          <w:lang w:val="it-IT"/>
        </w:rPr>
        <w:t xml:space="preserve"> Medical Genetic Unit, ASST Santi Paolo e Carlo, Via di Rudinì 8, 20142 Milan, Italy.</w:t>
      </w:r>
    </w:p>
    <w:p w14:paraId="18CBFDCA" w14:textId="77777777" w:rsidR="005F77D7" w:rsidRPr="007B0DFB" w:rsidRDefault="005F77D7" w:rsidP="005F77D7">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6</w:t>
      </w:r>
      <w:r w:rsidRPr="001237ED">
        <w:rPr>
          <w:rFonts w:ascii="Times New Roman" w:eastAsia="Times New Roman" w:hAnsi="Times New Roman" w:cs="Times New Roman"/>
          <w:sz w:val="24"/>
          <w:szCs w:val="24"/>
        </w:rPr>
        <w:t xml:space="preserve"> Mechanisms and Therapy of Genetic Brain Diseases, Institut Imagine</w:t>
      </w:r>
      <w:r w:rsidRPr="005F77D7">
        <w:rPr>
          <w:rFonts w:ascii="Times New Roman" w:eastAsia="Times New Roman" w:hAnsi="Times New Roman" w:cs="Times New Roman"/>
          <w:sz w:val="24"/>
          <w:szCs w:val="24"/>
        </w:rPr>
        <w:t>, INSERM UMR1163,</w:t>
      </w:r>
      <w:r>
        <w:rPr>
          <w:rFonts w:ascii="Times New Roman" w:eastAsia="Times New Roman" w:hAnsi="Times New Roman" w:cs="Times New Roman"/>
          <w:sz w:val="24"/>
          <w:szCs w:val="24"/>
        </w:rPr>
        <w:t xml:space="preserve"> </w:t>
      </w:r>
      <w:r w:rsidRPr="001237ED">
        <w:rPr>
          <w:rFonts w:ascii="Times New Roman" w:eastAsia="Times New Roman" w:hAnsi="Times New Roman" w:cs="Times New Roman"/>
          <w:sz w:val="24"/>
          <w:szCs w:val="24"/>
        </w:rPr>
        <w:t>24 Bd du Montparnasse, 75015 Paris, France</w:t>
      </w:r>
      <w:r>
        <w:rPr>
          <w:rFonts w:ascii="Times New Roman" w:eastAsia="Times New Roman" w:hAnsi="Times New Roman" w:cs="Times New Roman"/>
          <w:sz w:val="24"/>
          <w:szCs w:val="24"/>
        </w:rPr>
        <w:t>.</w:t>
      </w:r>
    </w:p>
    <w:p w14:paraId="64D3E4B4" w14:textId="77777777" w:rsidR="005F77D7" w:rsidRPr="00FC492F" w:rsidRDefault="005F77D7" w:rsidP="005F77D7">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7</w:t>
      </w:r>
      <w:r w:rsidRPr="00FC492F">
        <w:rPr>
          <w:rFonts w:ascii="Times New Roman" w:hAnsi="Times New Roman" w:cs="Times New Roman"/>
        </w:rPr>
        <w:t xml:space="preserve"> </w:t>
      </w:r>
      <w:r w:rsidRPr="00FC492F">
        <w:rPr>
          <w:rFonts w:ascii="Times New Roman" w:eastAsia="Times New Roman" w:hAnsi="Times New Roman" w:cs="Times New Roman"/>
          <w:sz w:val="24"/>
          <w:szCs w:val="24"/>
        </w:rPr>
        <w:t>Max Perutz Labs, Department of Microbiology, Immunobiology and Genetics, University of Vienna, Dr. Bohr-Gasse 9, A-1030 Vienna, Austria.</w:t>
      </w:r>
    </w:p>
    <w:p w14:paraId="2FF9C1AE" w14:textId="77777777" w:rsidR="005F77D7" w:rsidRPr="00FC492F" w:rsidRDefault="005F77D7" w:rsidP="005F77D7">
      <w:pPr>
        <w:widowControl w:val="0"/>
        <w:suppressLineNumbers/>
        <w:autoSpaceDE w:val="0"/>
        <w:autoSpaceDN w:val="0"/>
        <w:adjustRightInd w:val="0"/>
        <w:spacing w:after="0" w:line="240" w:lineRule="auto"/>
        <w:jc w:val="both"/>
        <w:rPr>
          <w:rFonts w:ascii="Times New Roman" w:eastAsia="Times New Roman" w:hAnsi="Times New Roman" w:cs="Times New Roman"/>
          <w:sz w:val="24"/>
          <w:szCs w:val="24"/>
        </w:rPr>
      </w:pPr>
      <w:r w:rsidRPr="00FC492F">
        <w:rPr>
          <w:rFonts w:ascii="Times New Roman" w:eastAsia="Times New Roman" w:hAnsi="Times New Roman" w:cs="Times New Roman"/>
          <w:sz w:val="24"/>
          <w:szCs w:val="24"/>
        </w:rPr>
        <w:t>*corresponding author pa</w:t>
      </w:r>
      <w:r>
        <w:rPr>
          <w:rFonts w:ascii="Times New Roman" w:eastAsia="Times New Roman" w:hAnsi="Times New Roman" w:cs="Times New Roman"/>
          <w:sz w:val="24"/>
          <w:szCs w:val="24"/>
        </w:rPr>
        <w:t>o</w:t>
      </w:r>
      <w:r w:rsidRPr="00FC492F">
        <w:rPr>
          <w:rFonts w:ascii="Times New Roman" w:eastAsia="Times New Roman" w:hAnsi="Times New Roman" w:cs="Times New Roman"/>
          <w:sz w:val="24"/>
          <w:szCs w:val="24"/>
        </w:rPr>
        <w:t>lo.ciana@unimi.it</w:t>
      </w:r>
    </w:p>
    <w:p w14:paraId="1F486CC2" w14:textId="77777777" w:rsidR="009635F7" w:rsidRPr="0057191D" w:rsidRDefault="009635F7" w:rsidP="009635F7">
      <w:pPr>
        <w:tabs>
          <w:tab w:val="left" w:pos="1598"/>
        </w:tabs>
        <w:spacing w:line="240" w:lineRule="auto"/>
        <w:jc w:val="both"/>
        <w:rPr>
          <w:b/>
          <w:bCs/>
          <w:sz w:val="28"/>
          <w:szCs w:val="28"/>
        </w:rPr>
      </w:pPr>
    </w:p>
    <w:p w14:paraId="69B1A94F" w14:textId="49C39883" w:rsidR="0002198F" w:rsidRDefault="0002198F" w:rsidP="008322ED">
      <w:pPr>
        <w:autoSpaceDE w:val="0"/>
        <w:autoSpaceDN w:val="0"/>
        <w:adjustRightInd w:val="0"/>
        <w:spacing w:after="0" w:line="240" w:lineRule="auto"/>
        <w:rPr>
          <w:b/>
          <w:bCs/>
        </w:rPr>
      </w:pPr>
      <w:r>
        <w:rPr>
          <w:b/>
          <w:bCs/>
        </w:rPr>
        <w:br w:type="page"/>
      </w:r>
    </w:p>
    <w:p w14:paraId="649A7873" w14:textId="6AAF911F" w:rsidR="005C5CB4" w:rsidRDefault="006D6724" w:rsidP="00696EEE">
      <w:pPr>
        <w:autoSpaceDE w:val="0"/>
        <w:autoSpaceDN w:val="0"/>
        <w:adjustRightInd w:val="0"/>
        <w:spacing w:after="0" w:line="240" w:lineRule="auto"/>
        <w:jc w:val="center"/>
      </w:pPr>
      <w:r w:rsidRPr="006D6724">
        <w:rPr>
          <w:noProof/>
        </w:rPr>
        <w:lastRenderedPageBreak/>
        <w:drawing>
          <wp:inline distT="0" distB="0" distL="0" distR="0" wp14:anchorId="235C993B" wp14:editId="1255BFB3">
            <wp:extent cx="5537200" cy="1871345"/>
            <wp:effectExtent l="0" t="0" r="6350" b="0"/>
            <wp:docPr id="110445964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7200" cy="1871345"/>
                    </a:xfrm>
                    <a:prstGeom prst="rect">
                      <a:avLst/>
                    </a:prstGeom>
                    <a:noFill/>
                    <a:ln>
                      <a:noFill/>
                    </a:ln>
                  </pic:spPr>
                </pic:pic>
              </a:graphicData>
            </a:graphic>
          </wp:inline>
        </w:drawing>
      </w:r>
    </w:p>
    <w:p w14:paraId="150BCCCA" w14:textId="2A0780F0" w:rsidR="005C5CB4" w:rsidRPr="005C5CB4" w:rsidRDefault="0066705E" w:rsidP="005C5CB4">
      <w:pPr>
        <w:rPr>
          <w:b/>
          <w:bCs/>
        </w:rPr>
      </w:pPr>
      <w:r w:rsidRPr="0066705E">
        <w:rPr>
          <w:b/>
          <w:bCs/>
        </w:rPr>
        <w:t>Figure Supplementary 1. Treatment with 100 mg/kg</w:t>
      </w:r>
      <w:r w:rsidR="000B51EC">
        <w:rPr>
          <w:b/>
          <w:bCs/>
        </w:rPr>
        <w:t>/day</w:t>
      </w:r>
      <w:r w:rsidRPr="0066705E">
        <w:rPr>
          <w:b/>
          <w:bCs/>
        </w:rPr>
        <w:t xml:space="preserve"> CBE for 3 days does not reduce the number of Th</w:t>
      </w:r>
      <w:r w:rsidRPr="0066705E">
        <w:rPr>
          <w:rFonts w:ascii="Cambria Math" w:hAnsi="Cambria Math" w:cs="Cambria Math"/>
          <w:b/>
          <w:bCs/>
        </w:rPr>
        <w:t>⁺</w:t>
      </w:r>
      <w:r w:rsidRPr="0066705E">
        <w:rPr>
          <w:b/>
          <w:bCs/>
        </w:rPr>
        <w:t xml:space="preserve"> neurons or induce apoptosis in the SNpc.</w:t>
      </w:r>
      <w:r w:rsidRPr="0066705E">
        <w:rPr>
          <w:b/>
          <w:bCs/>
        </w:rPr>
        <w:br/>
      </w:r>
      <w:r w:rsidRPr="008322ED">
        <w:t>(A) Quantification of Th</w:t>
      </w:r>
      <w:r w:rsidRPr="008322ED">
        <w:rPr>
          <w:rFonts w:ascii="Cambria Math" w:hAnsi="Cambria Math" w:cs="Cambria Math"/>
        </w:rPr>
        <w:t>⁺</w:t>
      </w:r>
      <w:r w:rsidRPr="008322ED">
        <w:t xml:space="preserve"> cells (n = 4 mice per group). Data are presented as mean </w:t>
      </w:r>
      <w:r w:rsidRPr="008322ED">
        <w:rPr>
          <w:rFonts w:ascii="Aptos" w:hAnsi="Aptos" w:cs="Aptos"/>
        </w:rPr>
        <w:t>±</w:t>
      </w:r>
      <w:r w:rsidRPr="008322ED">
        <w:t xml:space="preserve"> SD of average cell counts per field of view per mouse (unpaired t-test).</w:t>
      </w:r>
      <w:r w:rsidRPr="008322ED">
        <w:br/>
        <w:t>(B) Quantification of cleaved caspase-3</w:t>
      </w:r>
      <w:r w:rsidRPr="008322ED">
        <w:rPr>
          <w:rFonts w:ascii="Cambria Math" w:hAnsi="Cambria Math" w:cs="Cambria Math"/>
        </w:rPr>
        <w:t>⁺</w:t>
      </w:r>
      <w:r w:rsidRPr="008322ED">
        <w:t xml:space="preserve"> cells in the SNpc. Left: representative image. Right: percentage of </w:t>
      </w:r>
      <w:r w:rsidRPr="00114EC5">
        <w:t>cleaved caspase-3</w:t>
      </w:r>
      <w:r w:rsidRPr="00114EC5">
        <w:rPr>
          <w:rFonts w:ascii="Cambria Math" w:hAnsi="Cambria Math" w:cs="Cambria Math"/>
        </w:rPr>
        <w:t>⁺</w:t>
      </w:r>
      <w:r w:rsidRPr="00114EC5">
        <w:t xml:space="preserve"> cells </w:t>
      </w:r>
      <w:r w:rsidRPr="008322ED">
        <w:t>-positive cells over total cells, showing no evidence of apoptosis induction (n = 4 mice per group). Data are presented as mean ± SD of positive cells averaged per mouse (unpaired t-test).</w:t>
      </w:r>
      <w:r w:rsidR="004A79C7" w:rsidRPr="005C5CB4">
        <w:br/>
      </w:r>
    </w:p>
    <w:p w14:paraId="3DA9EBAF" w14:textId="77777777" w:rsidR="007818EA" w:rsidRDefault="007818EA" w:rsidP="00696EEE">
      <w:pPr>
        <w:autoSpaceDE w:val="0"/>
        <w:autoSpaceDN w:val="0"/>
        <w:adjustRightInd w:val="0"/>
        <w:spacing w:after="0" w:line="240" w:lineRule="auto"/>
        <w:jc w:val="center"/>
      </w:pPr>
      <w:r>
        <w:br w:type="page"/>
      </w:r>
    </w:p>
    <w:p w14:paraId="4C7871A6" w14:textId="7F03C05B" w:rsidR="007818EA" w:rsidRDefault="006D6724" w:rsidP="007818EA">
      <w:pPr>
        <w:autoSpaceDE w:val="0"/>
        <w:autoSpaceDN w:val="0"/>
        <w:adjustRightInd w:val="0"/>
        <w:spacing w:after="0" w:line="240" w:lineRule="auto"/>
      </w:pPr>
      <w:r w:rsidRPr="006D6724">
        <w:rPr>
          <w:noProof/>
        </w:rPr>
        <w:lastRenderedPageBreak/>
        <w:drawing>
          <wp:inline distT="0" distB="0" distL="0" distR="0" wp14:anchorId="468ACA2D" wp14:editId="27ECDAA3">
            <wp:extent cx="6120130" cy="6139815"/>
            <wp:effectExtent l="0" t="0" r="0" b="0"/>
            <wp:docPr id="10929520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6139815"/>
                    </a:xfrm>
                    <a:prstGeom prst="rect">
                      <a:avLst/>
                    </a:prstGeom>
                    <a:noFill/>
                    <a:ln>
                      <a:noFill/>
                    </a:ln>
                  </pic:spPr>
                </pic:pic>
              </a:graphicData>
            </a:graphic>
          </wp:inline>
        </w:drawing>
      </w:r>
    </w:p>
    <w:p w14:paraId="4C64BC20" w14:textId="7132267D" w:rsidR="007818EA" w:rsidRPr="007818EA" w:rsidRDefault="007818EA" w:rsidP="007818EA">
      <w:pPr>
        <w:autoSpaceDE w:val="0"/>
        <w:autoSpaceDN w:val="0"/>
        <w:adjustRightInd w:val="0"/>
        <w:spacing w:after="0" w:line="240" w:lineRule="auto"/>
      </w:pPr>
      <w:r w:rsidRPr="005C5CB4">
        <w:rPr>
          <w:b/>
          <w:bCs/>
        </w:rPr>
        <w:t xml:space="preserve">Figure Supplementary </w:t>
      </w:r>
      <w:r>
        <w:rPr>
          <w:b/>
          <w:bCs/>
        </w:rPr>
        <w:t>2</w:t>
      </w:r>
      <w:r w:rsidRPr="007818EA">
        <w:rPr>
          <w:b/>
          <w:bCs/>
        </w:rPr>
        <w:t xml:space="preserve">. LC–MS/MS analysis and quantification of </w:t>
      </w:r>
      <w:bookmarkStart w:id="0" w:name="_Hlk209781943"/>
      <w:r w:rsidRPr="007818EA">
        <w:rPr>
          <w:b/>
          <w:bCs/>
        </w:rPr>
        <w:t>glucosylsphingosine</w:t>
      </w:r>
      <w:bookmarkEnd w:id="0"/>
      <w:r w:rsidRPr="007818EA">
        <w:rPr>
          <w:b/>
          <w:bCs/>
        </w:rPr>
        <w:t xml:space="preserve"> (GlcSph, d18:1).</w:t>
      </w:r>
      <w:r w:rsidRPr="007818EA">
        <w:br/>
      </w:r>
      <w:r>
        <w:t xml:space="preserve">A) </w:t>
      </w:r>
      <w:r w:rsidRPr="007818EA">
        <w:t>Extracted ion chromatogram (EIC, m/z 462.34 [M+H]</w:t>
      </w:r>
      <w:r w:rsidRPr="007818EA">
        <w:rPr>
          <w:rFonts w:ascii="Cambria Math" w:hAnsi="Cambria Math" w:cs="Cambria Math"/>
        </w:rPr>
        <w:t>⁺</w:t>
      </w:r>
      <w:r w:rsidRPr="007818EA">
        <w:t xml:space="preserve">) of </w:t>
      </w:r>
      <w:r w:rsidR="000F0C30" w:rsidRPr="007818EA">
        <w:t>GlcSph</w:t>
      </w:r>
      <w:r w:rsidR="000F0C30" w:rsidRPr="007818EA" w:rsidDel="000F0C30">
        <w:t xml:space="preserve"> </w:t>
      </w:r>
      <w:r w:rsidRPr="007818EA">
        <w:t xml:space="preserve"> (d18:1) showing a sharp peak at 18.04 min. </w:t>
      </w:r>
    </w:p>
    <w:p w14:paraId="4F91FCDA" w14:textId="4AA5BA39" w:rsidR="007818EA" w:rsidRPr="007818EA" w:rsidRDefault="007818EA" w:rsidP="007818EA">
      <w:pPr>
        <w:autoSpaceDE w:val="0"/>
        <w:autoSpaceDN w:val="0"/>
        <w:adjustRightInd w:val="0"/>
        <w:spacing w:after="0" w:line="240" w:lineRule="auto"/>
      </w:pPr>
      <w:r>
        <w:t xml:space="preserve">B) </w:t>
      </w:r>
      <w:r w:rsidRPr="007818EA">
        <w:t>The corresponding MS/MS spectrum exhibits the characteristic fragmentation pattern with loss of the hexose moiety (m/z 300.29), subsequent water losses (m/z 282.28, 264.27), and diagnostic sugar oxonium ions (m/z 163.06, 145.05), confirming the molecular identity.</w:t>
      </w:r>
    </w:p>
    <w:p w14:paraId="2E9E203F" w14:textId="67D8EC06" w:rsidR="007818EA" w:rsidRPr="007818EA" w:rsidRDefault="007818EA" w:rsidP="007818EA">
      <w:pPr>
        <w:autoSpaceDE w:val="0"/>
        <w:autoSpaceDN w:val="0"/>
        <w:adjustRightInd w:val="0"/>
        <w:spacing w:after="0" w:line="240" w:lineRule="auto"/>
      </w:pPr>
      <w:r>
        <w:t xml:space="preserve">C) </w:t>
      </w:r>
      <w:r w:rsidRPr="007818EA">
        <w:t>Extracted ion chromatogram (EIC, m/z 467.42 [M+H]</w:t>
      </w:r>
      <w:r w:rsidRPr="007818EA">
        <w:rPr>
          <w:rFonts w:ascii="Cambria Math" w:hAnsi="Cambria Math" w:cs="Cambria Math"/>
        </w:rPr>
        <w:t>⁺</w:t>
      </w:r>
      <w:r w:rsidRPr="007818EA">
        <w:t xml:space="preserve">) of internal standard </w:t>
      </w:r>
      <w:r w:rsidR="000F0C30" w:rsidRPr="007818EA">
        <w:t>GlcSph</w:t>
      </w:r>
      <w:r w:rsidR="000F0C30" w:rsidRPr="007818EA" w:rsidDel="000F0C30">
        <w:t xml:space="preserve"> </w:t>
      </w:r>
      <w:r w:rsidRPr="007818EA">
        <w:t xml:space="preserve"> (d18:1, d5) displaying a peak at 18.05 min</w:t>
      </w:r>
    </w:p>
    <w:p w14:paraId="39B23105" w14:textId="77777777" w:rsidR="007818EA" w:rsidRDefault="007818EA" w:rsidP="007818EA">
      <w:pPr>
        <w:autoSpaceDE w:val="0"/>
        <w:autoSpaceDN w:val="0"/>
        <w:adjustRightInd w:val="0"/>
        <w:spacing w:after="0" w:line="240" w:lineRule="auto"/>
      </w:pPr>
      <w:r>
        <w:t xml:space="preserve">D) </w:t>
      </w:r>
      <w:r w:rsidRPr="007818EA">
        <w:t>The corresponding MS/MS spectrum exhibits a characteristic fragmentation pattern equivalent to that of the non-deuterated counterpart.</w:t>
      </w:r>
    </w:p>
    <w:p w14:paraId="500CB821" w14:textId="41218F0F" w:rsidR="007818EA" w:rsidRPr="007818EA" w:rsidRDefault="007818EA" w:rsidP="007818EA">
      <w:pPr>
        <w:autoSpaceDE w:val="0"/>
        <w:autoSpaceDN w:val="0"/>
        <w:adjustRightInd w:val="0"/>
        <w:spacing w:after="0" w:line="240" w:lineRule="auto"/>
      </w:pPr>
      <w:r>
        <w:t xml:space="preserve">E) </w:t>
      </w:r>
      <w:r w:rsidRPr="007818EA">
        <w:t>Extracted ion chromatogram (EIC, m/z 462.34 [M+H]</w:t>
      </w:r>
      <w:r w:rsidRPr="007818EA">
        <w:rPr>
          <w:rFonts w:ascii="Cambria Math" w:hAnsi="Cambria Math" w:cs="Cambria Math"/>
        </w:rPr>
        <w:t>⁺</w:t>
      </w:r>
      <w:r w:rsidRPr="007818EA">
        <w:t xml:space="preserve">) of </w:t>
      </w:r>
      <w:r w:rsidR="000F0C30" w:rsidRPr="007818EA">
        <w:t>GlcSph</w:t>
      </w:r>
      <w:r w:rsidR="000F0C30" w:rsidRPr="007818EA" w:rsidDel="000F0C30">
        <w:t xml:space="preserve"> </w:t>
      </w:r>
      <w:r w:rsidRPr="007818EA">
        <w:t xml:space="preserve"> (, d18:1) showing traces of peak at 18.04 min. </w:t>
      </w:r>
    </w:p>
    <w:p w14:paraId="130097EB" w14:textId="4AA6087E" w:rsidR="007818EA" w:rsidRPr="007818EA" w:rsidRDefault="007818EA" w:rsidP="007818EA">
      <w:pPr>
        <w:autoSpaceDE w:val="0"/>
        <w:autoSpaceDN w:val="0"/>
        <w:adjustRightInd w:val="0"/>
        <w:spacing w:after="0" w:line="240" w:lineRule="auto"/>
      </w:pPr>
      <w:r>
        <w:t>F)</w:t>
      </w:r>
      <w:r w:rsidR="00334644">
        <w:t xml:space="preserve"> </w:t>
      </w:r>
      <w:r w:rsidRPr="007818EA">
        <w:t>Extracted ion chromatogram (EIC, m/z 467.42 [M+H]</w:t>
      </w:r>
      <w:r w:rsidRPr="007818EA">
        <w:rPr>
          <w:rFonts w:ascii="Cambria Math" w:hAnsi="Cambria Math" w:cs="Cambria Math"/>
        </w:rPr>
        <w:t>⁺</w:t>
      </w:r>
      <w:r w:rsidRPr="007818EA">
        <w:t xml:space="preserve">) of internal standard </w:t>
      </w:r>
      <w:r w:rsidR="000F0C30" w:rsidRPr="007818EA">
        <w:t>GlcSph</w:t>
      </w:r>
      <w:r w:rsidR="000F0C30" w:rsidRPr="007818EA" w:rsidDel="000F0C30">
        <w:t xml:space="preserve"> </w:t>
      </w:r>
      <w:r w:rsidRPr="007818EA">
        <w:t xml:space="preserve"> (d18:1, d5) displaying a peak at 18.05 min</w:t>
      </w:r>
    </w:p>
    <w:p w14:paraId="7B057582" w14:textId="0825E097" w:rsidR="007818EA" w:rsidRDefault="007818EA" w:rsidP="007818EA">
      <w:pPr>
        <w:autoSpaceDE w:val="0"/>
        <w:autoSpaceDN w:val="0"/>
        <w:adjustRightInd w:val="0"/>
        <w:spacing w:after="0" w:line="240" w:lineRule="auto"/>
      </w:pPr>
      <w:r>
        <w:lastRenderedPageBreak/>
        <w:t xml:space="preserve">G) </w:t>
      </w:r>
      <w:r w:rsidRPr="007818EA">
        <w:t>The corresponding MS/MS spectrum exhibits a characteristic fragmentation pattern equivalent to that of the non-deuterated counterpart.</w:t>
      </w:r>
      <w:r w:rsidRPr="007818EA">
        <w:br/>
        <w:t>(H) Quantification of GlcSph levels in the brains of mice treated with CBE (100 mg/kg/day) for 3 days, showing a marked accumulation of the substrate.</w:t>
      </w:r>
    </w:p>
    <w:p w14:paraId="17B11BBC" w14:textId="5081FB89" w:rsidR="00D063C9" w:rsidRDefault="005C5CB4" w:rsidP="008322ED">
      <w:pPr>
        <w:autoSpaceDE w:val="0"/>
        <w:autoSpaceDN w:val="0"/>
        <w:adjustRightInd w:val="0"/>
        <w:spacing w:after="0" w:line="240" w:lineRule="auto"/>
      </w:pPr>
      <w:r w:rsidRPr="005C5CB4">
        <w:br w:type="page"/>
      </w:r>
      <w:r w:rsidR="00696EEE" w:rsidRPr="00696EEE">
        <w:rPr>
          <w:noProof/>
        </w:rPr>
        <w:lastRenderedPageBreak/>
        <w:drawing>
          <wp:inline distT="0" distB="0" distL="0" distR="0" wp14:anchorId="379E353F" wp14:editId="75ED378E">
            <wp:extent cx="5673033" cy="2750820"/>
            <wp:effectExtent l="0" t="0" r="0" b="0"/>
            <wp:docPr id="2844118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r="8438"/>
                    <a:stretch/>
                  </pic:blipFill>
                  <pic:spPr bwMode="auto">
                    <a:xfrm>
                      <a:off x="0" y="0"/>
                      <a:ext cx="5675517" cy="2752025"/>
                    </a:xfrm>
                    <a:prstGeom prst="rect">
                      <a:avLst/>
                    </a:prstGeom>
                    <a:noFill/>
                    <a:ln>
                      <a:noFill/>
                    </a:ln>
                    <a:extLst>
                      <a:ext uri="{53640926-AAD7-44D8-BBD7-CCE9431645EC}">
                        <a14:shadowObscured xmlns:a14="http://schemas.microsoft.com/office/drawing/2010/main"/>
                      </a:ext>
                    </a:extLst>
                  </pic:spPr>
                </pic:pic>
              </a:graphicData>
            </a:graphic>
          </wp:inline>
        </w:drawing>
      </w:r>
    </w:p>
    <w:p w14:paraId="17AB83E6" w14:textId="77777777" w:rsidR="0002198F" w:rsidRPr="0057191D" w:rsidRDefault="0002198F" w:rsidP="00D063C9">
      <w:pPr>
        <w:autoSpaceDE w:val="0"/>
        <w:autoSpaceDN w:val="0"/>
        <w:adjustRightInd w:val="0"/>
        <w:spacing w:after="0" w:line="240" w:lineRule="auto"/>
        <w:jc w:val="both"/>
      </w:pPr>
    </w:p>
    <w:p w14:paraId="0081B718" w14:textId="5D9150A0" w:rsidR="00D063C9" w:rsidRPr="0057191D" w:rsidRDefault="00D063C9" w:rsidP="008322ED">
      <w:pPr>
        <w:jc w:val="both"/>
        <w:rPr>
          <w:b/>
          <w:bCs/>
        </w:rPr>
      </w:pPr>
      <w:r w:rsidRPr="0057191D">
        <w:rPr>
          <w:b/>
          <w:bCs/>
        </w:rPr>
        <w:t xml:space="preserve">Figure Supplementary </w:t>
      </w:r>
      <w:r w:rsidR="00A040AC">
        <w:rPr>
          <w:b/>
          <w:bCs/>
        </w:rPr>
        <w:t>3</w:t>
      </w:r>
      <w:r w:rsidRPr="0057191D">
        <w:rPr>
          <w:b/>
          <w:bCs/>
        </w:rPr>
        <w:t>:</w:t>
      </w:r>
      <w:r w:rsidR="0002198F" w:rsidRPr="0002198F">
        <w:t xml:space="preserve"> t</w:t>
      </w:r>
      <w:r w:rsidRPr="0002198F">
        <w:t>he</w:t>
      </w:r>
      <w:r w:rsidRPr="00441BDA">
        <w:t xml:space="preserve"> red color indicates the quantified morphological value</w:t>
      </w:r>
      <w:r w:rsidR="0002198F">
        <w:t xml:space="preserve"> reported in Figure 1</w:t>
      </w:r>
      <w:r w:rsidRPr="00441BDA">
        <w:t>. Solidity represents the ratio between the object's area and its convex area, while the number of triple points refers to junctions where exactly three branches meet.</w:t>
      </w:r>
    </w:p>
    <w:p w14:paraId="0B59C540" w14:textId="77777777" w:rsidR="00D063C9" w:rsidRPr="0057191D" w:rsidRDefault="00D063C9" w:rsidP="00D063C9"/>
    <w:p w14:paraId="0DF0DE34" w14:textId="77777777" w:rsidR="00D063C9" w:rsidRPr="0057191D" w:rsidRDefault="00D063C9" w:rsidP="00D063C9">
      <w:pPr>
        <w:autoSpaceDE w:val="0"/>
        <w:autoSpaceDN w:val="0"/>
        <w:adjustRightInd w:val="0"/>
        <w:spacing w:after="0" w:line="240" w:lineRule="auto"/>
        <w:jc w:val="both"/>
      </w:pPr>
    </w:p>
    <w:p w14:paraId="00B5E911" w14:textId="77777777" w:rsidR="006A64EA" w:rsidRDefault="006A64EA" w:rsidP="00D063C9">
      <w:pPr>
        <w:autoSpaceDE w:val="0"/>
        <w:autoSpaceDN w:val="0"/>
        <w:adjustRightInd w:val="0"/>
        <w:spacing w:after="0" w:line="240" w:lineRule="auto"/>
        <w:jc w:val="center"/>
      </w:pPr>
      <w:r>
        <w:br w:type="page"/>
      </w:r>
    </w:p>
    <w:p w14:paraId="4704E470" w14:textId="3F3D14FD" w:rsidR="006A64EA" w:rsidRDefault="004442CC" w:rsidP="00D063C9">
      <w:pPr>
        <w:autoSpaceDE w:val="0"/>
        <w:autoSpaceDN w:val="0"/>
        <w:adjustRightInd w:val="0"/>
        <w:spacing w:after="0" w:line="240" w:lineRule="auto"/>
        <w:jc w:val="center"/>
      </w:pPr>
      <w:r>
        <w:rPr>
          <w:noProof/>
        </w:rPr>
        <w:lastRenderedPageBreak/>
        <w:drawing>
          <wp:inline distT="0" distB="0" distL="0" distR="0" wp14:anchorId="7FCF37E9" wp14:editId="7677C095">
            <wp:extent cx="6040846" cy="4143776"/>
            <wp:effectExtent l="0" t="0" r="0" b="9525"/>
            <wp:docPr id="146908396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3023" cy="4152129"/>
                    </a:xfrm>
                    <a:prstGeom prst="rect">
                      <a:avLst/>
                    </a:prstGeom>
                    <a:noFill/>
                  </pic:spPr>
                </pic:pic>
              </a:graphicData>
            </a:graphic>
          </wp:inline>
        </w:drawing>
      </w:r>
    </w:p>
    <w:p w14:paraId="1A0C9345" w14:textId="77777777" w:rsidR="006A64EA" w:rsidRDefault="006A64EA" w:rsidP="00D063C9">
      <w:pPr>
        <w:autoSpaceDE w:val="0"/>
        <w:autoSpaceDN w:val="0"/>
        <w:adjustRightInd w:val="0"/>
        <w:spacing w:after="0" w:line="240" w:lineRule="auto"/>
        <w:jc w:val="center"/>
      </w:pPr>
    </w:p>
    <w:p w14:paraId="5BFB61B8" w14:textId="4F1DAF3B" w:rsidR="006A64EA" w:rsidRPr="006A64EA" w:rsidRDefault="006A64EA" w:rsidP="008322ED">
      <w:pPr>
        <w:autoSpaceDE w:val="0"/>
        <w:autoSpaceDN w:val="0"/>
        <w:adjustRightInd w:val="0"/>
        <w:spacing w:after="0" w:line="240" w:lineRule="auto"/>
        <w:jc w:val="both"/>
        <w:rPr>
          <w:b/>
          <w:bCs/>
        </w:rPr>
      </w:pPr>
      <w:r w:rsidRPr="0057191D">
        <w:rPr>
          <w:b/>
          <w:bCs/>
        </w:rPr>
        <w:t xml:space="preserve">Figure Supplementary </w:t>
      </w:r>
      <w:r>
        <w:rPr>
          <w:b/>
          <w:bCs/>
        </w:rPr>
        <w:t>4</w:t>
      </w:r>
      <w:r w:rsidRPr="006A64EA">
        <w:rPr>
          <w:b/>
          <w:bCs/>
        </w:rPr>
        <w:t>: Both T</w:t>
      </w:r>
      <w:r w:rsidR="004442CC">
        <w:rPr>
          <w:b/>
          <w:bCs/>
        </w:rPr>
        <w:t>mem</w:t>
      </w:r>
      <w:r w:rsidRPr="006A64EA">
        <w:rPr>
          <w:b/>
          <w:bCs/>
        </w:rPr>
        <w:t>119 and I</w:t>
      </w:r>
      <w:r w:rsidR="004442CC">
        <w:rPr>
          <w:b/>
          <w:bCs/>
        </w:rPr>
        <w:t>ba</w:t>
      </w:r>
      <w:r w:rsidRPr="006A64EA">
        <w:rPr>
          <w:b/>
          <w:bCs/>
        </w:rPr>
        <w:t>1 immunoreactivity characterized immune cells in the ventral midbrain of WT and L444P</w:t>
      </w:r>
      <w:r w:rsidR="004442CC">
        <w:rPr>
          <w:b/>
          <w:bCs/>
        </w:rPr>
        <w:t>/+</w:t>
      </w:r>
      <w:r w:rsidRPr="006A64EA">
        <w:rPr>
          <w:b/>
          <w:bCs/>
        </w:rPr>
        <w:t xml:space="preserve"> mice. </w:t>
      </w:r>
    </w:p>
    <w:p w14:paraId="55E0C867" w14:textId="1421A9AE" w:rsidR="006A64EA" w:rsidRPr="006A64EA" w:rsidRDefault="006A64EA" w:rsidP="008322ED">
      <w:pPr>
        <w:autoSpaceDE w:val="0"/>
        <w:autoSpaceDN w:val="0"/>
        <w:adjustRightInd w:val="0"/>
        <w:spacing w:after="0" w:line="240" w:lineRule="auto"/>
        <w:jc w:val="both"/>
        <w:rPr>
          <w:b/>
          <w:bCs/>
        </w:rPr>
      </w:pPr>
      <w:r w:rsidRPr="006A64EA">
        <w:t>Representative immunofluorescence images (low and high magnification) of the ventral midbrain showing co-staining of cells with the specific microglial marker, T</w:t>
      </w:r>
      <w:r w:rsidR="004442CC">
        <w:t>mem</w:t>
      </w:r>
      <w:r w:rsidRPr="006A64EA">
        <w:t>119 (magenta), and the pan macrophagic marker, Iba 1 (green). Please note that all of the Iba 1-positive cells also appeared to display immunoreactivity for T</w:t>
      </w:r>
      <w:r w:rsidR="004442CC">
        <w:t>mem</w:t>
      </w:r>
      <w:r w:rsidRPr="006A64EA">
        <w:t>119, indicating absence or negligible burden by infiltrated peripheral macrophages.</w:t>
      </w:r>
      <w:r w:rsidR="00B37A47">
        <w:t xml:space="preserve"> </w:t>
      </w:r>
      <w:r w:rsidR="00B37A47" w:rsidRPr="00B37A47">
        <w:t>Scale bar: 200 µm for low magnification and 50 µm for high magnification.</w:t>
      </w:r>
    </w:p>
    <w:p w14:paraId="7B24BC86" w14:textId="05F94626" w:rsidR="001909CA" w:rsidRDefault="001909CA" w:rsidP="00D063C9">
      <w:pPr>
        <w:autoSpaceDE w:val="0"/>
        <w:autoSpaceDN w:val="0"/>
        <w:adjustRightInd w:val="0"/>
        <w:spacing w:after="0" w:line="240" w:lineRule="auto"/>
        <w:jc w:val="center"/>
      </w:pPr>
      <w:r>
        <w:br w:type="page"/>
      </w:r>
    </w:p>
    <w:p w14:paraId="2A50EC0F" w14:textId="04FC8BBE" w:rsidR="001909CA" w:rsidRDefault="006D6724" w:rsidP="00D063C9">
      <w:pPr>
        <w:autoSpaceDE w:val="0"/>
        <w:autoSpaceDN w:val="0"/>
        <w:adjustRightInd w:val="0"/>
        <w:spacing w:after="0" w:line="240" w:lineRule="auto"/>
        <w:jc w:val="center"/>
      </w:pPr>
      <w:r>
        <w:rPr>
          <w:noProof/>
        </w:rPr>
        <w:lastRenderedPageBreak/>
        <w:drawing>
          <wp:inline distT="0" distB="0" distL="0" distR="0" wp14:anchorId="3FED5D00" wp14:editId="14F63D0E">
            <wp:extent cx="6222854" cy="9115637"/>
            <wp:effectExtent l="0" t="0" r="6985" b="0"/>
            <wp:docPr id="100956384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27406" cy="9122306"/>
                    </a:xfrm>
                    <a:prstGeom prst="rect">
                      <a:avLst/>
                    </a:prstGeom>
                    <a:noFill/>
                  </pic:spPr>
                </pic:pic>
              </a:graphicData>
            </a:graphic>
          </wp:inline>
        </w:drawing>
      </w:r>
    </w:p>
    <w:p w14:paraId="6C892779" w14:textId="62E7278D" w:rsidR="00D063C9" w:rsidRPr="0057191D" w:rsidRDefault="001909CA" w:rsidP="00A617A4">
      <w:pPr>
        <w:autoSpaceDE w:val="0"/>
        <w:autoSpaceDN w:val="0"/>
        <w:adjustRightInd w:val="0"/>
        <w:spacing w:after="0" w:line="240" w:lineRule="auto"/>
        <w:jc w:val="both"/>
      </w:pPr>
      <w:r w:rsidRPr="001909CA">
        <w:rPr>
          <w:b/>
          <w:bCs/>
        </w:rPr>
        <w:lastRenderedPageBreak/>
        <w:t xml:space="preserve">Figure Supplementary </w:t>
      </w:r>
      <w:r w:rsidR="00A040AC">
        <w:rPr>
          <w:b/>
          <w:bCs/>
        </w:rPr>
        <w:t>5</w:t>
      </w:r>
      <w:r w:rsidRPr="001909CA">
        <w:rPr>
          <w:b/>
          <w:bCs/>
        </w:rPr>
        <w:t xml:space="preserve">. </w:t>
      </w:r>
      <w:r w:rsidRPr="001909CA">
        <w:t>Morphological characterization of GCase-impaired microglia. Representative images of the cortex (CTX) and striatum (STR) showing Iba1-positive microglia stained with DAB (left)</w:t>
      </w:r>
      <w:r>
        <w:t xml:space="preserve"> </w:t>
      </w:r>
      <w:r w:rsidRPr="001909CA">
        <w:t>(scale bars: 200 µm and 50 µm) from vehicle-treated (V</w:t>
      </w:r>
      <w:r w:rsidR="006D6724">
        <w:t>eh</w:t>
      </w:r>
      <w:r w:rsidRPr="001909CA">
        <w:t>) and CBE-treated (CBE; 100 µg/kg for 3 days) mice, as well as from L444P/+ and wild-type (WT) littermates. Quantitative analysis of microglial morphology is shown on the right. Data are presented as mean ± SD, averaged per mouse. *p &lt; 0.05, **p &lt; 0.01, unpaired t-test</w:t>
      </w:r>
      <w:r w:rsidR="00A617A4">
        <w:t xml:space="preserve"> (n=3)</w:t>
      </w:r>
      <w:r w:rsidRPr="001909CA">
        <w:t>.</w:t>
      </w:r>
      <w:r w:rsidR="00D063C9" w:rsidRPr="0057191D">
        <w:br w:type="page"/>
      </w:r>
      <w:r w:rsidR="004A79C7" w:rsidRPr="004A79C7">
        <w:rPr>
          <w:noProof/>
        </w:rPr>
        <w:lastRenderedPageBreak/>
        <w:t xml:space="preserve"> </w:t>
      </w:r>
      <w:r w:rsidR="004A79C7" w:rsidRPr="004A79C7">
        <w:rPr>
          <w:noProof/>
        </w:rPr>
        <w:drawing>
          <wp:inline distT="0" distB="0" distL="0" distR="0" wp14:anchorId="760921BD" wp14:editId="60CFA412">
            <wp:extent cx="6120130" cy="2656840"/>
            <wp:effectExtent l="0" t="0" r="0" b="0"/>
            <wp:docPr id="3" name="Immagine 2">
              <a:extLst xmlns:a="http://schemas.openxmlformats.org/drawingml/2006/main">
                <a:ext uri="{FF2B5EF4-FFF2-40B4-BE49-F238E27FC236}">
                  <a16:creationId xmlns:a16="http://schemas.microsoft.com/office/drawing/2014/main" id="{8A84AEA2-18BF-6A32-9D8E-F0FEA45AF7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a:extLst>
                        <a:ext uri="{FF2B5EF4-FFF2-40B4-BE49-F238E27FC236}">
                          <a16:creationId xmlns:a16="http://schemas.microsoft.com/office/drawing/2014/main" id="{8A84AEA2-18BF-6A32-9D8E-F0FEA45AF7C9}"/>
                        </a:ext>
                      </a:extLst>
                    </pic:cNvPr>
                    <pic:cNvPicPr>
                      <a:picLocks noChangeAspect="1"/>
                    </pic:cNvPicPr>
                  </pic:nvPicPr>
                  <pic:blipFill>
                    <a:blip r:embed="rId12"/>
                    <a:srcRect t="10975"/>
                    <a:stretch>
                      <a:fillRect/>
                    </a:stretch>
                  </pic:blipFill>
                  <pic:spPr>
                    <a:xfrm>
                      <a:off x="0" y="0"/>
                      <a:ext cx="6120130" cy="2656840"/>
                    </a:xfrm>
                    <a:prstGeom prst="rect">
                      <a:avLst/>
                    </a:prstGeom>
                  </pic:spPr>
                </pic:pic>
              </a:graphicData>
            </a:graphic>
          </wp:inline>
        </w:drawing>
      </w:r>
    </w:p>
    <w:p w14:paraId="64BC4674" w14:textId="64055AD4" w:rsidR="00D063C9" w:rsidRPr="0057191D" w:rsidRDefault="00D063C9" w:rsidP="008322ED">
      <w:pPr>
        <w:jc w:val="both"/>
      </w:pPr>
      <w:r w:rsidRPr="0057191D">
        <w:rPr>
          <w:b/>
          <w:bCs/>
        </w:rPr>
        <w:t xml:space="preserve">Figure Supplementary </w:t>
      </w:r>
      <w:r w:rsidR="006A64EA">
        <w:rPr>
          <w:b/>
          <w:bCs/>
        </w:rPr>
        <w:t>6</w:t>
      </w:r>
      <w:r w:rsidRPr="0057191D">
        <w:rPr>
          <w:b/>
          <w:bCs/>
        </w:rPr>
        <w:t>:</w:t>
      </w:r>
      <w:r w:rsidRPr="0057191D">
        <w:t xml:space="preserve"> Analysis of the TPM values obtained from the transcriptomic assay described in Figure 2 highlights that the samples were highly enriched in microglia, as microglial genes</w:t>
      </w:r>
      <w:r>
        <w:t xml:space="preserve"> (</w:t>
      </w:r>
      <w:r w:rsidRPr="004C75EE">
        <w:rPr>
          <w:i/>
          <w:iCs/>
        </w:rPr>
        <w:t>C1qa, P2ry12, Csf1r</w:t>
      </w:r>
      <w:r w:rsidR="00980002">
        <w:rPr>
          <w:i/>
          <w:iCs/>
        </w:rPr>
        <w:t>, Hexb</w:t>
      </w:r>
      <w:r>
        <w:t xml:space="preserve">) </w:t>
      </w:r>
      <w:r w:rsidRPr="0057191D">
        <w:t>are drastically overrepresented compared to genes of other brain cells.</w:t>
      </w:r>
    </w:p>
    <w:p w14:paraId="25E7AB2E" w14:textId="77777777" w:rsidR="00D063C9" w:rsidRPr="0057191D" w:rsidRDefault="00D063C9" w:rsidP="00D063C9"/>
    <w:p w14:paraId="439ED1C9" w14:textId="77777777" w:rsidR="00D063C9" w:rsidRPr="0057191D" w:rsidRDefault="00D063C9" w:rsidP="00D063C9"/>
    <w:p w14:paraId="3EE2F033" w14:textId="1AFAA027" w:rsidR="00D063C9" w:rsidRDefault="00D063C9" w:rsidP="00D063C9">
      <w:r>
        <w:br w:type="page"/>
      </w:r>
    </w:p>
    <w:p w14:paraId="76C78784" w14:textId="4D65C414" w:rsidR="00D063C9" w:rsidRPr="0057191D" w:rsidRDefault="006D6724" w:rsidP="00D063C9">
      <w:r w:rsidRPr="006D6724">
        <w:rPr>
          <w:noProof/>
        </w:rPr>
        <w:lastRenderedPageBreak/>
        <w:drawing>
          <wp:inline distT="0" distB="0" distL="0" distR="0" wp14:anchorId="55828114" wp14:editId="36835678">
            <wp:extent cx="6120130" cy="1862455"/>
            <wp:effectExtent l="0" t="0" r="0" b="0"/>
            <wp:docPr id="27061022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1862455"/>
                    </a:xfrm>
                    <a:prstGeom prst="rect">
                      <a:avLst/>
                    </a:prstGeom>
                    <a:noFill/>
                    <a:ln>
                      <a:noFill/>
                    </a:ln>
                  </pic:spPr>
                </pic:pic>
              </a:graphicData>
            </a:graphic>
          </wp:inline>
        </w:drawing>
      </w:r>
    </w:p>
    <w:p w14:paraId="5FA6D4E1" w14:textId="542007EF" w:rsidR="00D063C9" w:rsidRPr="0057191D" w:rsidRDefault="00D063C9" w:rsidP="00D063C9">
      <w:r w:rsidRPr="0057191D">
        <w:rPr>
          <w:b/>
          <w:bCs/>
        </w:rPr>
        <w:t xml:space="preserve">Figure Supplementary </w:t>
      </w:r>
      <w:r w:rsidR="006A64EA">
        <w:rPr>
          <w:b/>
          <w:bCs/>
        </w:rPr>
        <w:t>7</w:t>
      </w:r>
      <w:r w:rsidRPr="0057191D">
        <w:rPr>
          <w:b/>
          <w:bCs/>
        </w:rPr>
        <w:t>:</w:t>
      </w:r>
      <w:r w:rsidRPr="0057191D">
        <w:t xml:space="preserve"> qPCR validation(left): A total of 9 genes were selected. Data are expressed using the 2</w:t>
      </w:r>
      <w:r w:rsidRPr="0057191D">
        <w:rPr>
          <w:vertAlign w:val="superscript"/>
        </w:rPr>
        <w:t>-ΔΔCt</w:t>
      </w:r>
      <w:r w:rsidRPr="0057191D">
        <w:t xml:space="preserve"> method. Columns represent the mean ± SEM of 8 animals per experimental group. *</w:t>
      </w:r>
      <w:r w:rsidR="00B43714">
        <w:t>p</w:t>
      </w:r>
      <w:r w:rsidRPr="0057191D">
        <w:t xml:space="preserve"> &lt; 0.05; determined by unpaired t-test comparisons. The expression analyses of the selected genes gave results consistent with those obtained by RNAseq (right).</w:t>
      </w:r>
    </w:p>
    <w:p w14:paraId="1E419461" w14:textId="5D843AD9" w:rsidR="00D063C9" w:rsidRDefault="00D063C9" w:rsidP="00D063C9">
      <w:r>
        <w:br w:type="page"/>
      </w:r>
    </w:p>
    <w:p w14:paraId="34D2782A" w14:textId="77777777" w:rsidR="00D063C9" w:rsidRPr="0057191D" w:rsidRDefault="00D063C9" w:rsidP="00D063C9"/>
    <w:p w14:paraId="54E62281" w14:textId="77777777" w:rsidR="00D063C9" w:rsidRPr="0057191D" w:rsidRDefault="00D063C9" w:rsidP="00D063C9"/>
    <w:p w14:paraId="1BC6A3D4" w14:textId="77777777" w:rsidR="00D063C9" w:rsidRPr="0057191D" w:rsidRDefault="00D063C9" w:rsidP="00D063C9">
      <w:pPr>
        <w:jc w:val="center"/>
      </w:pPr>
      <w:r w:rsidRPr="0057191D">
        <w:rPr>
          <w:noProof/>
        </w:rPr>
        <w:drawing>
          <wp:inline distT="0" distB="0" distL="0" distR="0" wp14:anchorId="11D438CD" wp14:editId="1593DD21">
            <wp:extent cx="3029447" cy="2436974"/>
            <wp:effectExtent l="0" t="0" r="0" b="0"/>
            <wp:docPr id="1095826149" name="Immagine 11" descr="Immagine che contiene nero, oscurità&#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26149" name="Immagine 11" descr="Immagine che contiene nero, oscurità&#10;&#10;Descrizione generata automaticamente"/>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032458" cy="2439396"/>
                    </a:xfrm>
                    <a:prstGeom prst="rect">
                      <a:avLst/>
                    </a:prstGeom>
                    <a:noFill/>
                  </pic:spPr>
                </pic:pic>
              </a:graphicData>
            </a:graphic>
          </wp:inline>
        </w:drawing>
      </w:r>
    </w:p>
    <w:p w14:paraId="2E87C43F" w14:textId="6BDD3F67" w:rsidR="00D063C9" w:rsidRPr="0057191D" w:rsidRDefault="00D063C9" w:rsidP="00D063C9">
      <w:r w:rsidRPr="0057191D">
        <w:rPr>
          <w:b/>
          <w:bCs/>
        </w:rPr>
        <w:t xml:space="preserve">Figure Supplementary </w:t>
      </w:r>
      <w:r w:rsidR="006A64EA">
        <w:rPr>
          <w:b/>
          <w:bCs/>
        </w:rPr>
        <w:t>8</w:t>
      </w:r>
      <w:r w:rsidRPr="0057191D">
        <w:rPr>
          <w:b/>
          <w:bCs/>
        </w:rPr>
        <w:t>:</w:t>
      </w:r>
      <w:r w:rsidRPr="0057191D">
        <w:t xml:space="preserve"> Gene expression analysis of the cellular brain population from which the microglia were removed highlights that the sample is enriched in neuron, astrocyte, and oligodendrocyte transcripts.</w:t>
      </w:r>
    </w:p>
    <w:p w14:paraId="298082A0" w14:textId="5D0FFACA" w:rsidR="00324C32" w:rsidRDefault="00D063C9" w:rsidP="00D063C9">
      <w:r>
        <w:br w:type="page"/>
      </w:r>
    </w:p>
    <w:p w14:paraId="4EA63A6A" w14:textId="77777777" w:rsidR="00324C32" w:rsidRDefault="00324C32" w:rsidP="00324C32">
      <w:pPr>
        <w:jc w:val="both"/>
        <w:rPr>
          <w:b/>
          <w:bCs/>
        </w:rPr>
      </w:pPr>
    </w:p>
    <w:p w14:paraId="0F31F377" w14:textId="490E3F1B" w:rsidR="00324C32" w:rsidRDefault="005B5A06" w:rsidP="008322ED">
      <w:pPr>
        <w:jc w:val="center"/>
        <w:rPr>
          <w:b/>
          <w:bCs/>
        </w:rPr>
      </w:pPr>
      <w:r w:rsidRPr="005B5A06">
        <w:rPr>
          <w:b/>
          <w:bCs/>
          <w:noProof/>
        </w:rPr>
        <w:drawing>
          <wp:inline distT="0" distB="0" distL="0" distR="0" wp14:anchorId="4297C9C6" wp14:editId="470B5909">
            <wp:extent cx="4329929" cy="2923309"/>
            <wp:effectExtent l="0" t="0" r="0" b="0"/>
            <wp:docPr id="1724218484" name="Immagine 1" descr="Immagine che contiene schermata, Policrom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18484" name="Immagine 1" descr="Immagine che contiene schermata, Policromia&#10;&#10;Il contenuto generato dall'IA potrebbe non essere corretto."/>
                    <pic:cNvPicPr/>
                  </pic:nvPicPr>
                  <pic:blipFill>
                    <a:blip r:embed="rId15"/>
                    <a:stretch>
                      <a:fillRect/>
                    </a:stretch>
                  </pic:blipFill>
                  <pic:spPr>
                    <a:xfrm>
                      <a:off x="0" y="0"/>
                      <a:ext cx="4347697" cy="2935305"/>
                    </a:xfrm>
                    <a:prstGeom prst="rect">
                      <a:avLst/>
                    </a:prstGeom>
                  </pic:spPr>
                </pic:pic>
              </a:graphicData>
            </a:graphic>
          </wp:inline>
        </w:drawing>
      </w:r>
    </w:p>
    <w:p w14:paraId="720C2E5F" w14:textId="3A93B771" w:rsidR="00324C32" w:rsidRPr="008322ED" w:rsidRDefault="00324C32" w:rsidP="00324C32">
      <w:pPr>
        <w:jc w:val="both"/>
      </w:pPr>
      <w:r w:rsidRPr="0057191D">
        <w:rPr>
          <w:b/>
          <w:bCs/>
        </w:rPr>
        <w:t xml:space="preserve">Figure Supplementary </w:t>
      </w:r>
      <w:r w:rsidR="006A64EA">
        <w:rPr>
          <w:b/>
          <w:bCs/>
        </w:rPr>
        <w:t>9</w:t>
      </w:r>
      <w:r w:rsidRPr="008322ED">
        <w:t xml:space="preserve">: </w:t>
      </w:r>
      <w:r w:rsidR="00D1384D" w:rsidRPr="00D1384D">
        <w:rPr>
          <w:b/>
          <w:bCs/>
        </w:rPr>
        <w:t>Immunocytochemical</w:t>
      </w:r>
      <w:r w:rsidRPr="008322ED">
        <w:rPr>
          <w:b/>
          <w:bCs/>
        </w:rPr>
        <w:t xml:space="preserve"> </w:t>
      </w:r>
      <w:r w:rsidR="00D1384D" w:rsidRPr="00D1384D">
        <w:rPr>
          <w:b/>
          <w:bCs/>
        </w:rPr>
        <w:t>characterization</w:t>
      </w:r>
      <w:r w:rsidRPr="008322ED">
        <w:rPr>
          <w:b/>
          <w:bCs/>
        </w:rPr>
        <w:t xml:space="preserve"> of </w:t>
      </w:r>
      <w:r w:rsidRPr="008322ED">
        <w:rPr>
          <w:b/>
          <w:bCs/>
          <w:i/>
          <w:iCs/>
        </w:rPr>
        <w:t>GBA</w:t>
      </w:r>
      <w:r w:rsidR="00624081">
        <w:rPr>
          <w:b/>
          <w:bCs/>
        </w:rPr>
        <w:t xml:space="preserve"> (L444P/+) </w:t>
      </w:r>
      <w:r w:rsidRPr="008322ED">
        <w:rPr>
          <w:b/>
          <w:bCs/>
        </w:rPr>
        <w:t>and paired isogenic</w:t>
      </w:r>
      <w:r w:rsidR="00624081">
        <w:rPr>
          <w:b/>
          <w:bCs/>
        </w:rPr>
        <w:t xml:space="preserve"> (wt)</w:t>
      </w:r>
      <w:r w:rsidRPr="008322ED">
        <w:rPr>
          <w:b/>
          <w:bCs/>
        </w:rPr>
        <w:t xml:space="preserve"> iPSC-derived control microglia. </w:t>
      </w:r>
      <w:r w:rsidRPr="008322ED">
        <w:t xml:space="preserve">Representative confocal images showing the immunocytochemical staining of IBA1 (red) and </w:t>
      </w:r>
      <w:r w:rsidR="005B5A06" w:rsidRPr="008322ED">
        <w:t xml:space="preserve">SPI1 </w:t>
      </w:r>
      <w:r w:rsidRPr="008322ED">
        <w:t>(green</w:t>
      </w:r>
      <w:r w:rsidR="005B5A06">
        <w:t xml:space="preserve">- A </w:t>
      </w:r>
      <w:r w:rsidR="005B5A06" w:rsidRPr="005B5A06">
        <w:t>crucial transcription factor for microglial development</w:t>
      </w:r>
      <w:r w:rsidRPr="008322ED">
        <w:t>) with nuclei (DAPI, blue) in L444P/WT and paired isogenic control iPSC-derived microglia. Scale bar, 50µm.</w:t>
      </w:r>
      <w:r w:rsidRPr="008322ED">
        <w:br w:type="page"/>
      </w:r>
    </w:p>
    <w:p w14:paraId="7B0201F6" w14:textId="77777777" w:rsidR="00324C32" w:rsidRPr="008322ED" w:rsidRDefault="00324C32" w:rsidP="008322ED">
      <w:pPr>
        <w:jc w:val="both"/>
      </w:pPr>
    </w:p>
    <w:p w14:paraId="4502C135" w14:textId="79528326" w:rsidR="00D063C9" w:rsidRDefault="006D6724" w:rsidP="008322ED">
      <w:pPr>
        <w:jc w:val="center"/>
      </w:pPr>
      <w:r w:rsidRPr="006D6724">
        <w:rPr>
          <w:noProof/>
        </w:rPr>
        <w:drawing>
          <wp:inline distT="0" distB="0" distL="0" distR="0" wp14:anchorId="04A151AC" wp14:editId="6162D29D">
            <wp:extent cx="1649095" cy="1731818"/>
            <wp:effectExtent l="0" t="0" r="0" b="1905"/>
            <wp:docPr id="82868473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a:extLst>
                        <a:ext uri="{28A0092B-C50C-407E-A947-70E740481C1C}">
                          <a14:useLocalDpi xmlns:a14="http://schemas.microsoft.com/office/drawing/2010/main" val="0"/>
                        </a:ext>
                      </a:extLst>
                    </a:blip>
                    <a:srcRect b="8724"/>
                    <a:stretch>
                      <a:fillRect/>
                    </a:stretch>
                  </pic:blipFill>
                  <pic:spPr bwMode="auto">
                    <a:xfrm>
                      <a:off x="0" y="0"/>
                      <a:ext cx="1651598" cy="1734447"/>
                    </a:xfrm>
                    <a:prstGeom prst="rect">
                      <a:avLst/>
                    </a:prstGeom>
                    <a:noFill/>
                    <a:ln>
                      <a:noFill/>
                    </a:ln>
                    <a:extLst>
                      <a:ext uri="{53640926-AAD7-44D8-BBD7-CCE9431645EC}">
                        <a14:shadowObscured xmlns:a14="http://schemas.microsoft.com/office/drawing/2010/main"/>
                      </a:ext>
                    </a:extLst>
                  </pic:spPr>
                </pic:pic>
              </a:graphicData>
            </a:graphic>
          </wp:inline>
        </w:drawing>
      </w:r>
    </w:p>
    <w:p w14:paraId="5E5AE13A" w14:textId="5EF13CE0" w:rsidR="00D063C9" w:rsidRPr="0057191D" w:rsidRDefault="00D063C9" w:rsidP="008322ED">
      <w:pPr>
        <w:jc w:val="both"/>
      </w:pPr>
      <w:r w:rsidRPr="0057191D">
        <w:rPr>
          <w:b/>
          <w:bCs/>
        </w:rPr>
        <w:t xml:space="preserve">Figure Supplementary </w:t>
      </w:r>
      <w:r w:rsidR="006A64EA">
        <w:rPr>
          <w:b/>
          <w:bCs/>
        </w:rPr>
        <w:t>10</w:t>
      </w:r>
      <w:r w:rsidRPr="0057191D">
        <w:rPr>
          <w:b/>
          <w:bCs/>
        </w:rPr>
        <w:t>:</w:t>
      </w:r>
      <w:r w:rsidRPr="0057191D">
        <w:t xml:space="preserve"> Viability assay using trypan blue in cocultures of SK-N-BE and BV-2 cells treated with vehicle or 200 µM CBE for 48 hours. Data represent percentage viability relative to vehicle-treated cells ± SEM (n=6); no significant difference identified with unpaired t-test.</w:t>
      </w:r>
    </w:p>
    <w:p w14:paraId="5F7F4FC6" w14:textId="77777777" w:rsidR="00D063C9" w:rsidRPr="0057191D" w:rsidRDefault="00D063C9" w:rsidP="00D063C9"/>
    <w:p w14:paraId="322459BD" w14:textId="77777777" w:rsidR="00D063C9" w:rsidRPr="0057191D" w:rsidRDefault="00D063C9" w:rsidP="00D063C9"/>
    <w:p w14:paraId="37937656" w14:textId="57C6B6F5" w:rsidR="00D063C9" w:rsidRDefault="00D063C9" w:rsidP="00D063C9">
      <w:r>
        <w:br w:type="page"/>
      </w:r>
    </w:p>
    <w:p w14:paraId="7D65B85B" w14:textId="77777777" w:rsidR="00D063C9" w:rsidRPr="0057191D" w:rsidRDefault="00D063C9" w:rsidP="00D063C9"/>
    <w:p w14:paraId="2F2F9071" w14:textId="613A4F24" w:rsidR="00D063C9" w:rsidRPr="0057191D" w:rsidRDefault="00160FD0" w:rsidP="008B27A2">
      <w:pPr>
        <w:jc w:val="center"/>
      </w:pPr>
      <w:r w:rsidRPr="00160FD0">
        <w:rPr>
          <w:noProof/>
        </w:rPr>
        <w:drawing>
          <wp:inline distT="0" distB="0" distL="0" distR="0" wp14:anchorId="5B456415" wp14:editId="1C035BF2">
            <wp:extent cx="6120130" cy="7632065"/>
            <wp:effectExtent l="0" t="0" r="0" b="0"/>
            <wp:docPr id="39326187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632065"/>
                    </a:xfrm>
                    <a:prstGeom prst="rect">
                      <a:avLst/>
                    </a:prstGeom>
                    <a:noFill/>
                    <a:ln>
                      <a:noFill/>
                    </a:ln>
                  </pic:spPr>
                </pic:pic>
              </a:graphicData>
            </a:graphic>
          </wp:inline>
        </w:drawing>
      </w:r>
    </w:p>
    <w:p w14:paraId="4EC518AA" w14:textId="115DB1E6" w:rsidR="00D063C9" w:rsidRPr="0057191D" w:rsidRDefault="00D063C9" w:rsidP="00D063C9">
      <w:pPr>
        <w:jc w:val="center"/>
      </w:pPr>
    </w:p>
    <w:p w14:paraId="6D3E2E37" w14:textId="03DD98FF" w:rsidR="00D063C9" w:rsidRDefault="00253519" w:rsidP="008322ED">
      <w:pPr>
        <w:jc w:val="both"/>
      </w:pPr>
      <w:r w:rsidRPr="00253519">
        <w:rPr>
          <w:b/>
          <w:bCs/>
        </w:rPr>
        <w:t>Figure Supplementary 11.</w:t>
      </w:r>
      <w:r w:rsidRPr="008322ED">
        <w:t xml:space="preserve"> Representative FACS histograms showing mitochondrial staining intensity in CD11b</w:t>
      </w:r>
      <w:r w:rsidRPr="008322ED">
        <w:rPr>
          <w:rFonts w:ascii="Cambria Math" w:hAnsi="Cambria Math" w:cs="Cambria Math"/>
        </w:rPr>
        <w:t>⁺</w:t>
      </w:r>
      <w:r w:rsidRPr="008322ED">
        <w:t xml:space="preserve"> and CD11b</w:t>
      </w:r>
      <w:r w:rsidRPr="008322ED">
        <w:rPr>
          <w:rFonts w:ascii="Cambria Math" w:hAnsi="Cambria Math" w:cs="Cambria Math"/>
        </w:rPr>
        <w:t>⁻</w:t>
      </w:r>
      <w:r w:rsidRPr="008322ED">
        <w:t xml:space="preserve"> cell populations after treatment with 200 </w:t>
      </w:r>
      <w:r w:rsidRPr="008322ED">
        <w:rPr>
          <w:rFonts w:ascii="Aptos" w:hAnsi="Aptos" w:cs="Aptos"/>
        </w:rPr>
        <w:t>µ</w:t>
      </w:r>
      <w:r w:rsidRPr="008322ED">
        <w:t xml:space="preserve">M CBE for 48 hours. Fluorescence profiles are shown for MitoTracker Red (A), MitoTracker Green (B), and TMRM (C). The </w:t>
      </w:r>
      <w:r w:rsidRPr="008322ED">
        <w:rPr>
          <w:i/>
          <w:iCs/>
        </w:rPr>
        <w:t>H</w:t>
      </w:r>
      <w:r w:rsidRPr="008322ED">
        <w:t xml:space="preserve"> gate indicates </w:t>
      </w:r>
      <w:r w:rsidRPr="008322ED">
        <w:lastRenderedPageBreak/>
        <w:t>cells with high fluorescence intensity</w:t>
      </w:r>
      <w:r w:rsidR="008B27A2">
        <w:t xml:space="preserve"> (percentage reported in figure 4)</w:t>
      </w:r>
      <w:r w:rsidRPr="008322ED">
        <w:t xml:space="preserve">, while the </w:t>
      </w:r>
      <w:r w:rsidRPr="008322ED">
        <w:rPr>
          <w:i/>
          <w:iCs/>
        </w:rPr>
        <w:t>L</w:t>
      </w:r>
      <w:r w:rsidRPr="008322ED">
        <w:t xml:space="preserve"> gate indicates cells with low intensity. In </w:t>
      </w:r>
      <w:r w:rsidR="006843A8">
        <w:t>first panel</w:t>
      </w:r>
      <w:r w:rsidRPr="008322ED">
        <w:t>, the histogram also includes the profile of unstained cells.</w:t>
      </w:r>
      <w:r w:rsidR="00D063C9">
        <w:br w:type="page"/>
      </w:r>
    </w:p>
    <w:p w14:paraId="18A90F72" w14:textId="77777777" w:rsidR="00D063C9" w:rsidRPr="0057191D" w:rsidRDefault="00D063C9" w:rsidP="00D063C9"/>
    <w:p w14:paraId="057FE799" w14:textId="77777777" w:rsidR="00D063C9" w:rsidRPr="0057191D" w:rsidRDefault="00D063C9" w:rsidP="00D063C9"/>
    <w:p w14:paraId="16E4968D" w14:textId="5AD50B3F" w:rsidR="00D063C9" w:rsidRPr="0057191D" w:rsidRDefault="00AF014D" w:rsidP="00D063C9">
      <w:r>
        <w:rPr>
          <w:noProof/>
        </w:rPr>
        <w:drawing>
          <wp:inline distT="0" distB="0" distL="0" distR="0" wp14:anchorId="3FED06ED" wp14:editId="004D3833">
            <wp:extent cx="3845922" cy="5428615"/>
            <wp:effectExtent l="0" t="0" r="2540" b="0"/>
            <wp:docPr id="486214645"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851836" cy="5436962"/>
                    </a:xfrm>
                    <a:prstGeom prst="rect">
                      <a:avLst/>
                    </a:prstGeom>
                    <a:noFill/>
                  </pic:spPr>
                </pic:pic>
              </a:graphicData>
            </a:graphic>
          </wp:inline>
        </w:drawing>
      </w:r>
    </w:p>
    <w:p w14:paraId="5A705B04" w14:textId="14052C46" w:rsidR="00D063C9" w:rsidRPr="0057191D" w:rsidRDefault="00D063C9" w:rsidP="00D063C9">
      <w:r w:rsidRPr="0057191D">
        <w:rPr>
          <w:b/>
          <w:bCs/>
        </w:rPr>
        <w:t xml:space="preserve">Supplementary </w:t>
      </w:r>
      <w:r w:rsidR="006A64EA">
        <w:rPr>
          <w:b/>
          <w:bCs/>
        </w:rPr>
        <w:t>12</w:t>
      </w:r>
      <w:r w:rsidRPr="0057191D">
        <w:t xml:space="preserve"> </w:t>
      </w:r>
      <w:r w:rsidR="00577AD7">
        <w:t xml:space="preserve"> </w:t>
      </w:r>
    </w:p>
    <w:p w14:paraId="23608059" w14:textId="77777777" w:rsidR="00D063C9" w:rsidRPr="0057191D" w:rsidRDefault="00D063C9" w:rsidP="00D063C9">
      <w:pPr>
        <w:autoSpaceDE w:val="0"/>
        <w:autoSpaceDN w:val="0"/>
        <w:adjustRightInd w:val="0"/>
        <w:spacing w:after="0" w:line="240" w:lineRule="auto"/>
        <w:jc w:val="both"/>
      </w:pPr>
      <w:r w:rsidRPr="0057191D">
        <w:t xml:space="preserve"> (A)</w:t>
      </w:r>
      <w:r w:rsidRPr="0057191D">
        <w:rPr>
          <w:rFonts w:cs="AdvTTb5929f4c"/>
          <w:color w:val="131413"/>
          <w:sz w:val="16"/>
          <w:szCs w:val="16"/>
        </w:rPr>
        <w:t xml:space="preserve"> </w:t>
      </w:r>
      <w:r w:rsidRPr="0057191D">
        <w:t>Schematic representation of co-culture experiments designed to evaluate the effects of various treatments on microglia-neuron communication. The microglia are capable of activating the NFE2L2 (NRF2) transcription factor in neurons, a mechanism that can be detected using the SK-N-BE bioluminescent cell reporter for NFE2L2 (SK-ARE-</w:t>
      </w:r>
      <w:r w:rsidRPr="00400DFB">
        <w:rPr>
          <w:i/>
          <w:iCs/>
        </w:rPr>
        <w:t>luc2</w:t>
      </w:r>
      <w:r w:rsidRPr="0057191D">
        <w:t>).</w:t>
      </w:r>
    </w:p>
    <w:p w14:paraId="569A779A" w14:textId="77777777" w:rsidR="00D063C9" w:rsidRPr="0057191D" w:rsidRDefault="00D063C9" w:rsidP="00D063C9">
      <w:pPr>
        <w:autoSpaceDE w:val="0"/>
        <w:autoSpaceDN w:val="0"/>
        <w:adjustRightInd w:val="0"/>
        <w:spacing w:after="0" w:line="240" w:lineRule="auto"/>
        <w:jc w:val="both"/>
      </w:pPr>
    </w:p>
    <w:p w14:paraId="3CFADCF2" w14:textId="078E151C" w:rsidR="00D063C9" w:rsidRPr="0057191D" w:rsidRDefault="00D063C9" w:rsidP="00D063C9">
      <w:r w:rsidRPr="0057191D">
        <w:t>(</w:t>
      </w:r>
      <w:r w:rsidR="00AF014D">
        <w:t>B</w:t>
      </w:r>
      <w:r w:rsidRPr="0057191D">
        <w:t>) Viability assay on cells grown with reduced amounts of glutamine highlights that there is no viability deficit. SK-N-BE and BV-2 cells were grown for 6 hours with different concentrations of glutamine.</w:t>
      </w:r>
    </w:p>
    <w:p w14:paraId="003EDC74" w14:textId="6628BACE" w:rsidR="00D063C9" w:rsidRPr="0057191D" w:rsidRDefault="00D063C9" w:rsidP="00D063C9">
      <w:pPr>
        <w:autoSpaceDE w:val="0"/>
        <w:autoSpaceDN w:val="0"/>
        <w:adjustRightInd w:val="0"/>
        <w:spacing w:after="0" w:line="240" w:lineRule="auto"/>
        <w:jc w:val="both"/>
      </w:pPr>
      <w:r w:rsidRPr="0057191D">
        <w:t>(</w:t>
      </w:r>
      <w:r w:rsidR="00AF014D">
        <w:t>C)</w:t>
      </w:r>
      <w:r w:rsidRPr="0057191D">
        <w:t xml:space="preserve"> Inhibition of multiple enzymes that use glutamine through the mimetic 6-diazo-5-oxo-L-norleucine (DON) reduces microglia-to-neuron communication. SK-ARE-</w:t>
      </w:r>
      <w:r w:rsidRPr="0057191D">
        <w:rPr>
          <w:i/>
          <w:iCs/>
        </w:rPr>
        <w:t>luc2</w:t>
      </w:r>
      <w:r w:rsidRPr="0057191D">
        <w:t xml:space="preserve"> cells or coculture of SK-ARE-</w:t>
      </w:r>
      <w:r w:rsidRPr="0057191D">
        <w:rPr>
          <w:i/>
          <w:iCs/>
        </w:rPr>
        <w:t>luc2</w:t>
      </w:r>
      <w:r w:rsidRPr="0057191D">
        <w:t xml:space="preserve"> + BV-2 were treated with different doses of DON for 6 hours, and the luciferase activity was measured in cellular extracts. Data </w:t>
      </w:r>
      <w:r w:rsidR="00400DFB" w:rsidRPr="0057191D">
        <w:t>represents</w:t>
      </w:r>
      <w:r w:rsidRPr="0057191D">
        <w:t xml:space="preserve"> fold change (FC) of luciferase activity versus SK-ARE-</w:t>
      </w:r>
      <w:r w:rsidRPr="0057191D">
        <w:rPr>
          <w:i/>
          <w:iCs/>
        </w:rPr>
        <w:t>luc2</w:t>
      </w:r>
      <w:r w:rsidRPr="0057191D">
        <w:t xml:space="preserve"> ± SEM. *p&lt;0.05, **p&lt;0.01, calculated with one-way ANOVA followed by Sidak’s multiple comparisons test versus vehicle-treated cells. </w:t>
      </w:r>
    </w:p>
    <w:p w14:paraId="069BF721" w14:textId="77777777" w:rsidR="00D063C9" w:rsidRPr="0057191D" w:rsidRDefault="00D063C9" w:rsidP="00D063C9">
      <w:pPr>
        <w:autoSpaceDE w:val="0"/>
        <w:autoSpaceDN w:val="0"/>
        <w:adjustRightInd w:val="0"/>
        <w:spacing w:after="0" w:line="240" w:lineRule="auto"/>
        <w:jc w:val="both"/>
      </w:pPr>
    </w:p>
    <w:p w14:paraId="28646E2E" w14:textId="1425918B" w:rsidR="00D063C9" w:rsidRPr="0057191D" w:rsidRDefault="00D063C9" w:rsidP="00D063C9">
      <w:pPr>
        <w:autoSpaceDE w:val="0"/>
        <w:autoSpaceDN w:val="0"/>
        <w:adjustRightInd w:val="0"/>
        <w:spacing w:after="0" w:line="240" w:lineRule="auto"/>
        <w:jc w:val="both"/>
      </w:pPr>
      <w:r w:rsidRPr="0057191D">
        <w:t>(</w:t>
      </w:r>
      <w:r w:rsidR="00AF014D">
        <w:t>D</w:t>
      </w:r>
      <w:r w:rsidRPr="0057191D">
        <w:t>) Luciferase activity measured in protein extracts derived from SK-ARE-</w:t>
      </w:r>
      <w:r w:rsidRPr="0057191D">
        <w:rPr>
          <w:i/>
          <w:iCs/>
        </w:rPr>
        <w:t>luc2</w:t>
      </w:r>
      <w:r w:rsidRPr="0057191D">
        <w:t xml:space="preserve"> cells or coculture of SK-ARE-</w:t>
      </w:r>
      <w:r w:rsidRPr="0057191D">
        <w:rPr>
          <w:i/>
          <w:iCs/>
        </w:rPr>
        <w:t>luc2</w:t>
      </w:r>
      <w:r w:rsidRPr="0057191D">
        <w:t xml:space="preserve"> and BV-2 cells treated for 4 hours with 200 ng/ml of LPS. Data represent fold change (FC) of luciferase activity versus SK-ARE-</w:t>
      </w:r>
      <w:r w:rsidRPr="0057191D">
        <w:rPr>
          <w:i/>
          <w:iCs/>
        </w:rPr>
        <w:t>luc2</w:t>
      </w:r>
      <w:r w:rsidRPr="0057191D">
        <w:t xml:space="preserve"> grown in complete media ± SEM (n=7); ns, not significant, calculated with one-way ANOVA followed by Sidak’s multiple comparisons test.</w:t>
      </w:r>
    </w:p>
    <w:p w14:paraId="2FE39D9C" w14:textId="77777777" w:rsidR="00D063C9" w:rsidRPr="0057191D" w:rsidRDefault="00D063C9" w:rsidP="00D063C9"/>
    <w:p w14:paraId="4A22347D" w14:textId="77777777" w:rsidR="00D063C9" w:rsidRPr="0057191D" w:rsidRDefault="00D063C9" w:rsidP="00D063C9"/>
    <w:p w14:paraId="6FB23E2F" w14:textId="691B0BE1" w:rsidR="00C464D1" w:rsidRDefault="00C464D1">
      <w:r>
        <w:br w:type="page"/>
      </w:r>
    </w:p>
    <w:p w14:paraId="4DA3A961" w14:textId="4B4FA06C" w:rsidR="00DF60E7" w:rsidRPr="008322ED" w:rsidRDefault="00B37A47">
      <w:pPr>
        <w:rPr>
          <w:rFonts w:ascii="Times New Roman" w:hAnsi="Times New Roman" w:cs="Times New Roman"/>
          <w:b/>
          <w:bCs/>
          <w:sz w:val="24"/>
          <w:szCs w:val="24"/>
        </w:rPr>
      </w:pPr>
      <w:r w:rsidRPr="008322ED">
        <w:rPr>
          <w:rFonts w:ascii="Times New Roman" w:hAnsi="Times New Roman" w:cs="Times New Roman"/>
          <w:b/>
          <w:bCs/>
          <w:sz w:val="24"/>
          <w:szCs w:val="24"/>
        </w:rPr>
        <w:lastRenderedPageBreak/>
        <w:t>Supplementary</w:t>
      </w:r>
      <w:r w:rsidR="00C464D1" w:rsidRPr="008322ED">
        <w:rPr>
          <w:rFonts w:ascii="Times New Roman" w:hAnsi="Times New Roman" w:cs="Times New Roman"/>
          <w:b/>
          <w:bCs/>
          <w:sz w:val="24"/>
          <w:szCs w:val="24"/>
        </w:rPr>
        <w:t xml:space="preserve"> material and methods</w:t>
      </w:r>
    </w:p>
    <w:p w14:paraId="37FD8FFE" w14:textId="77777777" w:rsidR="00C464D1" w:rsidRPr="008322ED" w:rsidRDefault="00C464D1">
      <w:pPr>
        <w:rPr>
          <w:rFonts w:ascii="Times New Roman" w:hAnsi="Times New Roman" w:cs="Times New Roman"/>
          <w:sz w:val="24"/>
          <w:szCs w:val="24"/>
        </w:rPr>
      </w:pPr>
    </w:p>
    <w:p w14:paraId="2362FF72" w14:textId="77777777" w:rsidR="00C464D1" w:rsidRPr="00B37A47" w:rsidRDefault="00C464D1" w:rsidP="00C464D1">
      <w:pPr>
        <w:pStyle w:val="Paragrafoelenco"/>
        <w:spacing w:line="360" w:lineRule="auto"/>
        <w:ind w:left="0"/>
        <w:jc w:val="both"/>
        <w:rPr>
          <w:rFonts w:ascii="Times New Roman" w:hAnsi="Times New Roman" w:cs="Times New Roman"/>
          <w:b/>
          <w:bCs/>
        </w:rPr>
      </w:pPr>
      <w:r w:rsidRPr="00B37A47">
        <w:rPr>
          <w:rFonts w:ascii="Times New Roman" w:hAnsi="Times New Roman" w:cs="Times New Roman"/>
          <w:b/>
          <w:bCs/>
        </w:rPr>
        <w:t>GlcSph LC-MS/MS analysis</w:t>
      </w:r>
    </w:p>
    <w:p w14:paraId="27EE8D76" w14:textId="77777777" w:rsidR="00C464D1" w:rsidRPr="008322ED" w:rsidRDefault="00C464D1" w:rsidP="00C464D1">
      <w:pPr>
        <w:pStyle w:val="Paragrafoelenco"/>
        <w:spacing w:line="360" w:lineRule="auto"/>
        <w:ind w:left="0"/>
        <w:jc w:val="both"/>
        <w:rPr>
          <w:rFonts w:ascii="Times New Roman" w:hAnsi="Times New Roman" w:cs="Times New Roman"/>
        </w:rPr>
      </w:pPr>
      <w:r w:rsidRPr="008322ED">
        <w:rPr>
          <w:rFonts w:ascii="Times New Roman" w:hAnsi="Times New Roman" w:cs="Times New Roman"/>
        </w:rPr>
        <w:t>Glucosyl(ß)Sphingosine-d5 (GlcSph-d5) from AVANTI POLAR was used as internal standard to identify and quantify GlucosylSphingosine. A working solution of GlcSph-d5 was prepared in DMSO/methanol (1:1) at the final concentration of 2 ng/µl.</w:t>
      </w:r>
      <w:r w:rsidRPr="00B37A47">
        <w:rPr>
          <w:rFonts w:ascii="Times New Roman" w:hAnsi="Times New Roman" w:cs="Times New Roman"/>
        </w:rPr>
        <w:t xml:space="preserve"> </w:t>
      </w:r>
      <w:r w:rsidRPr="008322ED">
        <w:rPr>
          <w:rFonts w:ascii="Times New Roman" w:hAnsi="Times New Roman" w:cs="Times New Roman"/>
        </w:rPr>
        <w:t xml:space="preserve">Frozen brain tissue samples (one hemisphere) were put into one crio-vial. Ceramic beads (1.4 mm) were added to brain tissues (0.2 g beads/200 mg tissue) in addition to 120 µl H2O to prepare the brain homogenates. The samples were homogenized by using Tissue Lyser (Tissue Lyser Neo Biotech (NB-12-0004) with 6.5 m/s speed for 3 cycles of 30 sec with 30 sec break every each cycle. The samples were then centrifuged at 14,000 g for 10 min at 4°C. The final homogenates were around 1.6 mg/µl. These homogenates were stored at –80 °C until the GlcSph extraction. A 50 µl aliquot of brain homogenate, containing 25 µl of internal standard GlcSph-d5 (working solution 2 ng/µl), was used for the lipids extraction. 400 µl of methanol and 500 µl of methyl-ter-butyl ether (MTBE) were added to the tube prior to shaking on a vortexer for 2 min. After shaking, the samples were incubated on ice for 10 minutes. Consequently, they were added of 350 µl of water and shaked on a wheel for 5 minutes at room temperature. Upon a centrifugation step of 10 minutes at 10,000 g at 4°C, polar and apolar fractions were separated. The polar fraction was further resuspended and extracted by adding 500 µl of MTBE, vortexed and centrifuged as above. The upper apolar phase was added to the previous one, dried under N2 flow and then resuspended in 200 µl of a mixture of methanol/acetonitrile/isopropanol 2:3:5 containing 5 mM NH4HCOO and 0.05% NH4OH. The reconstituted apolar fraction was centrifuged again at 14,000 g for 5 min at 4°C just before the LC-MS/MS analysis. </w:t>
      </w:r>
    </w:p>
    <w:p w14:paraId="05B5A191" w14:textId="77777777" w:rsidR="00C464D1" w:rsidRDefault="00C464D1" w:rsidP="00C464D1">
      <w:pPr>
        <w:pStyle w:val="Paragrafoelenco"/>
        <w:spacing w:line="360" w:lineRule="auto"/>
        <w:ind w:left="0"/>
        <w:jc w:val="both"/>
        <w:rPr>
          <w:rFonts w:ascii="Times New Roman" w:hAnsi="Times New Roman" w:cs="Times New Roman"/>
        </w:rPr>
      </w:pPr>
      <w:r w:rsidRPr="008322ED">
        <w:rPr>
          <w:rFonts w:ascii="Times New Roman" w:hAnsi="Times New Roman" w:cs="Times New Roman"/>
        </w:rPr>
        <w:t>The isolated apolar fractions were ready to be separated by hydrophilic interaction liquid chromatography (Phenomenex, Luna Omega 3µm SUGAR, 150 x 2.1 mm) coupled with high-resolution mass spectrometry (HR-MS) on a TRIPLE TOF 5600+ mass spectrometer (SCIEX) equipped with UPLC 1290 (Agilent Technologies). The chromatographic separation was performed by injecting 5 μl of each apolar extract. GlcSph was detected in positive modality by using a flow rate set at 0.7 ml/min with a separation gradient of 45 min using solvent A (acetonitrile, 0.1% formic acid) and solvent B (40 mM NH4HCOO in water, 0.1% formic acid). The chromatographic gradient started from 1% B, increased up to 20% B in 24 min, increased again up to 40% B in 2 min, maintained constant at 40% B for 4 min and decreased to 1% B in 1 min. The column was set at 25°C while the samples were kept at 4°C.</w:t>
      </w:r>
      <w:r w:rsidRPr="00B37A47">
        <w:rPr>
          <w:rFonts w:ascii="Times New Roman" w:hAnsi="Times New Roman" w:cs="Times New Roman"/>
        </w:rPr>
        <w:t xml:space="preserve"> </w:t>
      </w:r>
      <w:r w:rsidRPr="008322ED">
        <w:rPr>
          <w:rFonts w:ascii="Times New Roman" w:hAnsi="Times New Roman" w:cs="Times New Roman"/>
        </w:rPr>
        <w:t xml:space="preserve">The ion source-dependent parameters were optimized for positive mode, as follows: Ion Spray Voltage Floating (ISVF) 5500 V; Declustering Potential (DP): 80 V; Temperature 500°C; Curtain Gas, 35 (CUR, arbitrary units) and Ion Source Gas (GS1 and GS2) at 33 </w:t>
      </w:r>
      <w:r w:rsidRPr="008322ED">
        <w:rPr>
          <w:rFonts w:ascii="Times New Roman" w:hAnsi="Times New Roman" w:cs="Times New Roman"/>
        </w:rPr>
        <w:lastRenderedPageBreak/>
        <w:t xml:space="preserve">psi and 58 psi; for SWATH fragmentation CE ± CES were (35 ± 15) V. </w:t>
      </w:r>
      <w:r w:rsidRPr="00B37A47">
        <w:rPr>
          <w:rFonts w:ascii="Times New Roman" w:hAnsi="Times New Roman" w:cs="Times New Roman"/>
        </w:rPr>
        <w:t xml:space="preserve"> </w:t>
      </w:r>
      <w:r w:rsidRPr="008322ED">
        <w:rPr>
          <w:rFonts w:ascii="Times New Roman" w:hAnsi="Times New Roman" w:cs="Times New Roman"/>
        </w:rPr>
        <w:t xml:space="preserve">For GlcSph (m/z 462.3) quantification, the analysis was performed by using Analytics within SCIEX OS software (SCIEX) which allows to measure the peak areas and to correct them by using the internal standards in a targeted processing workflow (GlcSph-d5 (m/z 467.4)). The concentration of GlcSph was quantified relative to the internal standard GluSph-d5, which was added at a final concentration of 0.6 µg/mL. </w:t>
      </w:r>
    </w:p>
    <w:p w14:paraId="7FE418E9" w14:textId="77777777" w:rsidR="00624081" w:rsidRPr="008322ED" w:rsidRDefault="00624081" w:rsidP="00C464D1">
      <w:pPr>
        <w:pStyle w:val="Paragrafoelenco"/>
        <w:spacing w:line="360" w:lineRule="auto"/>
        <w:ind w:left="0"/>
        <w:jc w:val="both"/>
        <w:rPr>
          <w:rFonts w:ascii="Times New Roman" w:hAnsi="Times New Roman" w:cs="Times New Roman"/>
        </w:rPr>
      </w:pPr>
    </w:p>
    <w:p w14:paraId="40555C25" w14:textId="77777777" w:rsidR="00C464D1" w:rsidRPr="008322ED" w:rsidRDefault="00C464D1" w:rsidP="00C464D1">
      <w:pPr>
        <w:spacing w:line="480" w:lineRule="auto"/>
        <w:jc w:val="both"/>
        <w:rPr>
          <w:rFonts w:ascii="Times New Roman" w:hAnsi="Times New Roman" w:cs="Times New Roman"/>
          <w:b/>
          <w:bCs/>
          <w:sz w:val="24"/>
          <w:szCs w:val="24"/>
          <w:lang w:val="en-GB"/>
        </w:rPr>
      </w:pPr>
      <w:r w:rsidRPr="008322ED">
        <w:rPr>
          <w:rFonts w:ascii="Times New Roman" w:hAnsi="Times New Roman" w:cs="Times New Roman"/>
          <w:b/>
          <w:bCs/>
          <w:sz w:val="24"/>
          <w:szCs w:val="24"/>
          <w:lang w:val="en-GB"/>
        </w:rPr>
        <w:t>Characterisation of human microglia by immunocytochemistry</w:t>
      </w:r>
    </w:p>
    <w:p w14:paraId="25BCD268" w14:textId="77777777" w:rsidR="00C464D1" w:rsidRDefault="00C464D1" w:rsidP="00C464D1">
      <w:pPr>
        <w:spacing w:line="480" w:lineRule="auto"/>
        <w:jc w:val="both"/>
        <w:rPr>
          <w:rFonts w:ascii="Times New Roman" w:hAnsi="Times New Roman" w:cs="Times New Roman"/>
          <w:sz w:val="24"/>
          <w:szCs w:val="24"/>
          <w:lang w:val="en-GB"/>
        </w:rPr>
      </w:pPr>
      <w:r w:rsidRPr="008322ED">
        <w:rPr>
          <w:rFonts w:ascii="Times New Roman" w:hAnsi="Times New Roman" w:cs="Times New Roman"/>
          <w:sz w:val="24"/>
          <w:szCs w:val="24"/>
          <w:lang w:val="en-GB"/>
        </w:rPr>
        <w:t xml:space="preserve">For immunocytochemisty, cells seeded on coverslips were fixed in 4% paraformaldehyde (Sigma-Aldrich) for 15 minutes, rinsed with phosphate-buffered saline (PBS), and blocked with 10% normal goat serum (NGS) in 0.1% Triton X-100 in PBS (PBST) at room temperature for 1 hour. Cells were then incubated with rabbit anti-IBA1 (1:500, WAKO, 016-2001) and mouse </w:t>
      </w:r>
      <w:r w:rsidRPr="008322ED">
        <w:rPr>
          <w:rFonts w:ascii="Times New Roman" w:hAnsi="Times New Roman" w:cs="Times New Roman"/>
          <w:sz w:val="24"/>
          <w:szCs w:val="24"/>
        </w:rPr>
        <w:t>anti-SPI1 (PU.1)</w:t>
      </w:r>
      <w:r w:rsidRPr="008322ED">
        <w:rPr>
          <w:rFonts w:ascii="Times New Roman" w:hAnsi="Times New Roman" w:cs="Times New Roman"/>
          <w:b/>
          <w:bCs/>
          <w:sz w:val="24"/>
          <w:szCs w:val="24"/>
        </w:rPr>
        <w:t xml:space="preserve">  </w:t>
      </w:r>
      <w:r w:rsidRPr="008322ED">
        <w:rPr>
          <w:rFonts w:ascii="Times New Roman" w:hAnsi="Times New Roman" w:cs="Times New Roman"/>
          <w:sz w:val="24"/>
          <w:szCs w:val="24"/>
          <w:lang w:val="en-GB"/>
        </w:rPr>
        <w:t xml:space="preserve">(1:500, BioLegend 658002) diluted in 5% NGS in PBST overnight at 4°C. The following day, cells were incubated for 2 hours at room temperature with Alexa 488/568-coupled secondary antibodies (1:1000, Invitrogen). Nuclei were stained for 10 minutes with 1 µM 4’,6-diamidino-2-phenylindole dihydrochloride (DAPI, Invitrogen). Coverslips were mounted on glass slides with mounting medium (DAKO) and images were captured using a Leica TCS SP8 confocal microscope with a 40×/1.4 numerical aperture oil-immersion objective (Leica, Germany). </w:t>
      </w:r>
    </w:p>
    <w:p w14:paraId="6A8C0A92" w14:textId="77777777" w:rsidR="00B37A47" w:rsidRPr="008322ED" w:rsidRDefault="00B37A47" w:rsidP="00C464D1">
      <w:pPr>
        <w:spacing w:line="480" w:lineRule="auto"/>
        <w:jc w:val="both"/>
        <w:rPr>
          <w:rFonts w:ascii="Times New Roman" w:hAnsi="Times New Roman" w:cs="Times New Roman"/>
          <w:sz w:val="24"/>
          <w:szCs w:val="24"/>
          <w:lang w:val="en-GB"/>
        </w:rPr>
      </w:pPr>
    </w:p>
    <w:p w14:paraId="68191C55" w14:textId="7E0FD29F" w:rsidR="006F7DFE" w:rsidRPr="008322ED" w:rsidRDefault="006F7DFE" w:rsidP="006F7DFE">
      <w:pPr>
        <w:rPr>
          <w:rFonts w:ascii="Times New Roman" w:hAnsi="Times New Roman" w:cs="Times New Roman"/>
          <w:b/>
          <w:bCs/>
          <w:sz w:val="24"/>
          <w:szCs w:val="24"/>
          <w:lang w:val="en-GB"/>
        </w:rPr>
      </w:pPr>
      <w:r w:rsidRPr="008322ED">
        <w:rPr>
          <w:rFonts w:ascii="Times New Roman" w:hAnsi="Times New Roman" w:cs="Times New Roman"/>
          <w:b/>
          <w:bCs/>
          <w:sz w:val="24"/>
          <w:szCs w:val="24"/>
          <w:lang w:val="en-GB"/>
        </w:rPr>
        <w:t>Fluorescence immunohistochemistry of T</w:t>
      </w:r>
      <w:r w:rsidR="00BC3EEE">
        <w:rPr>
          <w:rFonts w:ascii="Times New Roman" w:hAnsi="Times New Roman" w:cs="Times New Roman"/>
          <w:b/>
          <w:bCs/>
          <w:sz w:val="24"/>
          <w:szCs w:val="24"/>
          <w:lang w:val="en-GB"/>
        </w:rPr>
        <w:t>mem</w:t>
      </w:r>
      <w:r w:rsidRPr="008322ED">
        <w:rPr>
          <w:rFonts w:ascii="Times New Roman" w:hAnsi="Times New Roman" w:cs="Times New Roman"/>
          <w:b/>
          <w:bCs/>
          <w:sz w:val="24"/>
          <w:szCs w:val="24"/>
          <w:lang w:val="en-GB"/>
        </w:rPr>
        <w:t>119</w:t>
      </w:r>
    </w:p>
    <w:p w14:paraId="2660D4C7" w14:textId="5013F8B6" w:rsidR="006F7DFE" w:rsidRPr="008322ED" w:rsidRDefault="006F7DFE" w:rsidP="008322ED">
      <w:pPr>
        <w:spacing w:line="360" w:lineRule="auto"/>
        <w:jc w:val="both"/>
        <w:rPr>
          <w:rFonts w:ascii="Times New Roman" w:hAnsi="Times New Roman" w:cs="Times New Roman"/>
          <w:sz w:val="24"/>
          <w:szCs w:val="24"/>
          <w:lang w:val="en-GB"/>
        </w:rPr>
      </w:pPr>
      <w:r w:rsidRPr="008322ED">
        <w:rPr>
          <w:rFonts w:ascii="Times New Roman" w:hAnsi="Times New Roman" w:cs="Times New Roman"/>
          <w:sz w:val="24"/>
          <w:szCs w:val="24"/>
          <w:lang w:val="en-GB"/>
        </w:rPr>
        <w:t>Double immunofluorescence staining was performed to verify that Iba 1-positive cells were also immunoreactive for a more specific microglial marker, namely T</w:t>
      </w:r>
      <w:r w:rsidR="00BC3EEE">
        <w:rPr>
          <w:rFonts w:ascii="Times New Roman" w:hAnsi="Times New Roman" w:cs="Times New Roman"/>
          <w:sz w:val="24"/>
          <w:szCs w:val="24"/>
          <w:lang w:val="en-GB"/>
        </w:rPr>
        <w:t>mem</w:t>
      </w:r>
      <w:r w:rsidRPr="008322ED">
        <w:rPr>
          <w:rFonts w:ascii="Times New Roman" w:hAnsi="Times New Roman" w:cs="Times New Roman"/>
          <w:sz w:val="24"/>
          <w:szCs w:val="24"/>
          <w:lang w:val="en-GB"/>
        </w:rPr>
        <w:t>119. Analyses were carried out in 3 mice/experimental group. Equally spaced ventral midbrain free-floating coronal sections containing the SN (3 sections/mouse) were co-stained with anti-Iba 1 and anti-T</w:t>
      </w:r>
      <w:r w:rsidR="00BC3EEE">
        <w:rPr>
          <w:rFonts w:ascii="Times New Roman" w:hAnsi="Times New Roman" w:cs="Times New Roman"/>
          <w:sz w:val="24"/>
          <w:szCs w:val="24"/>
          <w:lang w:val="en-GB"/>
        </w:rPr>
        <w:t>mem</w:t>
      </w:r>
      <w:r w:rsidRPr="008322ED">
        <w:rPr>
          <w:rFonts w:ascii="Times New Roman" w:hAnsi="Times New Roman" w:cs="Times New Roman"/>
          <w:sz w:val="24"/>
          <w:szCs w:val="24"/>
          <w:lang w:val="en-GB"/>
        </w:rPr>
        <w:t>119. Briefly, sections were first incubated for 10 min at 95°C in 10 mM Citrate buffer (pH 6.0). To avoid non specific binding samples were then blocked in 5% normal donkey serum, 2% BSA and 0.5% Triton-X100 for 1 hour at room temperature. Next, sections were probed overnight at room temperature with the two primary antibodies rabbit anti-T</w:t>
      </w:r>
      <w:r w:rsidR="00BC3EEE">
        <w:rPr>
          <w:rFonts w:ascii="Times New Roman" w:hAnsi="Times New Roman" w:cs="Times New Roman"/>
          <w:sz w:val="24"/>
          <w:szCs w:val="24"/>
          <w:lang w:val="en-GB"/>
        </w:rPr>
        <w:t>mem</w:t>
      </w:r>
      <w:r w:rsidRPr="008322ED">
        <w:rPr>
          <w:rFonts w:ascii="Times New Roman" w:hAnsi="Times New Roman" w:cs="Times New Roman"/>
          <w:sz w:val="24"/>
          <w:szCs w:val="24"/>
          <w:lang w:val="en-GB"/>
        </w:rPr>
        <w:t xml:space="preserve">119 (1:500, ab209064, Abcam) and goat anti-Iba 1 (1:1000, ab5096, Abcam). Immunofluorescence signals were generated incubating samples for 1 hour </w:t>
      </w:r>
      <w:r w:rsidRPr="008322ED">
        <w:rPr>
          <w:rFonts w:ascii="Times New Roman" w:hAnsi="Times New Roman" w:cs="Times New Roman"/>
          <w:sz w:val="24"/>
          <w:szCs w:val="24"/>
          <w:lang w:val="en-GB"/>
        </w:rPr>
        <w:lastRenderedPageBreak/>
        <w:t>at room temperature with donkey anti-rabbit and donkey anti-goat antibodies conjugated with Dylight 488 and Alexa Fluor 555 (1:200; ab96919, Abcam and A32794, Invitrogen), respectively.</w:t>
      </w:r>
    </w:p>
    <w:p w14:paraId="2330912C" w14:textId="77777777" w:rsidR="00C464D1" w:rsidRPr="008322ED" w:rsidRDefault="00C464D1">
      <w:pPr>
        <w:rPr>
          <w:rFonts w:ascii="Times New Roman" w:hAnsi="Times New Roman" w:cs="Times New Roman"/>
          <w:sz w:val="24"/>
          <w:szCs w:val="24"/>
          <w:lang w:val="en-GB"/>
        </w:rPr>
      </w:pPr>
    </w:p>
    <w:sectPr w:rsidR="00C464D1" w:rsidRPr="008322ED" w:rsidSect="006D058B">
      <w:footerReference w:type="default" r:id="rId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F431" w14:textId="77777777" w:rsidR="00E216F6" w:rsidRDefault="00E216F6" w:rsidP="00E216F6">
      <w:pPr>
        <w:spacing w:after="0" w:line="240" w:lineRule="auto"/>
      </w:pPr>
      <w:r>
        <w:separator/>
      </w:r>
    </w:p>
  </w:endnote>
  <w:endnote w:type="continuationSeparator" w:id="0">
    <w:p w14:paraId="6590D7D6" w14:textId="77777777" w:rsidR="00E216F6" w:rsidRDefault="00E216F6" w:rsidP="00E21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TTb5929f4c">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564F5" w14:textId="2C719D08" w:rsidR="00E216F6" w:rsidRDefault="00E216F6">
    <w:pPr>
      <w:pStyle w:val="Pidipagina"/>
    </w:pPr>
    <w:r>
      <w:t xml:space="preserve">Page </w:t>
    </w:r>
    <w:sdt>
      <w:sdtPr>
        <w:id w:val="214404173"/>
        <w:docPartObj>
          <w:docPartGallery w:val="Page Numbers (Bottom of Page)"/>
          <w:docPartUnique/>
        </w:docPartObj>
      </w:sdtPr>
      <w:sdtEndPr/>
      <w:sdtContent>
        <w:r>
          <w:fldChar w:fldCharType="begin"/>
        </w:r>
        <w:r>
          <w:instrText>PAGE   \* MERGEFORMAT</w:instrText>
        </w:r>
        <w:r>
          <w:fldChar w:fldCharType="separate"/>
        </w:r>
        <w:r>
          <w:rPr>
            <w:lang w:val="it-IT"/>
          </w:rPr>
          <w:t>2</w:t>
        </w:r>
        <w:r>
          <w:fldChar w:fldCharType="end"/>
        </w:r>
      </w:sdtContent>
    </w:sdt>
  </w:p>
  <w:p w14:paraId="4E32F439" w14:textId="32C33858" w:rsidR="00E216F6" w:rsidRDefault="00E216F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5C64" w14:textId="77777777" w:rsidR="00E216F6" w:rsidRDefault="00E216F6" w:rsidP="00E216F6">
      <w:pPr>
        <w:spacing w:after="0" w:line="240" w:lineRule="auto"/>
      </w:pPr>
      <w:r>
        <w:separator/>
      </w:r>
    </w:p>
  </w:footnote>
  <w:footnote w:type="continuationSeparator" w:id="0">
    <w:p w14:paraId="40DC010F" w14:textId="77777777" w:rsidR="00E216F6" w:rsidRDefault="00E216F6" w:rsidP="00E216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C50FD"/>
    <w:multiLevelType w:val="hybridMultilevel"/>
    <w:tmpl w:val="9364FAE2"/>
    <w:lvl w:ilvl="0" w:tplc="44DAD222">
      <w:start w:val="1"/>
      <w:numFmt w:val="upperLetter"/>
      <w:lvlText w:val="%1)"/>
      <w:lvlJc w:val="left"/>
      <w:pPr>
        <w:tabs>
          <w:tab w:val="num" w:pos="720"/>
        </w:tabs>
        <w:ind w:left="720" w:hanging="360"/>
      </w:pPr>
    </w:lvl>
    <w:lvl w:ilvl="1" w:tplc="FD0C3A0C" w:tentative="1">
      <w:start w:val="1"/>
      <w:numFmt w:val="upperLetter"/>
      <w:lvlText w:val="%2)"/>
      <w:lvlJc w:val="left"/>
      <w:pPr>
        <w:tabs>
          <w:tab w:val="num" w:pos="1440"/>
        </w:tabs>
        <w:ind w:left="1440" w:hanging="360"/>
      </w:pPr>
    </w:lvl>
    <w:lvl w:ilvl="2" w:tplc="3EFCAF2E" w:tentative="1">
      <w:start w:val="1"/>
      <w:numFmt w:val="upperLetter"/>
      <w:lvlText w:val="%3)"/>
      <w:lvlJc w:val="left"/>
      <w:pPr>
        <w:tabs>
          <w:tab w:val="num" w:pos="2160"/>
        </w:tabs>
        <w:ind w:left="2160" w:hanging="360"/>
      </w:pPr>
    </w:lvl>
    <w:lvl w:ilvl="3" w:tplc="09F42F00" w:tentative="1">
      <w:start w:val="1"/>
      <w:numFmt w:val="upperLetter"/>
      <w:lvlText w:val="%4)"/>
      <w:lvlJc w:val="left"/>
      <w:pPr>
        <w:tabs>
          <w:tab w:val="num" w:pos="2880"/>
        </w:tabs>
        <w:ind w:left="2880" w:hanging="360"/>
      </w:pPr>
    </w:lvl>
    <w:lvl w:ilvl="4" w:tplc="6A280948" w:tentative="1">
      <w:start w:val="1"/>
      <w:numFmt w:val="upperLetter"/>
      <w:lvlText w:val="%5)"/>
      <w:lvlJc w:val="left"/>
      <w:pPr>
        <w:tabs>
          <w:tab w:val="num" w:pos="3600"/>
        </w:tabs>
        <w:ind w:left="3600" w:hanging="360"/>
      </w:pPr>
    </w:lvl>
    <w:lvl w:ilvl="5" w:tplc="83F60C1E" w:tentative="1">
      <w:start w:val="1"/>
      <w:numFmt w:val="upperLetter"/>
      <w:lvlText w:val="%6)"/>
      <w:lvlJc w:val="left"/>
      <w:pPr>
        <w:tabs>
          <w:tab w:val="num" w:pos="4320"/>
        </w:tabs>
        <w:ind w:left="4320" w:hanging="360"/>
      </w:pPr>
    </w:lvl>
    <w:lvl w:ilvl="6" w:tplc="16F87BF8" w:tentative="1">
      <w:start w:val="1"/>
      <w:numFmt w:val="upperLetter"/>
      <w:lvlText w:val="%7)"/>
      <w:lvlJc w:val="left"/>
      <w:pPr>
        <w:tabs>
          <w:tab w:val="num" w:pos="5040"/>
        </w:tabs>
        <w:ind w:left="5040" w:hanging="360"/>
      </w:pPr>
    </w:lvl>
    <w:lvl w:ilvl="7" w:tplc="380EE498" w:tentative="1">
      <w:start w:val="1"/>
      <w:numFmt w:val="upperLetter"/>
      <w:lvlText w:val="%8)"/>
      <w:lvlJc w:val="left"/>
      <w:pPr>
        <w:tabs>
          <w:tab w:val="num" w:pos="5760"/>
        </w:tabs>
        <w:ind w:left="5760" w:hanging="360"/>
      </w:pPr>
    </w:lvl>
    <w:lvl w:ilvl="8" w:tplc="3334BEAA" w:tentative="1">
      <w:start w:val="1"/>
      <w:numFmt w:val="upperLetter"/>
      <w:lvlText w:val="%9)"/>
      <w:lvlJc w:val="left"/>
      <w:pPr>
        <w:tabs>
          <w:tab w:val="num" w:pos="6480"/>
        </w:tabs>
        <w:ind w:left="6480" w:hanging="360"/>
      </w:pPr>
    </w:lvl>
  </w:abstractNum>
  <w:abstractNum w:abstractNumId="1" w15:restartNumberingAfterBreak="0">
    <w:nsid w:val="79982008"/>
    <w:multiLevelType w:val="hybridMultilevel"/>
    <w:tmpl w:val="FA16B952"/>
    <w:lvl w:ilvl="0" w:tplc="2B2A6210">
      <w:start w:val="1"/>
      <w:numFmt w:val="upperLetter"/>
      <w:lvlText w:val="%1)"/>
      <w:lvlJc w:val="left"/>
      <w:pPr>
        <w:tabs>
          <w:tab w:val="num" w:pos="720"/>
        </w:tabs>
        <w:ind w:left="720" w:hanging="360"/>
      </w:pPr>
    </w:lvl>
    <w:lvl w:ilvl="1" w:tplc="72A6BA02" w:tentative="1">
      <w:start w:val="1"/>
      <w:numFmt w:val="upperLetter"/>
      <w:lvlText w:val="%2)"/>
      <w:lvlJc w:val="left"/>
      <w:pPr>
        <w:tabs>
          <w:tab w:val="num" w:pos="1440"/>
        </w:tabs>
        <w:ind w:left="1440" w:hanging="360"/>
      </w:pPr>
    </w:lvl>
    <w:lvl w:ilvl="2" w:tplc="95AA103C" w:tentative="1">
      <w:start w:val="1"/>
      <w:numFmt w:val="upperLetter"/>
      <w:lvlText w:val="%3)"/>
      <w:lvlJc w:val="left"/>
      <w:pPr>
        <w:tabs>
          <w:tab w:val="num" w:pos="2160"/>
        </w:tabs>
        <w:ind w:left="2160" w:hanging="360"/>
      </w:pPr>
    </w:lvl>
    <w:lvl w:ilvl="3" w:tplc="4126B1DA" w:tentative="1">
      <w:start w:val="1"/>
      <w:numFmt w:val="upperLetter"/>
      <w:lvlText w:val="%4)"/>
      <w:lvlJc w:val="left"/>
      <w:pPr>
        <w:tabs>
          <w:tab w:val="num" w:pos="2880"/>
        </w:tabs>
        <w:ind w:left="2880" w:hanging="360"/>
      </w:pPr>
    </w:lvl>
    <w:lvl w:ilvl="4" w:tplc="A516A612" w:tentative="1">
      <w:start w:val="1"/>
      <w:numFmt w:val="upperLetter"/>
      <w:lvlText w:val="%5)"/>
      <w:lvlJc w:val="left"/>
      <w:pPr>
        <w:tabs>
          <w:tab w:val="num" w:pos="3600"/>
        </w:tabs>
        <w:ind w:left="3600" w:hanging="360"/>
      </w:pPr>
    </w:lvl>
    <w:lvl w:ilvl="5" w:tplc="9340AA1C" w:tentative="1">
      <w:start w:val="1"/>
      <w:numFmt w:val="upperLetter"/>
      <w:lvlText w:val="%6)"/>
      <w:lvlJc w:val="left"/>
      <w:pPr>
        <w:tabs>
          <w:tab w:val="num" w:pos="4320"/>
        </w:tabs>
        <w:ind w:left="4320" w:hanging="360"/>
      </w:pPr>
    </w:lvl>
    <w:lvl w:ilvl="6" w:tplc="8B5601FA" w:tentative="1">
      <w:start w:val="1"/>
      <w:numFmt w:val="upperLetter"/>
      <w:lvlText w:val="%7)"/>
      <w:lvlJc w:val="left"/>
      <w:pPr>
        <w:tabs>
          <w:tab w:val="num" w:pos="5040"/>
        </w:tabs>
        <w:ind w:left="5040" w:hanging="360"/>
      </w:pPr>
    </w:lvl>
    <w:lvl w:ilvl="7" w:tplc="2E0A7E5A" w:tentative="1">
      <w:start w:val="1"/>
      <w:numFmt w:val="upperLetter"/>
      <w:lvlText w:val="%8)"/>
      <w:lvlJc w:val="left"/>
      <w:pPr>
        <w:tabs>
          <w:tab w:val="num" w:pos="5760"/>
        </w:tabs>
        <w:ind w:left="5760" w:hanging="360"/>
      </w:pPr>
    </w:lvl>
    <w:lvl w:ilvl="8" w:tplc="AC048B82" w:tentative="1">
      <w:start w:val="1"/>
      <w:numFmt w:val="upperLetter"/>
      <w:lvlText w:val="%9)"/>
      <w:lvlJc w:val="left"/>
      <w:pPr>
        <w:tabs>
          <w:tab w:val="num" w:pos="6480"/>
        </w:tabs>
        <w:ind w:left="6480" w:hanging="360"/>
      </w:pPr>
    </w:lvl>
  </w:abstractNum>
  <w:num w:numId="1" w16cid:durableId="1281568557">
    <w:abstractNumId w:val="1"/>
  </w:num>
  <w:num w:numId="2" w16cid:durableId="110364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3C9"/>
    <w:rsid w:val="0002198F"/>
    <w:rsid w:val="00055350"/>
    <w:rsid w:val="0007159E"/>
    <w:rsid w:val="000831F9"/>
    <w:rsid w:val="000B51EC"/>
    <w:rsid w:val="000C4B64"/>
    <w:rsid w:val="000F0C30"/>
    <w:rsid w:val="00160FD0"/>
    <w:rsid w:val="00175DBC"/>
    <w:rsid w:val="001909CA"/>
    <w:rsid w:val="001A1BE5"/>
    <w:rsid w:val="001B1AFD"/>
    <w:rsid w:val="00232B66"/>
    <w:rsid w:val="002421F0"/>
    <w:rsid w:val="00253519"/>
    <w:rsid w:val="002C3191"/>
    <w:rsid w:val="002C7458"/>
    <w:rsid w:val="00323303"/>
    <w:rsid w:val="00324C32"/>
    <w:rsid w:val="00334644"/>
    <w:rsid w:val="00400DFB"/>
    <w:rsid w:val="004442CC"/>
    <w:rsid w:val="0045611D"/>
    <w:rsid w:val="00482730"/>
    <w:rsid w:val="004A79C7"/>
    <w:rsid w:val="004D6CBA"/>
    <w:rsid w:val="00504550"/>
    <w:rsid w:val="00577AD7"/>
    <w:rsid w:val="005B5A06"/>
    <w:rsid w:val="005C5CB4"/>
    <w:rsid w:val="005D6E47"/>
    <w:rsid w:val="005D7328"/>
    <w:rsid w:val="005E3BBD"/>
    <w:rsid w:val="005F77D7"/>
    <w:rsid w:val="00624081"/>
    <w:rsid w:val="0066705E"/>
    <w:rsid w:val="00677656"/>
    <w:rsid w:val="006843A8"/>
    <w:rsid w:val="00696EEE"/>
    <w:rsid w:val="006A64EA"/>
    <w:rsid w:val="006D058B"/>
    <w:rsid w:val="006D6724"/>
    <w:rsid w:val="006F7DFE"/>
    <w:rsid w:val="00713E79"/>
    <w:rsid w:val="007818EA"/>
    <w:rsid w:val="008322ED"/>
    <w:rsid w:val="008B27A2"/>
    <w:rsid w:val="008D51BA"/>
    <w:rsid w:val="008F4DB9"/>
    <w:rsid w:val="0094500C"/>
    <w:rsid w:val="0095689E"/>
    <w:rsid w:val="009635F7"/>
    <w:rsid w:val="00980002"/>
    <w:rsid w:val="009B4751"/>
    <w:rsid w:val="00A040AC"/>
    <w:rsid w:val="00A140CC"/>
    <w:rsid w:val="00A617A4"/>
    <w:rsid w:val="00AB0960"/>
    <w:rsid w:val="00AF014D"/>
    <w:rsid w:val="00B14843"/>
    <w:rsid w:val="00B37A47"/>
    <w:rsid w:val="00B43714"/>
    <w:rsid w:val="00B84E07"/>
    <w:rsid w:val="00BC3EEE"/>
    <w:rsid w:val="00C12955"/>
    <w:rsid w:val="00C376D3"/>
    <w:rsid w:val="00C464D1"/>
    <w:rsid w:val="00CB4B18"/>
    <w:rsid w:val="00D063C9"/>
    <w:rsid w:val="00D1384D"/>
    <w:rsid w:val="00D31CBE"/>
    <w:rsid w:val="00D35255"/>
    <w:rsid w:val="00D90288"/>
    <w:rsid w:val="00DE7437"/>
    <w:rsid w:val="00DF60E7"/>
    <w:rsid w:val="00E03966"/>
    <w:rsid w:val="00E216F6"/>
    <w:rsid w:val="00EA3B73"/>
    <w:rsid w:val="00EB3BB8"/>
    <w:rsid w:val="00EC095A"/>
    <w:rsid w:val="00F10CB3"/>
    <w:rsid w:val="00F1184E"/>
    <w:rsid w:val="00F446C9"/>
    <w:rsid w:val="00F85133"/>
    <w:rsid w:val="00FC634E"/>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C78A0"/>
  <w15:chartTrackingRefBased/>
  <w15:docId w15:val="{7AA9EF57-4870-4EFF-B48E-059CE356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63C9"/>
    <w:pPr>
      <w:spacing w:line="259" w:lineRule="auto"/>
    </w:pPr>
    <w:rPr>
      <w:kern w:val="0"/>
      <w:sz w:val="22"/>
      <w:szCs w:val="22"/>
    </w:rPr>
  </w:style>
  <w:style w:type="paragraph" w:styleId="Titolo1">
    <w:name w:val="heading 1"/>
    <w:basedOn w:val="Normale"/>
    <w:next w:val="Normale"/>
    <w:link w:val="Titolo1Carattere"/>
    <w:uiPriority w:val="9"/>
    <w:qFormat/>
    <w:rsid w:val="00D063C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Titolo2">
    <w:name w:val="heading 2"/>
    <w:basedOn w:val="Normale"/>
    <w:next w:val="Normale"/>
    <w:link w:val="Titolo2Carattere"/>
    <w:uiPriority w:val="9"/>
    <w:semiHidden/>
    <w:unhideWhenUsed/>
    <w:qFormat/>
    <w:rsid w:val="00D063C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Titolo3">
    <w:name w:val="heading 3"/>
    <w:basedOn w:val="Normale"/>
    <w:next w:val="Normale"/>
    <w:link w:val="Titolo3Carattere"/>
    <w:uiPriority w:val="9"/>
    <w:semiHidden/>
    <w:unhideWhenUsed/>
    <w:qFormat/>
    <w:rsid w:val="00D063C9"/>
    <w:pPr>
      <w:keepNext/>
      <w:keepLines/>
      <w:spacing w:before="160" w:after="80" w:line="278" w:lineRule="auto"/>
      <w:outlineLvl w:val="2"/>
    </w:pPr>
    <w:rPr>
      <w:rFonts w:eastAsiaTheme="majorEastAsia" w:cstheme="majorBidi"/>
      <w:color w:val="0F4761" w:themeColor="accent1" w:themeShade="BF"/>
      <w:kern w:val="2"/>
      <w:sz w:val="28"/>
      <w:szCs w:val="28"/>
    </w:rPr>
  </w:style>
  <w:style w:type="paragraph" w:styleId="Titolo4">
    <w:name w:val="heading 4"/>
    <w:basedOn w:val="Normale"/>
    <w:next w:val="Normale"/>
    <w:link w:val="Titolo4Carattere"/>
    <w:uiPriority w:val="9"/>
    <w:semiHidden/>
    <w:unhideWhenUsed/>
    <w:qFormat/>
    <w:rsid w:val="00D063C9"/>
    <w:pPr>
      <w:keepNext/>
      <w:keepLines/>
      <w:spacing w:before="80" w:after="40" w:line="278" w:lineRule="auto"/>
      <w:outlineLvl w:val="3"/>
    </w:pPr>
    <w:rPr>
      <w:rFonts w:eastAsiaTheme="majorEastAsia" w:cstheme="majorBidi"/>
      <w:i/>
      <w:iCs/>
      <w:color w:val="0F4761" w:themeColor="accent1" w:themeShade="BF"/>
      <w:kern w:val="2"/>
      <w:sz w:val="24"/>
      <w:szCs w:val="24"/>
    </w:rPr>
  </w:style>
  <w:style w:type="paragraph" w:styleId="Titolo5">
    <w:name w:val="heading 5"/>
    <w:basedOn w:val="Normale"/>
    <w:next w:val="Normale"/>
    <w:link w:val="Titolo5Carattere"/>
    <w:uiPriority w:val="9"/>
    <w:semiHidden/>
    <w:unhideWhenUsed/>
    <w:qFormat/>
    <w:rsid w:val="00D063C9"/>
    <w:pPr>
      <w:keepNext/>
      <w:keepLines/>
      <w:spacing w:before="80" w:after="40" w:line="278" w:lineRule="auto"/>
      <w:outlineLvl w:val="4"/>
    </w:pPr>
    <w:rPr>
      <w:rFonts w:eastAsiaTheme="majorEastAsia" w:cstheme="majorBidi"/>
      <w:color w:val="0F4761" w:themeColor="accent1" w:themeShade="BF"/>
      <w:kern w:val="2"/>
      <w:sz w:val="24"/>
      <w:szCs w:val="24"/>
    </w:rPr>
  </w:style>
  <w:style w:type="paragraph" w:styleId="Titolo6">
    <w:name w:val="heading 6"/>
    <w:basedOn w:val="Normale"/>
    <w:next w:val="Normale"/>
    <w:link w:val="Titolo6Carattere"/>
    <w:uiPriority w:val="9"/>
    <w:semiHidden/>
    <w:unhideWhenUsed/>
    <w:qFormat/>
    <w:rsid w:val="00D063C9"/>
    <w:pPr>
      <w:keepNext/>
      <w:keepLines/>
      <w:spacing w:before="40" w:after="0" w:line="278" w:lineRule="auto"/>
      <w:outlineLvl w:val="5"/>
    </w:pPr>
    <w:rPr>
      <w:rFonts w:eastAsiaTheme="majorEastAsia" w:cstheme="majorBidi"/>
      <w:i/>
      <w:iCs/>
      <w:color w:val="595959" w:themeColor="text1" w:themeTint="A6"/>
      <w:kern w:val="2"/>
      <w:sz w:val="24"/>
      <w:szCs w:val="24"/>
    </w:rPr>
  </w:style>
  <w:style w:type="paragraph" w:styleId="Titolo7">
    <w:name w:val="heading 7"/>
    <w:basedOn w:val="Normale"/>
    <w:next w:val="Normale"/>
    <w:link w:val="Titolo7Carattere"/>
    <w:uiPriority w:val="9"/>
    <w:semiHidden/>
    <w:unhideWhenUsed/>
    <w:qFormat/>
    <w:rsid w:val="00D063C9"/>
    <w:pPr>
      <w:keepNext/>
      <w:keepLines/>
      <w:spacing w:before="40" w:after="0" w:line="278" w:lineRule="auto"/>
      <w:outlineLvl w:val="6"/>
    </w:pPr>
    <w:rPr>
      <w:rFonts w:eastAsiaTheme="majorEastAsia" w:cstheme="majorBidi"/>
      <w:color w:val="595959" w:themeColor="text1" w:themeTint="A6"/>
      <w:kern w:val="2"/>
      <w:sz w:val="24"/>
      <w:szCs w:val="24"/>
    </w:rPr>
  </w:style>
  <w:style w:type="paragraph" w:styleId="Titolo8">
    <w:name w:val="heading 8"/>
    <w:basedOn w:val="Normale"/>
    <w:next w:val="Normale"/>
    <w:link w:val="Titolo8Carattere"/>
    <w:uiPriority w:val="9"/>
    <w:semiHidden/>
    <w:unhideWhenUsed/>
    <w:qFormat/>
    <w:rsid w:val="00D063C9"/>
    <w:pPr>
      <w:keepNext/>
      <w:keepLines/>
      <w:spacing w:after="0" w:line="278" w:lineRule="auto"/>
      <w:outlineLvl w:val="7"/>
    </w:pPr>
    <w:rPr>
      <w:rFonts w:eastAsiaTheme="majorEastAsia" w:cstheme="majorBidi"/>
      <w:i/>
      <w:iCs/>
      <w:color w:val="272727" w:themeColor="text1" w:themeTint="D8"/>
      <w:kern w:val="2"/>
      <w:sz w:val="24"/>
      <w:szCs w:val="24"/>
    </w:rPr>
  </w:style>
  <w:style w:type="paragraph" w:styleId="Titolo9">
    <w:name w:val="heading 9"/>
    <w:basedOn w:val="Normale"/>
    <w:next w:val="Normale"/>
    <w:link w:val="Titolo9Carattere"/>
    <w:uiPriority w:val="9"/>
    <w:semiHidden/>
    <w:unhideWhenUsed/>
    <w:qFormat/>
    <w:rsid w:val="00D063C9"/>
    <w:pPr>
      <w:keepNext/>
      <w:keepLines/>
      <w:spacing w:after="0" w:line="278" w:lineRule="auto"/>
      <w:outlineLvl w:val="8"/>
    </w:pPr>
    <w:rPr>
      <w:rFonts w:eastAsiaTheme="majorEastAsia" w:cstheme="majorBidi"/>
      <w:color w:val="272727" w:themeColor="text1" w:themeTint="D8"/>
      <w:kern w:val="2"/>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063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063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063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063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063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063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063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063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063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D06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063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063C9"/>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SottotitoloCarattere">
    <w:name w:val="Sottotitolo Carattere"/>
    <w:basedOn w:val="Carpredefinitoparagrafo"/>
    <w:link w:val="Sottotitolo"/>
    <w:uiPriority w:val="11"/>
    <w:rsid w:val="00D063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063C9"/>
    <w:pPr>
      <w:spacing w:before="160" w:line="278" w:lineRule="auto"/>
      <w:jc w:val="center"/>
    </w:pPr>
    <w:rPr>
      <w:i/>
      <w:iCs/>
      <w:color w:val="404040" w:themeColor="text1" w:themeTint="BF"/>
      <w:kern w:val="2"/>
      <w:sz w:val="24"/>
      <w:szCs w:val="24"/>
    </w:rPr>
  </w:style>
  <w:style w:type="character" w:customStyle="1" w:styleId="CitazioneCarattere">
    <w:name w:val="Citazione Carattere"/>
    <w:basedOn w:val="Carpredefinitoparagrafo"/>
    <w:link w:val="Citazione"/>
    <w:uiPriority w:val="29"/>
    <w:rsid w:val="00D063C9"/>
    <w:rPr>
      <w:i/>
      <w:iCs/>
      <w:color w:val="404040" w:themeColor="text1" w:themeTint="BF"/>
    </w:rPr>
  </w:style>
  <w:style w:type="paragraph" w:styleId="Paragrafoelenco">
    <w:name w:val="List Paragraph"/>
    <w:basedOn w:val="Normale"/>
    <w:uiPriority w:val="34"/>
    <w:qFormat/>
    <w:rsid w:val="00D063C9"/>
    <w:pPr>
      <w:spacing w:line="278" w:lineRule="auto"/>
      <w:ind w:left="720"/>
      <w:contextualSpacing/>
    </w:pPr>
    <w:rPr>
      <w:kern w:val="2"/>
      <w:sz w:val="24"/>
      <w:szCs w:val="24"/>
    </w:rPr>
  </w:style>
  <w:style w:type="character" w:styleId="Enfasiintensa">
    <w:name w:val="Intense Emphasis"/>
    <w:basedOn w:val="Carpredefinitoparagrafo"/>
    <w:uiPriority w:val="21"/>
    <w:qFormat/>
    <w:rsid w:val="00D063C9"/>
    <w:rPr>
      <w:i/>
      <w:iCs/>
      <w:color w:val="0F4761" w:themeColor="accent1" w:themeShade="BF"/>
    </w:rPr>
  </w:style>
  <w:style w:type="paragraph" w:styleId="Citazioneintensa">
    <w:name w:val="Intense Quote"/>
    <w:basedOn w:val="Normale"/>
    <w:next w:val="Normale"/>
    <w:link w:val="CitazioneintensaCarattere"/>
    <w:uiPriority w:val="30"/>
    <w:qFormat/>
    <w:rsid w:val="00D063C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rPr>
  </w:style>
  <w:style w:type="character" w:customStyle="1" w:styleId="CitazioneintensaCarattere">
    <w:name w:val="Citazione intensa Carattere"/>
    <w:basedOn w:val="Carpredefinitoparagrafo"/>
    <w:link w:val="Citazioneintensa"/>
    <w:uiPriority w:val="30"/>
    <w:rsid w:val="00D063C9"/>
    <w:rPr>
      <w:i/>
      <w:iCs/>
      <w:color w:val="0F4761" w:themeColor="accent1" w:themeShade="BF"/>
    </w:rPr>
  </w:style>
  <w:style w:type="character" w:styleId="Riferimentointenso">
    <w:name w:val="Intense Reference"/>
    <w:basedOn w:val="Carpredefinitoparagrafo"/>
    <w:uiPriority w:val="32"/>
    <w:qFormat/>
    <w:rsid w:val="00D063C9"/>
    <w:rPr>
      <w:b/>
      <w:bCs/>
      <w:smallCaps/>
      <w:color w:val="0F4761" w:themeColor="accent1" w:themeShade="BF"/>
      <w:spacing w:val="5"/>
    </w:rPr>
  </w:style>
  <w:style w:type="paragraph" w:customStyle="1" w:styleId="Paragraph">
    <w:name w:val="Paragraph"/>
    <w:basedOn w:val="Normale"/>
    <w:rsid w:val="009635F7"/>
    <w:pPr>
      <w:spacing w:before="120" w:after="0" w:line="240" w:lineRule="auto"/>
      <w:ind w:firstLine="720"/>
    </w:pPr>
    <w:rPr>
      <w:rFonts w:ascii="Times New Roman" w:eastAsia="Times New Roman" w:hAnsi="Times New Roman" w:cs="Times New Roman"/>
      <w:sz w:val="24"/>
      <w:szCs w:val="24"/>
      <w14:ligatures w14:val="none"/>
    </w:rPr>
  </w:style>
  <w:style w:type="paragraph" w:styleId="Intestazione">
    <w:name w:val="header"/>
    <w:basedOn w:val="Normale"/>
    <w:link w:val="IntestazioneCarattere"/>
    <w:uiPriority w:val="99"/>
    <w:unhideWhenUsed/>
    <w:rsid w:val="00E216F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16F6"/>
    <w:rPr>
      <w:kern w:val="0"/>
      <w:sz w:val="22"/>
      <w:szCs w:val="22"/>
    </w:rPr>
  </w:style>
  <w:style w:type="paragraph" w:styleId="Pidipagina">
    <w:name w:val="footer"/>
    <w:basedOn w:val="Normale"/>
    <w:link w:val="PidipaginaCarattere"/>
    <w:uiPriority w:val="99"/>
    <w:unhideWhenUsed/>
    <w:rsid w:val="00E216F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16F6"/>
    <w:rPr>
      <w:kern w:val="0"/>
      <w:sz w:val="22"/>
      <w:szCs w:val="22"/>
    </w:rPr>
  </w:style>
  <w:style w:type="character" w:styleId="Collegamentoipertestuale">
    <w:name w:val="Hyperlink"/>
    <w:basedOn w:val="Carpredefinitoparagrafo"/>
    <w:uiPriority w:val="99"/>
    <w:unhideWhenUsed/>
    <w:rsid w:val="004A79C7"/>
    <w:rPr>
      <w:color w:val="467886" w:themeColor="hyperlink"/>
      <w:u w:val="single"/>
    </w:rPr>
  </w:style>
  <w:style w:type="character" w:styleId="Menzionenonrisolta">
    <w:name w:val="Unresolved Mention"/>
    <w:basedOn w:val="Carpredefinitoparagrafo"/>
    <w:uiPriority w:val="99"/>
    <w:semiHidden/>
    <w:unhideWhenUsed/>
    <w:rsid w:val="004A79C7"/>
    <w:rPr>
      <w:color w:val="605E5C"/>
      <w:shd w:val="clear" w:color="auto" w:fill="E1DFDD"/>
    </w:rPr>
  </w:style>
  <w:style w:type="paragraph" w:styleId="Revisione">
    <w:name w:val="Revision"/>
    <w:hidden/>
    <w:uiPriority w:val="99"/>
    <w:semiHidden/>
    <w:rsid w:val="004A79C7"/>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06764">
      <w:bodyDiv w:val="1"/>
      <w:marLeft w:val="0"/>
      <w:marRight w:val="0"/>
      <w:marTop w:val="0"/>
      <w:marBottom w:val="0"/>
      <w:divBdr>
        <w:top w:val="none" w:sz="0" w:space="0" w:color="auto"/>
        <w:left w:val="none" w:sz="0" w:space="0" w:color="auto"/>
        <w:bottom w:val="none" w:sz="0" w:space="0" w:color="auto"/>
        <w:right w:val="none" w:sz="0" w:space="0" w:color="auto"/>
      </w:divBdr>
    </w:div>
    <w:div w:id="1921325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3b55eef-7018-4674-a3d7-cc0db06d545c}" enabled="0" method="" siteId="{13b55eef-7018-4674-a3d7-cc0db06d545c}" removed="1"/>
</clbl:labelList>
</file>

<file path=docProps/app.xml><?xml version="1.0" encoding="utf-8"?>
<Properties xmlns="http://schemas.openxmlformats.org/officeDocument/2006/extended-properties" xmlns:vt="http://schemas.openxmlformats.org/officeDocument/2006/docPropsVTypes">
  <Template>Normal</Template>
  <TotalTime>4</TotalTime>
  <Pages>20</Pages>
  <Words>2053</Words>
  <Characters>11707</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Electra Athena Salome' Brunialti</dc:creator>
  <cp:keywords/>
  <dc:description/>
  <cp:lastModifiedBy>Word Office</cp:lastModifiedBy>
  <cp:revision>5</cp:revision>
  <cp:lastPrinted>2025-05-13T09:25:00Z</cp:lastPrinted>
  <dcterms:created xsi:type="dcterms:W3CDTF">2025-10-24T12:46:00Z</dcterms:created>
  <dcterms:modified xsi:type="dcterms:W3CDTF">2025-10-24T13:12:00Z</dcterms:modified>
</cp:coreProperties>
</file>