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8A4ED" w14:textId="77777777" w:rsidR="00836CBC" w:rsidRPr="002136FD" w:rsidRDefault="00836CBC" w:rsidP="00836CBC">
      <w:pPr>
        <w:pStyle w:val="SMHeading"/>
        <w:jc w:val="both"/>
      </w:pPr>
      <w:r w:rsidRPr="00403F57">
        <w:rPr>
          <w:lang w:eastAsia="zh-CN"/>
        </w:rPr>
        <w:t>Supplementary Information</w:t>
      </w:r>
      <w:r>
        <w:rPr>
          <w:rFonts w:hint="eastAsia"/>
          <w:lang w:eastAsia="zh-CN"/>
        </w:rPr>
        <w:t xml:space="preserve"> </w:t>
      </w:r>
      <w:bookmarkStart w:id="0" w:name="_Hlk200018352"/>
      <w:bookmarkStart w:id="1" w:name="_Hlk200023896"/>
    </w:p>
    <w:p w14:paraId="239BD5EA" w14:textId="77777777" w:rsidR="00836CBC" w:rsidRPr="002F1ACA" w:rsidRDefault="00836CBC" w:rsidP="00836CBC">
      <w:pPr>
        <w:pStyle w:val="SMHeading"/>
        <w:jc w:val="both"/>
        <w:rPr>
          <w:b w:val="0"/>
          <w:bCs w:val="0"/>
          <w:sz w:val="21"/>
          <w:szCs w:val="21"/>
        </w:rPr>
      </w:pPr>
      <w:r>
        <w:rPr>
          <w:noProof/>
        </w:rPr>
        <w:drawing>
          <wp:inline distT="0" distB="0" distL="0" distR="0" wp14:anchorId="151835AC" wp14:editId="5CCFBA36">
            <wp:extent cx="5491818" cy="6876508"/>
            <wp:effectExtent l="0" t="0" r="0" b="635"/>
            <wp:docPr id="2732185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94792" cy="6880232"/>
                    </a:xfrm>
                    <a:prstGeom prst="rect">
                      <a:avLst/>
                    </a:prstGeom>
                    <a:noFill/>
                    <a:ln>
                      <a:noFill/>
                    </a:ln>
                  </pic:spPr>
                </pic:pic>
              </a:graphicData>
            </a:graphic>
          </wp:inline>
        </w:drawing>
      </w:r>
      <w:r>
        <w:rPr>
          <w:sz w:val="21"/>
          <w:szCs w:val="21"/>
        </w:rPr>
        <w:t xml:space="preserve"> </w:t>
      </w:r>
      <w:r w:rsidRPr="00300CB2">
        <w:t xml:space="preserve">Fig. S1 </w:t>
      </w:r>
      <w:bookmarkEnd w:id="0"/>
      <w:r w:rsidRPr="00300CB2">
        <w:t>VSIG2 exhibits structural homology with B7 family members and displays immune-cell-specific and expression patterns.</w:t>
      </w:r>
    </w:p>
    <w:bookmarkEnd w:id="1"/>
    <w:p w14:paraId="2C6A463B" w14:textId="77777777" w:rsidR="00836CBC" w:rsidRPr="002F1ACA" w:rsidRDefault="00836CBC" w:rsidP="00836CBC">
      <w:pPr>
        <w:jc w:val="both"/>
        <w:rPr>
          <w:rFonts w:eastAsia="楷体"/>
          <w:sz w:val="21"/>
          <w:szCs w:val="21"/>
        </w:rPr>
      </w:pPr>
      <w:r w:rsidRPr="002F1ACA">
        <w:rPr>
          <w:rFonts w:eastAsia="楷体"/>
          <w:b/>
          <w:bCs/>
          <w:sz w:val="21"/>
          <w:szCs w:val="21"/>
        </w:rPr>
        <w:t>a,</w:t>
      </w:r>
      <w:r w:rsidRPr="002F1ACA">
        <w:rPr>
          <w:rFonts w:eastAsia="楷体"/>
          <w:sz w:val="21"/>
          <w:szCs w:val="21"/>
        </w:rPr>
        <w:t xml:space="preserve"> Multiple sequence alignment of the extracellular domain of mVSIG2 and several known B7 and BTN family members. Identical amino acids are shaded in blue, while those with strong homology are shaded in light blue.  Conserved cysteine residues are labeled with an asterisk (*). </w:t>
      </w:r>
      <w:r w:rsidRPr="002F1ACA">
        <w:rPr>
          <w:rFonts w:eastAsia="楷体"/>
          <w:b/>
          <w:bCs/>
          <w:sz w:val="21"/>
          <w:szCs w:val="21"/>
        </w:rPr>
        <w:t xml:space="preserve">b, </w:t>
      </w:r>
      <w:r w:rsidRPr="002F1ACA">
        <w:rPr>
          <w:rFonts w:eastAsia="楷体"/>
          <w:sz w:val="21"/>
          <w:szCs w:val="21"/>
        </w:rPr>
        <w:t xml:space="preserve">Homology and similarity statistics of the hVSIG2 extracellular structural domain compared to known B7 and BTN family members. </w:t>
      </w:r>
      <w:r w:rsidRPr="002F1ACA">
        <w:rPr>
          <w:rFonts w:eastAsia="楷体"/>
          <w:b/>
          <w:bCs/>
          <w:sz w:val="21"/>
          <w:szCs w:val="21"/>
        </w:rPr>
        <w:t xml:space="preserve">c, </w:t>
      </w:r>
      <w:r w:rsidRPr="002F1ACA">
        <w:rPr>
          <w:rFonts w:eastAsia="楷体"/>
          <w:sz w:val="21"/>
          <w:szCs w:val="21"/>
        </w:rPr>
        <w:t>Protein sequence alignment of mVSIG2 and hVSIG2, with predicted IgV-</w:t>
      </w:r>
      <w:r w:rsidRPr="002F1ACA">
        <w:rPr>
          <w:rFonts w:eastAsia="楷体"/>
          <w:sz w:val="21"/>
          <w:szCs w:val="21"/>
        </w:rPr>
        <w:lastRenderedPageBreak/>
        <w:t xml:space="preserve">like, IgC-like, and transmembrane (TM) domains for mVSIG2 indicated. </w:t>
      </w:r>
      <w:r w:rsidRPr="002F1ACA">
        <w:rPr>
          <w:rFonts w:eastAsia="楷体"/>
          <w:b/>
          <w:bCs/>
          <w:sz w:val="21"/>
          <w:szCs w:val="21"/>
        </w:rPr>
        <w:t>d,</w:t>
      </w:r>
      <w:r w:rsidRPr="002F1ACA">
        <w:rPr>
          <w:rFonts w:eastAsia="楷体"/>
          <w:sz w:val="21"/>
          <w:szCs w:val="21"/>
        </w:rPr>
        <w:t xml:space="preserve"> Phylogenic tree based on the extracellular region. </w:t>
      </w:r>
      <w:r w:rsidRPr="002F1ACA">
        <w:rPr>
          <w:b/>
          <w:bCs/>
          <w:sz w:val="21"/>
          <w:szCs w:val="21"/>
        </w:rPr>
        <w:t xml:space="preserve">e, </w:t>
      </w:r>
      <w:r w:rsidRPr="002F1ACA">
        <w:rPr>
          <w:sz w:val="21"/>
          <w:szCs w:val="21"/>
        </w:rPr>
        <w:t xml:space="preserve">Comparison of the extracellular structure of human VSIG2 (hVSIG2) with that of human PD-L1 (hPD-L1) and mouse VSIG2 (mVSIG2). The extracellular structure of VSIG2 was modeled using the SWISS-MODEL online platform, and hPD-L1's structure was obtained from the Protein Data Bank (PDB). </w:t>
      </w:r>
      <w:r w:rsidRPr="002F1ACA">
        <w:rPr>
          <w:b/>
          <w:bCs/>
          <w:sz w:val="21"/>
          <w:szCs w:val="21"/>
        </w:rPr>
        <w:t>f,</w:t>
      </w:r>
      <w:r w:rsidRPr="002F1ACA">
        <w:rPr>
          <w:sz w:val="21"/>
          <w:szCs w:val="21"/>
        </w:rPr>
        <w:t xml:space="preserve"> Representative flow cytometry plots display the Co-expression of mVSIG2 and mPD-L1 on APCs </w:t>
      </w:r>
      <w:r w:rsidRPr="002F1ACA">
        <w:rPr>
          <w:rFonts w:eastAsia="楷体"/>
          <w:sz w:val="21"/>
          <w:szCs w:val="21"/>
        </w:rPr>
        <w:t>(n =3 independent experiments)</w:t>
      </w:r>
      <w:r w:rsidRPr="002F1ACA">
        <w:rPr>
          <w:sz w:val="21"/>
          <w:szCs w:val="21"/>
        </w:rPr>
        <w:t xml:space="preserve">. </w:t>
      </w:r>
      <w:r w:rsidRPr="002F1ACA">
        <w:rPr>
          <w:b/>
          <w:bCs/>
          <w:sz w:val="21"/>
          <w:szCs w:val="21"/>
        </w:rPr>
        <w:t xml:space="preserve">g, </w:t>
      </w:r>
      <w:r w:rsidRPr="002F1ACA">
        <w:rPr>
          <w:sz w:val="21"/>
          <w:szCs w:val="21"/>
        </w:rPr>
        <w:t>mVSIG2 mRNA expression levels in different tissues (Lane 1: marker; 2: stomach; 3: colon; 4: pancreas; 5: thymus; 6: intestine; 7: spleen; 8: spinal cord; 9: liver) were analyzed by RT-PCR.</w:t>
      </w:r>
      <w:r w:rsidRPr="002F1ACA">
        <w:rPr>
          <w:b/>
          <w:bCs/>
          <w:sz w:val="21"/>
          <w:szCs w:val="21"/>
        </w:rPr>
        <w:t xml:space="preserve"> h, </w:t>
      </w:r>
      <w:r w:rsidRPr="002F1ACA">
        <w:rPr>
          <w:sz w:val="21"/>
          <w:szCs w:val="21"/>
        </w:rPr>
        <w:t xml:space="preserve">Quantitative RT-PCR (qRT-PCR) was used to determine relative mVSIG2 mRNA expression, normalized to GAPDH. </w:t>
      </w:r>
    </w:p>
    <w:p w14:paraId="04151636" w14:textId="77777777" w:rsidR="00836CBC" w:rsidRPr="002F1ACA" w:rsidRDefault="00836CBC" w:rsidP="00836CBC">
      <w:pPr>
        <w:pStyle w:val="SMHeading"/>
        <w:jc w:val="both"/>
        <w:rPr>
          <w:rFonts w:eastAsia="宋体"/>
          <w:kern w:val="0"/>
          <w:sz w:val="21"/>
          <w:szCs w:val="21"/>
        </w:rPr>
      </w:pPr>
      <w:r>
        <w:rPr>
          <w:noProof/>
        </w:rPr>
        <w:lastRenderedPageBreak/>
        <w:drawing>
          <wp:inline distT="0" distB="0" distL="0" distR="0" wp14:anchorId="28278256" wp14:editId="0EBFD31E">
            <wp:extent cx="5746750" cy="8229600"/>
            <wp:effectExtent l="0" t="0" r="6350" b="0"/>
            <wp:docPr id="1298239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46750" cy="8229600"/>
                    </a:xfrm>
                    <a:prstGeom prst="rect">
                      <a:avLst/>
                    </a:prstGeom>
                    <a:noFill/>
                    <a:ln>
                      <a:noFill/>
                    </a:ln>
                  </pic:spPr>
                </pic:pic>
              </a:graphicData>
            </a:graphic>
          </wp:inline>
        </w:drawing>
      </w:r>
      <w:r>
        <w:rPr>
          <w:b w:val="0"/>
          <w:bCs w:val="0"/>
          <w:sz w:val="21"/>
          <w:szCs w:val="21"/>
        </w:rPr>
        <w:t xml:space="preserve"> </w:t>
      </w:r>
      <w:bookmarkStart w:id="2" w:name="_Hlk214826200"/>
      <w:r w:rsidRPr="00300CB2">
        <w:t>Fig. S2</w:t>
      </w:r>
      <w:r w:rsidRPr="00300CB2">
        <w:rPr>
          <w:rFonts w:hint="eastAsia"/>
        </w:rPr>
        <w:t xml:space="preserve"> </w:t>
      </w:r>
      <w:r w:rsidRPr="00300CB2">
        <w:t xml:space="preserve">Expression of VSIG2 in 33 types of tumor tissues with corresponding normal tissues. </w:t>
      </w:r>
    </w:p>
    <w:p w14:paraId="3801C1C0" w14:textId="77777777" w:rsidR="00836CBC" w:rsidRPr="002F1ACA" w:rsidRDefault="00836CBC" w:rsidP="00836CBC">
      <w:pPr>
        <w:jc w:val="both"/>
        <w:rPr>
          <w:rFonts w:eastAsia="宋体"/>
          <w:sz w:val="21"/>
          <w:szCs w:val="21"/>
        </w:rPr>
      </w:pPr>
      <w:r w:rsidRPr="002F1ACA">
        <w:rPr>
          <w:rFonts w:eastAsia="宋体"/>
          <w:sz w:val="21"/>
          <w:szCs w:val="21"/>
        </w:rPr>
        <w:lastRenderedPageBreak/>
        <w:t>To assess the tumor relevance of VSIG2, this study integrated TCGA and GTEx databases to perform a pan-cancer analysis of 33 malignancies, and immunohistochemistry (IHC) was used to detect VSIG2 expression in clinical tumor and adjacent normal tissue samples.</w:t>
      </w:r>
      <w:r w:rsidRPr="002F1ACA">
        <w:rPr>
          <w:rFonts w:eastAsia="宋体"/>
          <w:b/>
          <w:bCs/>
          <w:sz w:val="21"/>
          <w:szCs w:val="21"/>
        </w:rPr>
        <w:t xml:space="preserve"> a, </w:t>
      </w:r>
      <w:r w:rsidRPr="002F1ACA">
        <w:rPr>
          <w:rFonts w:eastAsia="宋体"/>
          <w:sz w:val="21"/>
          <w:szCs w:val="21"/>
        </w:rPr>
        <w:t xml:space="preserve">Bioinformatics analysis of the expression distribution of the VSIG2 gene in 33 tumor tissues and normal tissues. </w:t>
      </w:r>
      <w:r w:rsidRPr="002F1ACA">
        <w:rPr>
          <w:rFonts w:eastAsia="宋体"/>
          <w:b/>
          <w:bCs/>
          <w:sz w:val="21"/>
          <w:szCs w:val="21"/>
        </w:rPr>
        <w:t xml:space="preserve">b, </w:t>
      </w:r>
      <w:r w:rsidRPr="002F1ACA">
        <w:rPr>
          <w:rFonts w:eastAsia="宋体"/>
          <w:sz w:val="21"/>
          <w:szCs w:val="21"/>
        </w:rPr>
        <w:t xml:space="preserve">Bioinformatics analysis of the expression profiles of VSIG2 and classical immune checkpoint molecules PD-L1, CD47, and B2M in 33 tumors. </w:t>
      </w:r>
      <w:r w:rsidRPr="002F1ACA">
        <w:rPr>
          <w:rFonts w:eastAsia="宋体"/>
          <w:b/>
          <w:bCs/>
          <w:sz w:val="21"/>
          <w:szCs w:val="21"/>
        </w:rPr>
        <w:t xml:space="preserve">c, </w:t>
      </w:r>
      <w:r w:rsidRPr="002F1ACA">
        <w:rPr>
          <w:rFonts w:eastAsia="宋体"/>
          <w:sz w:val="21"/>
          <w:szCs w:val="21"/>
        </w:rPr>
        <w:t>The expression levels of VSIG2 in esophageal, stomach, colon, liver, and pancreas tumor tissues, *</w:t>
      </w:r>
      <w:r w:rsidRPr="002F1ACA">
        <w:rPr>
          <w:rFonts w:eastAsia="宋体"/>
          <w:i/>
          <w:iCs/>
          <w:sz w:val="21"/>
          <w:szCs w:val="21"/>
        </w:rPr>
        <w:t>p </w:t>
      </w:r>
      <w:r w:rsidRPr="002F1ACA">
        <w:rPr>
          <w:rFonts w:eastAsia="宋体"/>
          <w:sz w:val="21"/>
          <w:szCs w:val="21"/>
        </w:rPr>
        <w:t>&lt; 0.05, **</w:t>
      </w:r>
      <w:r w:rsidRPr="002F1ACA">
        <w:rPr>
          <w:rFonts w:eastAsia="宋体"/>
          <w:i/>
          <w:iCs/>
          <w:sz w:val="21"/>
          <w:szCs w:val="21"/>
        </w:rPr>
        <w:t>p </w:t>
      </w:r>
      <w:r w:rsidRPr="002F1ACA">
        <w:rPr>
          <w:rFonts w:eastAsia="宋体"/>
          <w:sz w:val="21"/>
          <w:szCs w:val="21"/>
        </w:rPr>
        <w:t>&lt; 0.01, ***</w:t>
      </w:r>
      <w:r w:rsidRPr="002F1ACA">
        <w:rPr>
          <w:rFonts w:eastAsia="宋体"/>
          <w:i/>
          <w:iCs/>
          <w:sz w:val="21"/>
          <w:szCs w:val="21"/>
        </w:rPr>
        <w:t>p </w:t>
      </w:r>
      <w:r w:rsidRPr="002F1ACA">
        <w:rPr>
          <w:rFonts w:eastAsia="宋体"/>
          <w:sz w:val="21"/>
          <w:szCs w:val="21"/>
        </w:rPr>
        <w:t xml:space="preserve">&lt; 0.001, asterisks (*) stand for significance levels. </w:t>
      </w:r>
      <w:r w:rsidRPr="002F1ACA">
        <w:rPr>
          <w:rFonts w:eastAsia="宋体"/>
          <w:b/>
          <w:bCs/>
          <w:sz w:val="21"/>
          <w:szCs w:val="21"/>
        </w:rPr>
        <w:t xml:space="preserve">d, </w:t>
      </w:r>
      <w:r w:rsidRPr="002F1ACA">
        <w:rPr>
          <w:rFonts w:eastAsia="宋体"/>
          <w:sz w:val="21"/>
          <w:szCs w:val="21"/>
        </w:rPr>
        <w:t xml:space="preserve">Determination of hVSIG2 protein expression in human normal and cancer tissues by immunohistochemistry with an anti-VSIG2 mAb or isotype antibody. </w:t>
      </w:r>
      <w:r w:rsidRPr="002F1ACA">
        <w:rPr>
          <w:rFonts w:eastAsia="宋体"/>
          <w:b/>
          <w:bCs/>
          <w:sz w:val="21"/>
          <w:szCs w:val="21"/>
        </w:rPr>
        <w:t xml:space="preserve">e, </w:t>
      </w:r>
      <w:r w:rsidRPr="002F1ACA">
        <w:rPr>
          <w:rFonts w:eastAsia="宋体"/>
          <w:sz w:val="21"/>
          <w:szCs w:val="21"/>
        </w:rPr>
        <w:t xml:space="preserve">Statistical analysis of the expression levels of VSIG2 on tumor tissues. The data were presented as relative expression levels of VSIG2 on tumor tissues versus relative normal tissues (each group was normalized with isotype Ab first, </w:t>
      </w:r>
      <w:r w:rsidRPr="002F1ACA">
        <w:rPr>
          <w:rFonts w:eastAsia="楷体"/>
          <w:sz w:val="21"/>
          <w:szCs w:val="21"/>
        </w:rPr>
        <w:t>n =4 independent experiments)</w:t>
      </w:r>
      <w:r w:rsidRPr="002F1ACA">
        <w:rPr>
          <w:rFonts w:eastAsia="宋体"/>
          <w:sz w:val="21"/>
          <w:szCs w:val="21"/>
        </w:rPr>
        <w:t>. Data are presented as mean ± SD. Statistical significance was assessed by two-sided Student’s t test. Source data are provided as a Source Data file.</w:t>
      </w:r>
    </w:p>
    <w:bookmarkEnd w:id="2"/>
    <w:p w14:paraId="3672BC11" w14:textId="77777777" w:rsidR="00836CBC" w:rsidRDefault="00836CBC" w:rsidP="00836CBC">
      <w:pPr>
        <w:jc w:val="both"/>
        <w:rPr>
          <w:b/>
          <w:bCs/>
          <w:sz w:val="21"/>
          <w:szCs w:val="21"/>
        </w:rPr>
      </w:pPr>
      <w:r>
        <w:rPr>
          <w:noProof/>
        </w:rPr>
        <w:lastRenderedPageBreak/>
        <w:drawing>
          <wp:inline distT="0" distB="0" distL="0" distR="0" wp14:anchorId="7012F060" wp14:editId="219C81D9">
            <wp:extent cx="5943600" cy="8061325"/>
            <wp:effectExtent l="0" t="0" r="0" b="0"/>
            <wp:docPr id="1742464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061325"/>
                    </a:xfrm>
                    <a:prstGeom prst="rect">
                      <a:avLst/>
                    </a:prstGeom>
                    <a:noFill/>
                    <a:ln>
                      <a:noFill/>
                    </a:ln>
                  </pic:spPr>
                </pic:pic>
              </a:graphicData>
            </a:graphic>
          </wp:inline>
        </w:drawing>
      </w:r>
    </w:p>
    <w:p w14:paraId="6AA59F6E" w14:textId="77777777" w:rsidR="00836CBC" w:rsidRPr="00300CB2" w:rsidRDefault="00836CBC" w:rsidP="00836CBC">
      <w:pPr>
        <w:pStyle w:val="SMHeading"/>
        <w:jc w:val="both"/>
      </w:pPr>
      <w:r w:rsidRPr="00300CB2">
        <w:lastRenderedPageBreak/>
        <w:t>Fig. S3</w:t>
      </w:r>
      <w:r w:rsidRPr="00300CB2">
        <w:rPr>
          <w:rFonts w:hint="eastAsia"/>
        </w:rPr>
        <w:t xml:space="preserve"> </w:t>
      </w:r>
      <w:r w:rsidRPr="00300CB2">
        <w:t>Process and identification of purified mVSIG2-Ig and hVSIG2-Ig proteins and the effects of VSIG2 protein on T cell activation in vitro.</w:t>
      </w:r>
    </w:p>
    <w:p w14:paraId="6EE23532" w14:textId="77777777" w:rsidR="00836CBC" w:rsidRDefault="00836CBC" w:rsidP="00836CBC">
      <w:pPr>
        <w:jc w:val="both"/>
        <w:rPr>
          <w:sz w:val="21"/>
          <w:szCs w:val="21"/>
        </w:rPr>
      </w:pPr>
      <w:r w:rsidRPr="002F1ACA">
        <w:rPr>
          <w:rFonts w:eastAsia="楷体"/>
          <w:b/>
          <w:sz w:val="21"/>
          <w:szCs w:val="21"/>
        </w:rPr>
        <w:t>a,</w:t>
      </w:r>
      <w:r w:rsidRPr="002F1ACA">
        <w:rPr>
          <w:rFonts w:eastAsia="楷体"/>
          <w:bCs/>
          <w:sz w:val="21"/>
          <w:szCs w:val="21"/>
        </w:rPr>
        <w:t xml:space="preserve"> Schematic diagram analysing the effect of hVSIG2-Ig on T cell function in human peripheral blood. Human peripheral blood lymphocytes were cultured with anti-CD3 (1 μg/ml) and anti-CD28 (0.5 μg/ml) antibodies in the presence of graded doses of hVSIG2-Ig (1600 ng/ml, 3200 ng/ml, and 6400 ng/ml) or equimolar amounts of control Ig for 24 or 72 hours. </w:t>
      </w:r>
      <w:r w:rsidRPr="002F1ACA">
        <w:rPr>
          <w:rFonts w:eastAsia="楷体"/>
          <w:b/>
          <w:sz w:val="21"/>
          <w:szCs w:val="21"/>
        </w:rPr>
        <w:t xml:space="preserve">b, </w:t>
      </w:r>
      <w:r w:rsidRPr="002F1ACA">
        <w:rPr>
          <w:rFonts w:eastAsia="楷体"/>
          <w:bCs/>
          <w:sz w:val="21"/>
          <w:szCs w:val="21"/>
        </w:rPr>
        <w:t xml:space="preserve">Gel and protein blot showing purified mVSIG2-Ig and hVSIG2-Ig proteins; includes Coomassie blue-stained mVSIG2-Ig and hVSIG2-Ig SDS-PAGE, anti-IgG2a antibody Western protein blot, anti-VSIG2 antibody Western protein blot. </w:t>
      </w:r>
      <w:r w:rsidRPr="002F1ACA">
        <w:rPr>
          <w:rFonts w:eastAsia="楷体"/>
          <w:b/>
          <w:sz w:val="21"/>
          <w:szCs w:val="21"/>
        </w:rPr>
        <w:t xml:space="preserve">c, </w:t>
      </w:r>
      <w:r w:rsidRPr="002F1ACA">
        <w:rPr>
          <w:rFonts w:eastAsia="楷体"/>
          <w:bCs/>
          <w:sz w:val="21"/>
          <w:szCs w:val="21"/>
        </w:rPr>
        <w:t>Representative flow cytometric analysis of CD69 expression in CD4</w:t>
      </w:r>
      <w:r w:rsidRPr="002F1ACA">
        <w:rPr>
          <w:rFonts w:eastAsia="楷体"/>
          <w:bCs/>
          <w:sz w:val="21"/>
          <w:szCs w:val="21"/>
          <w:vertAlign w:val="superscript"/>
        </w:rPr>
        <w:t>+</w:t>
      </w:r>
      <w:r w:rsidRPr="002F1ACA">
        <w:rPr>
          <w:rFonts w:eastAsia="楷体"/>
          <w:bCs/>
          <w:sz w:val="21"/>
          <w:szCs w:val="21"/>
        </w:rPr>
        <w:t xml:space="preserve"> and CD8</w:t>
      </w:r>
      <w:r w:rsidRPr="002F1ACA">
        <w:rPr>
          <w:rFonts w:eastAsia="楷体"/>
          <w:bCs/>
          <w:sz w:val="21"/>
          <w:szCs w:val="21"/>
          <w:vertAlign w:val="superscript"/>
        </w:rPr>
        <w:t>+</w:t>
      </w:r>
      <w:r w:rsidRPr="002F1ACA">
        <w:rPr>
          <w:rFonts w:eastAsia="楷体"/>
          <w:bCs/>
          <w:sz w:val="21"/>
          <w:szCs w:val="21"/>
        </w:rPr>
        <w:t xml:space="preserve"> T cells, and</w:t>
      </w:r>
      <w:r w:rsidRPr="002F1ACA">
        <w:rPr>
          <w:rFonts w:eastAsia="楷体"/>
          <w:b/>
          <w:sz w:val="21"/>
          <w:szCs w:val="21"/>
        </w:rPr>
        <w:t xml:space="preserve"> (d) </w:t>
      </w:r>
      <w:r w:rsidRPr="002F1ACA">
        <w:rPr>
          <w:rFonts w:eastAsia="楷体"/>
          <w:bCs/>
          <w:sz w:val="21"/>
          <w:szCs w:val="21"/>
        </w:rPr>
        <w:t>statistical analysis of T cell activation</w:t>
      </w:r>
      <w:r w:rsidRPr="002F1ACA">
        <w:rPr>
          <w:sz w:val="21"/>
          <w:szCs w:val="21"/>
        </w:rPr>
        <w:t xml:space="preserve"> </w:t>
      </w:r>
      <w:r w:rsidRPr="002F1ACA">
        <w:rPr>
          <w:rFonts w:eastAsia="楷体"/>
          <w:sz w:val="21"/>
          <w:szCs w:val="21"/>
        </w:rPr>
        <w:t>(n =3 independent experiments)</w:t>
      </w:r>
      <w:r w:rsidRPr="002F1ACA">
        <w:rPr>
          <w:rFonts w:eastAsia="楷体"/>
          <w:bCs/>
          <w:sz w:val="21"/>
          <w:szCs w:val="21"/>
        </w:rPr>
        <w:t xml:space="preserve">. </w:t>
      </w:r>
      <w:r w:rsidRPr="002F1ACA">
        <w:rPr>
          <w:rFonts w:eastAsia="楷体"/>
          <w:b/>
          <w:sz w:val="21"/>
          <w:szCs w:val="21"/>
        </w:rPr>
        <w:t xml:space="preserve">e, </w:t>
      </w:r>
      <w:r w:rsidRPr="002F1ACA">
        <w:rPr>
          <w:rFonts w:eastAsia="楷体"/>
          <w:bCs/>
          <w:sz w:val="21"/>
          <w:szCs w:val="21"/>
        </w:rPr>
        <w:t>Representative flow cytometric analysis of CFSE distribution in CD4</w:t>
      </w:r>
      <w:r w:rsidRPr="002F1ACA">
        <w:rPr>
          <w:rFonts w:eastAsia="楷体"/>
          <w:bCs/>
          <w:sz w:val="21"/>
          <w:szCs w:val="21"/>
          <w:vertAlign w:val="superscript"/>
        </w:rPr>
        <w:t>+</w:t>
      </w:r>
      <w:r w:rsidRPr="002F1ACA">
        <w:rPr>
          <w:rFonts w:eastAsia="楷体"/>
          <w:bCs/>
          <w:sz w:val="21"/>
          <w:szCs w:val="21"/>
        </w:rPr>
        <w:t xml:space="preserve"> and CD8</w:t>
      </w:r>
      <w:r w:rsidRPr="002F1ACA">
        <w:rPr>
          <w:rFonts w:eastAsia="楷体"/>
          <w:bCs/>
          <w:sz w:val="21"/>
          <w:szCs w:val="21"/>
          <w:vertAlign w:val="superscript"/>
        </w:rPr>
        <w:t>+</w:t>
      </w:r>
      <w:r w:rsidRPr="002F1ACA">
        <w:rPr>
          <w:rFonts w:eastAsia="楷体"/>
          <w:bCs/>
          <w:sz w:val="21"/>
          <w:szCs w:val="21"/>
        </w:rPr>
        <w:t xml:space="preserve"> T cells, and </w:t>
      </w:r>
      <w:r w:rsidRPr="002F1ACA">
        <w:rPr>
          <w:rFonts w:eastAsia="楷体"/>
          <w:b/>
          <w:sz w:val="21"/>
          <w:szCs w:val="21"/>
        </w:rPr>
        <w:t>(f)</w:t>
      </w:r>
      <w:r w:rsidRPr="002F1ACA">
        <w:rPr>
          <w:rFonts w:eastAsia="楷体"/>
          <w:bCs/>
          <w:sz w:val="21"/>
          <w:szCs w:val="21"/>
        </w:rPr>
        <w:t xml:space="preserve"> statistical analysis of T cell proliferation</w:t>
      </w:r>
      <w:r w:rsidRPr="002F1ACA">
        <w:rPr>
          <w:sz w:val="21"/>
          <w:szCs w:val="21"/>
        </w:rPr>
        <w:t xml:space="preserve"> </w:t>
      </w:r>
      <w:r w:rsidRPr="002F1ACA">
        <w:rPr>
          <w:rFonts w:eastAsia="楷体"/>
          <w:sz w:val="21"/>
          <w:szCs w:val="21"/>
        </w:rPr>
        <w:t>(n =3 independent experiments)</w:t>
      </w:r>
      <w:r w:rsidRPr="002F1ACA">
        <w:rPr>
          <w:rFonts w:eastAsia="楷体"/>
          <w:bCs/>
          <w:sz w:val="21"/>
          <w:szCs w:val="21"/>
        </w:rPr>
        <w:t xml:space="preserve">. </w:t>
      </w:r>
      <w:r w:rsidRPr="002F1ACA">
        <w:rPr>
          <w:rFonts w:eastAsia="楷体"/>
          <w:b/>
          <w:sz w:val="21"/>
          <w:szCs w:val="21"/>
        </w:rPr>
        <w:t>g,</w:t>
      </w:r>
      <w:r w:rsidRPr="002F1ACA">
        <w:rPr>
          <w:sz w:val="21"/>
          <w:szCs w:val="21"/>
        </w:rPr>
        <w:t xml:space="preserve"> Splenic cells from C57BL/6 mice were cultured with anti-CD3 (1 μg/ml) and anti-CD28 (0.5 μg/ml) antibodies in the presence of graded doses of hVSIG2-His or hPD-L1-His (1600ng/ml, 3200ng/ml and 6400 ng/ml) for 24 hours. Flow cytometric analysis of CD69 distribution of CD4</w:t>
      </w:r>
      <w:r w:rsidRPr="002F1ACA">
        <w:rPr>
          <w:sz w:val="21"/>
          <w:szCs w:val="21"/>
          <w:vertAlign w:val="superscript"/>
        </w:rPr>
        <w:t>+</w:t>
      </w:r>
      <w:r w:rsidRPr="002F1ACA">
        <w:rPr>
          <w:sz w:val="21"/>
          <w:szCs w:val="21"/>
        </w:rPr>
        <w:t xml:space="preserve"> and CD8</w:t>
      </w:r>
      <w:r w:rsidRPr="002F1ACA">
        <w:rPr>
          <w:sz w:val="21"/>
          <w:szCs w:val="21"/>
          <w:vertAlign w:val="superscript"/>
        </w:rPr>
        <w:t>+</w:t>
      </w:r>
      <w:r w:rsidRPr="002F1ACA">
        <w:rPr>
          <w:sz w:val="21"/>
          <w:szCs w:val="21"/>
        </w:rPr>
        <w:t xml:space="preserve">T cells, and (h) statistical analysis of T cell activation </w:t>
      </w:r>
      <w:r w:rsidRPr="002F1ACA">
        <w:rPr>
          <w:rFonts w:eastAsia="楷体"/>
          <w:sz w:val="21"/>
          <w:szCs w:val="21"/>
        </w:rPr>
        <w:t>(n =3 independent experiments)</w:t>
      </w:r>
      <w:r w:rsidRPr="002F1ACA">
        <w:rPr>
          <w:sz w:val="21"/>
          <w:szCs w:val="21"/>
        </w:rPr>
        <w:t xml:space="preserve">. </w:t>
      </w:r>
      <w:r w:rsidRPr="002F1ACA">
        <w:rPr>
          <w:b/>
          <w:bCs/>
          <w:sz w:val="21"/>
          <w:szCs w:val="21"/>
        </w:rPr>
        <w:t>i,</w:t>
      </w:r>
      <w:r w:rsidRPr="002F1ACA">
        <w:rPr>
          <w:sz w:val="21"/>
          <w:szCs w:val="21"/>
        </w:rPr>
        <w:t xml:space="preserve"> </w:t>
      </w:r>
      <w:r w:rsidRPr="002F1ACA">
        <w:rPr>
          <w:sz w:val="21"/>
          <w:szCs w:val="21"/>
          <w:shd w:val="clear" w:color="auto" w:fill="FFFFFF"/>
        </w:rPr>
        <w:t>Human peripheral blood and obtaining lymphocytes</w:t>
      </w:r>
      <w:r w:rsidRPr="002F1ACA">
        <w:rPr>
          <w:sz w:val="21"/>
          <w:szCs w:val="21"/>
        </w:rPr>
        <w:t xml:space="preserve"> were cultured with anti-CD3 (1 μg/ml) and anti-CD28 (0.5 μg/ml) antibodies in the presence of graded doses of hVSIG2 or hPD-L1 (1600ng/ml, 3200ng/ml and 6400 ng/ml) for 24 hours. Flow cytometric analysis of CD69 distribution of CD4</w:t>
      </w:r>
      <w:r w:rsidRPr="002F1ACA">
        <w:rPr>
          <w:sz w:val="21"/>
          <w:szCs w:val="21"/>
          <w:vertAlign w:val="superscript"/>
        </w:rPr>
        <w:t>+</w:t>
      </w:r>
      <w:r w:rsidRPr="002F1ACA">
        <w:rPr>
          <w:sz w:val="21"/>
          <w:szCs w:val="21"/>
        </w:rPr>
        <w:t xml:space="preserve"> and CD8</w:t>
      </w:r>
      <w:r w:rsidRPr="002F1ACA">
        <w:rPr>
          <w:sz w:val="21"/>
          <w:szCs w:val="21"/>
          <w:vertAlign w:val="superscript"/>
        </w:rPr>
        <w:t>+</w:t>
      </w:r>
      <w:r w:rsidRPr="002F1ACA">
        <w:rPr>
          <w:sz w:val="21"/>
          <w:szCs w:val="21"/>
        </w:rPr>
        <w:t xml:space="preserve">T cells, and (j) statistical analysis of T cell activation </w:t>
      </w:r>
      <w:r w:rsidRPr="002F1ACA">
        <w:rPr>
          <w:rFonts w:eastAsia="楷体"/>
          <w:sz w:val="21"/>
          <w:szCs w:val="21"/>
        </w:rPr>
        <w:t>(n =3 independent experiments)</w:t>
      </w:r>
      <w:r w:rsidRPr="002F1ACA">
        <w:rPr>
          <w:sz w:val="21"/>
          <w:szCs w:val="21"/>
        </w:rPr>
        <w:t>. Data are presented as mean ± SD. Statistical significance was assessed by two-way ANOVA with Tukey’s test. Source data are provided as a Source Data file.</w:t>
      </w:r>
    </w:p>
    <w:p w14:paraId="771FB121" w14:textId="77777777" w:rsidR="00836CBC" w:rsidRDefault="00836CBC" w:rsidP="00836CBC">
      <w:pPr>
        <w:pStyle w:val="Default"/>
        <w:jc w:val="both"/>
        <w:rPr>
          <w:rFonts w:eastAsia="楷体"/>
          <w:sz w:val="21"/>
          <w:szCs w:val="21"/>
        </w:rPr>
      </w:pPr>
    </w:p>
    <w:p w14:paraId="15DB2378" w14:textId="77777777" w:rsidR="00836CBC" w:rsidRDefault="00836CBC" w:rsidP="00836CBC">
      <w:pPr>
        <w:jc w:val="both"/>
        <w:rPr>
          <w:sz w:val="21"/>
          <w:szCs w:val="21"/>
          <w:lang w:eastAsia="zh-CN"/>
        </w:rPr>
      </w:pPr>
    </w:p>
    <w:p w14:paraId="12EC7C67" w14:textId="77777777" w:rsidR="00836CBC" w:rsidRPr="002F1ACA" w:rsidRDefault="00836CBC" w:rsidP="00836CBC">
      <w:pPr>
        <w:pStyle w:val="SMHeading"/>
        <w:jc w:val="both"/>
        <w:rPr>
          <w:b w:val="0"/>
          <w:bCs w:val="0"/>
          <w:sz w:val="21"/>
          <w:szCs w:val="21"/>
        </w:rPr>
      </w:pPr>
      <w:r>
        <w:rPr>
          <w:noProof/>
        </w:rPr>
        <w:lastRenderedPageBreak/>
        <w:drawing>
          <wp:inline distT="0" distB="0" distL="0" distR="0" wp14:anchorId="0C2E15C3" wp14:editId="5F058898">
            <wp:extent cx="5943600" cy="6854825"/>
            <wp:effectExtent l="0" t="0" r="0" b="3175"/>
            <wp:docPr id="5265633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6854825"/>
                    </a:xfrm>
                    <a:prstGeom prst="rect">
                      <a:avLst/>
                    </a:prstGeom>
                    <a:noFill/>
                    <a:ln>
                      <a:noFill/>
                    </a:ln>
                  </pic:spPr>
                </pic:pic>
              </a:graphicData>
            </a:graphic>
          </wp:inline>
        </w:drawing>
      </w:r>
      <w:bookmarkStart w:id="3" w:name="_Hlk214268388"/>
      <w:r w:rsidRPr="00300CB2">
        <w:t>Fig. S4</w:t>
      </w:r>
      <w:r w:rsidRPr="00300CB2">
        <w:rPr>
          <w:rFonts w:hint="eastAsia"/>
        </w:rPr>
        <w:t xml:space="preserve"> </w:t>
      </w:r>
      <w:bookmarkEnd w:id="3"/>
      <w:r w:rsidRPr="00300CB2">
        <w:t>I</w:t>
      </w:r>
      <w:r w:rsidRPr="002F1ACA">
        <w:rPr>
          <w:sz w:val="21"/>
          <w:szCs w:val="21"/>
        </w:rPr>
        <w:t xml:space="preserve">dentification of VSIG2 knockout </w:t>
      </w:r>
      <w:r w:rsidRPr="00300CB2">
        <w:t>mice</w:t>
      </w:r>
      <w:r w:rsidRPr="002F1ACA">
        <w:rPr>
          <w:sz w:val="21"/>
          <w:szCs w:val="21"/>
        </w:rPr>
        <w:t>.</w:t>
      </w:r>
    </w:p>
    <w:p w14:paraId="156D2BAD" w14:textId="77777777" w:rsidR="00836CBC" w:rsidRDefault="00836CBC" w:rsidP="00836CBC">
      <w:pPr>
        <w:jc w:val="both"/>
        <w:rPr>
          <w:sz w:val="21"/>
          <w:szCs w:val="21"/>
        </w:rPr>
      </w:pPr>
      <w:r w:rsidRPr="00C734B9">
        <w:rPr>
          <w:sz w:val="21"/>
          <w:szCs w:val="21"/>
        </w:rPr>
        <w:t xml:space="preserve">VSIG2 knockout mice were bred for eight generations, resulting in stable knockout offspring. a, Gene sequencing of VSIG2 knockout mice to confirm the knockout location. b, Single-cell suspensions were prepared and analyzed by flow cytometry to assess VSIG2 expression on various immune cell types in both resting and activated states, including CD4+ T cells, CD8+ T cells, CD19+ B cells, CD45R+ B cells, CD11c+ dendritic cells, F4/80+ macrophages, and CD11b+ monocytes, and (c) statistical analysis of VSIG2 expression on various immune cell types (n =3 independent experiments).d, Agarose gel electrophoresis of mouse tail PCR for VSIG2 knockout verification. e, Q-PCR detection of liver, pancreas, colon, lung, spinal cord, and spleen tissues from </w:t>
      </w:r>
      <w:r w:rsidRPr="00C734B9">
        <w:rPr>
          <w:sz w:val="21"/>
          <w:szCs w:val="21"/>
        </w:rPr>
        <w:lastRenderedPageBreak/>
        <w:t>mice identified as homozygous for VSIG2 knockout. Data are presented as mean ± SD. Statistical significance was assessed by two-way ANOVA with Tukey’s test (c). Source data are provided as a Source Data file.</w:t>
      </w:r>
    </w:p>
    <w:p w14:paraId="62DF955A" w14:textId="77777777" w:rsidR="00836CBC" w:rsidRDefault="00836CBC" w:rsidP="00836CBC">
      <w:pPr>
        <w:pStyle w:val="Default"/>
        <w:jc w:val="both"/>
        <w:rPr>
          <w:b/>
          <w:bCs/>
          <w:color w:val="auto"/>
          <w:sz w:val="21"/>
          <w:szCs w:val="21"/>
        </w:rPr>
      </w:pPr>
      <w:r>
        <w:rPr>
          <w:noProof/>
        </w:rPr>
        <w:drawing>
          <wp:inline distT="0" distB="0" distL="0" distR="0" wp14:anchorId="7256163E" wp14:editId="6BA03F5B">
            <wp:extent cx="5943600" cy="7256145"/>
            <wp:effectExtent l="0" t="0" r="0" b="1905"/>
            <wp:docPr id="188229594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7256145"/>
                    </a:xfrm>
                    <a:prstGeom prst="rect">
                      <a:avLst/>
                    </a:prstGeom>
                    <a:noFill/>
                    <a:ln>
                      <a:noFill/>
                    </a:ln>
                  </pic:spPr>
                </pic:pic>
              </a:graphicData>
            </a:graphic>
          </wp:inline>
        </w:drawing>
      </w:r>
    </w:p>
    <w:p w14:paraId="36718DCA" w14:textId="77777777" w:rsidR="00836CBC" w:rsidRPr="002F1ACA" w:rsidRDefault="00836CBC" w:rsidP="00836CBC">
      <w:pPr>
        <w:pStyle w:val="SMHeading"/>
        <w:jc w:val="both"/>
        <w:rPr>
          <w:b w:val="0"/>
          <w:bCs w:val="0"/>
          <w:sz w:val="21"/>
          <w:szCs w:val="21"/>
        </w:rPr>
      </w:pPr>
      <w:r w:rsidRPr="00300CB2">
        <w:t>Fig. S5</w:t>
      </w:r>
      <w:r w:rsidRPr="00300CB2">
        <w:rPr>
          <w:rFonts w:hint="eastAsia"/>
        </w:rPr>
        <w:t xml:space="preserve"> </w:t>
      </w:r>
      <w:r w:rsidRPr="00300CB2">
        <w:t>The expression pattern of the putative VSIG2 receptor.</w:t>
      </w:r>
    </w:p>
    <w:p w14:paraId="3D594E08" w14:textId="77777777" w:rsidR="00836CBC" w:rsidRPr="002F1ACA" w:rsidRDefault="00836CBC" w:rsidP="00836CBC">
      <w:pPr>
        <w:pStyle w:val="Default"/>
        <w:jc w:val="both"/>
        <w:rPr>
          <w:rFonts w:eastAsia="楷体"/>
          <w:sz w:val="21"/>
          <w:szCs w:val="21"/>
        </w:rPr>
      </w:pPr>
      <w:r w:rsidRPr="002F1ACA">
        <w:rPr>
          <w:color w:val="auto"/>
          <w:sz w:val="21"/>
          <w:szCs w:val="21"/>
        </w:rPr>
        <w:t>Splenocytes from C57BL/6 mice were freshly harvested. Resting and activated T cells, m</w:t>
      </w:r>
      <w:r w:rsidRPr="002F1ACA">
        <w:rPr>
          <w:rFonts w:eastAsia="楷体"/>
          <w:sz w:val="21"/>
          <w:szCs w:val="21"/>
        </w:rPr>
        <w:t xml:space="preserve">onocytes, macrophages, dendritic cells (DCs), and B cells were prepared as described in Figure1. The resting </w:t>
      </w:r>
      <w:r w:rsidRPr="002F1ACA">
        <w:rPr>
          <w:rFonts w:eastAsia="楷体"/>
          <w:sz w:val="21"/>
          <w:szCs w:val="21"/>
        </w:rPr>
        <w:lastRenderedPageBreak/>
        <w:t xml:space="preserve">and activated immune cells were stained with biotinylated mVSIG2-Ig or control Ig, followed by streptavidin-PE, and additionally with antibodies targeting CD4, CD8, CD11b, F4/80, CD11c, B220, or CD19 to identify immune cell populations. </w:t>
      </w:r>
      <w:r w:rsidRPr="002F1ACA">
        <w:rPr>
          <w:b/>
          <w:bCs/>
          <w:sz w:val="21"/>
          <w:szCs w:val="21"/>
        </w:rPr>
        <w:t>a</w:t>
      </w:r>
      <w:r w:rsidRPr="002F1ACA">
        <w:rPr>
          <w:rFonts w:eastAsia="楷体"/>
          <w:b/>
          <w:bCs/>
          <w:sz w:val="21"/>
          <w:szCs w:val="21"/>
        </w:rPr>
        <w:t xml:space="preserve">, </w:t>
      </w:r>
      <w:r w:rsidRPr="002F1ACA">
        <w:rPr>
          <w:rFonts w:eastAsia="楷体"/>
          <w:sz w:val="21"/>
          <w:szCs w:val="21"/>
        </w:rPr>
        <w:t xml:space="preserve">Representative flow cytometric profiles and </w:t>
      </w:r>
      <w:r w:rsidRPr="002F1ACA">
        <w:rPr>
          <w:rFonts w:eastAsia="楷体"/>
          <w:b/>
          <w:bCs/>
          <w:sz w:val="21"/>
          <w:szCs w:val="21"/>
        </w:rPr>
        <w:t>(b)</w:t>
      </w:r>
      <w:r w:rsidRPr="002F1ACA">
        <w:rPr>
          <w:rFonts w:eastAsia="楷体"/>
          <w:sz w:val="21"/>
          <w:szCs w:val="21"/>
        </w:rPr>
        <w:t xml:space="preserve"> statistical analysis illustrating the binding of mVSIG2-Ig or control Ig to freshly harvested and activated immune cells (n =3 independent experiments). </w:t>
      </w:r>
      <w:r w:rsidRPr="002F1ACA">
        <w:rPr>
          <w:rFonts w:eastAsia="楷体"/>
          <w:b/>
          <w:bCs/>
          <w:sz w:val="21"/>
          <w:szCs w:val="21"/>
        </w:rPr>
        <w:t xml:space="preserve">c, </w:t>
      </w:r>
      <w:r w:rsidRPr="002F1ACA">
        <w:rPr>
          <w:rFonts w:eastAsia="楷体"/>
          <w:sz w:val="21"/>
          <w:szCs w:val="21"/>
        </w:rPr>
        <w:t xml:space="preserve">HEK-293 cells were transfected with expression vectors containing the genes for hCD28, hCTLA-4, hPD-1, hBTLA, hVISTA, and hICOS. Cells stably expressing each gene were screened. The transfected cells, along with wild-type HEK-293 cells, were stained with antibodies against </w:t>
      </w:r>
      <w:r w:rsidRPr="00C734B9">
        <w:rPr>
          <w:rFonts w:eastAsia="楷体"/>
          <w:b/>
          <w:bCs/>
          <w:color w:val="auto"/>
          <w:sz w:val="21"/>
          <w:szCs w:val="21"/>
        </w:rPr>
        <w:t>the</w:t>
      </w:r>
      <w:r w:rsidRPr="002F1ACA">
        <w:rPr>
          <w:rFonts w:eastAsia="楷体"/>
          <w:sz w:val="21"/>
          <w:szCs w:val="21"/>
        </w:rPr>
        <w:t xml:space="preserve"> respective hCD28, hCTLA-4, hPD-1, hBTLA, hVISTA, and hICOS proteins. Representative flow cytometric profiles show the expression of each receptor (n =3 independent experiments). </w:t>
      </w:r>
      <w:r w:rsidRPr="002F1ACA">
        <w:rPr>
          <w:rFonts w:eastAsia="楷体"/>
          <w:b/>
          <w:bCs/>
          <w:sz w:val="21"/>
          <w:szCs w:val="21"/>
        </w:rPr>
        <w:t>d,</w:t>
      </w:r>
      <w:r w:rsidRPr="002F1ACA">
        <w:rPr>
          <w:rFonts w:eastAsia="楷体"/>
          <w:sz w:val="21"/>
          <w:szCs w:val="21"/>
        </w:rPr>
        <w:t xml:space="preserve"> hCD28, hCTLA-4, hPD-1, hBTLA, hVISTA, and hICOS gene-transfected HEK-293 cells were incubated with biotinylated hVSIG2-Ig or control Ig, followed by streptavidin-PE. Representative flow cytometric profiles depict the binding of hVSIG2-Ig or control Ig protein to the transfected cells (n =3 independent experiments).</w:t>
      </w:r>
      <w:r w:rsidRPr="002F1ACA">
        <w:rPr>
          <w:rFonts w:eastAsia="楷体"/>
          <w:sz w:val="21"/>
          <w:szCs w:val="21"/>
          <w:shd w:val="clear" w:color="auto" w:fill="FFFFFF"/>
        </w:rPr>
        <w:t xml:space="preserve"> Data are presented as mean ± SD. Statistical significance was assessed by two-way ANOVA with Tukey's test. Source data are provided as a Source Data file.</w:t>
      </w:r>
      <w:r w:rsidRPr="002F1ACA">
        <w:rPr>
          <w:rFonts w:eastAsia="楷体"/>
          <w:sz w:val="21"/>
          <w:szCs w:val="21"/>
        </w:rPr>
        <w:t xml:space="preserve"> </w:t>
      </w:r>
    </w:p>
    <w:p w14:paraId="261365F8" w14:textId="77777777" w:rsidR="00836CBC" w:rsidRPr="002F1ACA" w:rsidRDefault="00836CBC" w:rsidP="00836CBC">
      <w:pPr>
        <w:pStyle w:val="Default"/>
        <w:jc w:val="both"/>
        <w:rPr>
          <w:rFonts w:eastAsia="楷体"/>
          <w:sz w:val="21"/>
          <w:szCs w:val="21"/>
        </w:rPr>
      </w:pPr>
    </w:p>
    <w:p w14:paraId="513BA57F" w14:textId="77777777" w:rsidR="00836CBC" w:rsidRDefault="00836CBC" w:rsidP="00836CBC">
      <w:pPr>
        <w:pStyle w:val="Default"/>
        <w:jc w:val="both"/>
        <w:rPr>
          <w:b/>
          <w:bCs/>
          <w:sz w:val="21"/>
          <w:szCs w:val="21"/>
        </w:rPr>
      </w:pPr>
      <w:r>
        <w:rPr>
          <w:noProof/>
        </w:rPr>
        <w:drawing>
          <wp:inline distT="0" distB="0" distL="0" distR="0" wp14:anchorId="7DAB898E" wp14:editId="38C90466">
            <wp:extent cx="5943600" cy="4130040"/>
            <wp:effectExtent l="0" t="0" r="0" b="3810"/>
            <wp:docPr id="159277740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130040"/>
                    </a:xfrm>
                    <a:prstGeom prst="rect">
                      <a:avLst/>
                    </a:prstGeom>
                    <a:noFill/>
                    <a:ln>
                      <a:noFill/>
                    </a:ln>
                  </pic:spPr>
                </pic:pic>
              </a:graphicData>
            </a:graphic>
          </wp:inline>
        </w:drawing>
      </w:r>
    </w:p>
    <w:p w14:paraId="7848E122" w14:textId="77777777" w:rsidR="00836CBC" w:rsidRPr="002F1ACA" w:rsidRDefault="00836CBC" w:rsidP="00836CBC">
      <w:pPr>
        <w:pStyle w:val="SMHeading"/>
        <w:jc w:val="both"/>
        <w:rPr>
          <w:rFonts w:eastAsia="楷体"/>
          <w:sz w:val="21"/>
          <w:szCs w:val="21"/>
        </w:rPr>
      </w:pPr>
      <w:r w:rsidRPr="00300CB2">
        <w:t>Fig. S6</w:t>
      </w:r>
      <w:r w:rsidRPr="00300CB2">
        <w:rPr>
          <w:rFonts w:hint="eastAsia"/>
        </w:rPr>
        <w:t xml:space="preserve"> </w:t>
      </w:r>
      <w:r w:rsidRPr="00300CB2">
        <w:t>Identification of the optimal concentration of Anti-Nectin-2 antibody to block mVSIG2-Ig suppression of T cell function.</w:t>
      </w:r>
    </w:p>
    <w:p w14:paraId="1EF1DA0D" w14:textId="77777777" w:rsidR="00836CBC" w:rsidRDefault="00836CBC" w:rsidP="00836CBC">
      <w:pPr>
        <w:pStyle w:val="Default"/>
        <w:jc w:val="both"/>
        <w:rPr>
          <w:rFonts w:eastAsia="楷体"/>
          <w:sz w:val="21"/>
          <w:szCs w:val="21"/>
        </w:rPr>
      </w:pPr>
      <w:r w:rsidRPr="002F1ACA">
        <w:rPr>
          <w:rFonts w:eastAsia="楷体"/>
          <w:sz w:val="21"/>
          <w:szCs w:val="21"/>
        </w:rPr>
        <w:t xml:space="preserve">CD3⁺ T cells were isolated by magnetic bead sorting and preincubated with different concentrations of anti-Nectin-2 antibody (1, 2, 5, 10 μg/ml). Cells were then cultured in 96-well plates pre-coated with anti-CD3/CD28 (1 μg/ml/0.5 μg/ml) </w:t>
      </w:r>
      <w:r w:rsidRPr="00C734B9">
        <w:rPr>
          <w:rFonts w:eastAsia="楷体"/>
          <w:b/>
          <w:bCs/>
          <w:color w:val="auto"/>
          <w:sz w:val="21"/>
          <w:szCs w:val="21"/>
        </w:rPr>
        <w:t>and</w:t>
      </w:r>
      <w:r w:rsidRPr="002F1ACA">
        <w:rPr>
          <w:rFonts w:eastAsia="楷体"/>
          <w:sz w:val="21"/>
          <w:szCs w:val="21"/>
        </w:rPr>
        <w:t xml:space="preserve"> 6400 ng/ml hVSIG2-Ig or Control Ig for 24 hours and then for 72 hours. </w:t>
      </w:r>
      <w:r w:rsidRPr="002F1ACA">
        <w:rPr>
          <w:rFonts w:eastAsia="楷体"/>
          <w:b/>
          <w:bCs/>
          <w:sz w:val="21"/>
          <w:szCs w:val="21"/>
          <w:shd w:val="clear" w:color="auto" w:fill="FFFFFF"/>
        </w:rPr>
        <w:t xml:space="preserve">a, </w:t>
      </w:r>
      <w:r w:rsidRPr="002F1ACA">
        <w:rPr>
          <w:rFonts w:eastAsia="楷体"/>
          <w:sz w:val="21"/>
          <w:szCs w:val="21"/>
          <w:shd w:val="clear" w:color="auto" w:fill="FFFFFF"/>
        </w:rPr>
        <w:t xml:space="preserve">Representative flow cytometric analysis of CD69 and CD25 expression in </w:t>
      </w:r>
      <w:r w:rsidRPr="002F1ACA">
        <w:rPr>
          <w:rFonts w:eastAsia="楷体"/>
          <w:sz w:val="21"/>
          <w:szCs w:val="21"/>
          <w:shd w:val="clear" w:color="auto" w:fill="FFFFFF"/>
        </w:rPr>
        <w:lastRenderedPageBreak/>
        <w:t>CD4</w:t>
      </w:r>
      <w:r w:rsidRPr="002F1ACA">
        <w:rPr>
          <w:rFonts w:eastAsia="楷体"/>
          <w:sz w:val="21"/>
          <w:szCs w:val="21"/>
          <w:shd w:val="clear" w:color="auto" w:fill="FFFFFF"/>
          <w:vertAlign w:val="superscript"/>
        </w:rPr>
        <w:t>+</w:t>
      </w:r>
      <w:r w:rsidRPr="002F1ACA">
        <w:rPr>
          <w:rFonts w:eastAsia="楷体"/>
          <w:sz w:val="21"/>
          <w:szCs w:val="21"/>
          <w:shd w:val="clear" w:color="auto" w:fill="FFFFFF"/>
        </w:rPr>
        <w:t xml:space="preserve"> and CD8</w:t>
      </w:r>
      <w:r w:rsidRPr="002F1ACA">
        <w:rPr>
          <w:rFonts w:eastAsia="楷体"/>
          <w:sz w:val="21"/>
          <w:szCs w:val="21"/>
          <w:shd w:val="clear" w:color="auto" w:fill="FFFFFF"/>
          <w:vertAlign w:val="superscript"/>
        </w:rPr>
        <w:t>+</w:t>
      </w:r>
      <w:r w:rsidRPr="002F1ACA">
        <w:rPr>
          <w:rFonts w:eastAsia="楷体"/>
          <w:sz w:val="21"/>
          <w:szCs w:val="21"/>
          <w:shd w:val="clear" w:color="auto" w:fill="FFFFFF"/>
        </w:rPr>
        <w:t xml:space="preserve"> T cells, and </w:t>
      </w:r>
      <w:r w:rsidRPr="002F1ACA">
        <w:rPr>
          <w:rFonts w:eastAsia="楷体"/>
          <w:b/>
          <w:bCs/>
          <w:sz w:val="21"/>
          <w:szCs w:val="21"/>
          <w:shd w:val="clear" w:color="auto" w:fill="FFFFFF"/>
        </w:rPr>
        <w:t xml:space="preserve">(b) </w:t>
      </w:r>
      <w:r w:rsidRPr="002F1ACA">
        <w:rPr>
          <w:rFonts w:eastAsia="楷体"/>
          <w:sz w:val="21"/>
          <w:szCs w:val="21"/>
          <w:shd w:val="clear" w:color="auto" w:fill="FFFFFF"/>
        </w:rPr>
        <w:t xml:space="preserve">statistical analysis of T cell activation (n =3 independent experiments). </w:t>
      </w:r>
      <w:r w:rsidRPr="002F1ACA">
        <w:rPr>
          <w:rFonts w:eastAsia="楷体"/>
          <w:b/>
          <w:bCs/>
          <w:sz w:val="21"/>
          <w:szCs w:val="21"/>
          <w:shd w:val="clear" w:color="auto" w:fill="FFFFFF"/>
        </w:rPr>
        <w:t xml:space="preserve">c, </w:t>
      </w:r>
      <w:r w:rsidRPr="002F1ACA">
        <w:rPr>
          <w:rFonts w:eastAsia="楷体"/>
          <w:sz w:val="21"/>
          <w:szCs w:val="21"/>
          <w:shd w:val="clear" w:color="auto" w:fill="FFFFFF"/>
        </w:rPr>
        <w:t>Representative flow cytometric analysis of CFSE dilution in CD4</w:t>
      </w:r>
      <w:r w:rsidRPr="002F1ACA">
        <w:rPr>
          <w:rFonts w:eastAsia="楷体"/>
          <w:sz w:val="21"/>
          <w:szCs w:val="21"/>
          <w:shd w:val="clear" w:color="auto" w:fill="FFFFFF"/>
          <w:vertAlign w:val="superscript"/>
        </w:rPr>
        <w:t>+</w:t>
      </w:r>
      <w:r w:rsidRPr="002F1ACA">
        <w:rPr>
          <w:rFonts w:eastAsia="楷体"/>
          <w:sz w:val="21"/>
          <w:szCs w:val="21"/>
          <w:shd w:val="clear" w:color="auto" w:fill="FFFFFF"/>
        </w:rPr>
        <w:t xml:space="preserve"> and CD8</w:t>
      </w:r>
      <w:r w:rsidRPr="002F1ACA">
        <w:rPr>
          <w:rFonts w:eastAsia="楷体"/>
          <w:sz w:val="21"/>
          <w:szCs w:val="21"/>
          <w:shd w:val="clear" w:color="auto" w:fill="FFFFFF"/>
          <w:vertAlign w:val="superscript"/>
        </w:rPr>
        <w:t>+</w:t>
      </w:r>
      <w:r w:rsidRPr="002F1ACA">
        <w:rPr>
          <w:rFonts w:eastAsia="楷体"/>
          <w:sz w:val="21"/>
          <w:szCs w:val="21"/>
          <w:shd w:val="clear" w:color="auto" w:fill="FFFFFF"/>
        </w:rPr>
        <w:t xml:space="preserve"> T cells, and</w:t>
      </w:r>
      <w:r w:rsidRPr="002F1ACA">
        <w:rPr>
          <w:rFonts w:eastAsia="楷体"/>
          <w:b/>
          <w:bCs/>
          <w:sz w:val="21"/>
          <w:szCs w:val="21"/>
          <w:shd w:val="clear" w:color="auto" w:fill="FFFFFF"/>
        </w:rPr>
        <w:t xml:space="preserve"> (d) </w:t>
      </w:r>
      <w:r w:rsidRPr="002F1ACA">
        <w:rPr>
          <w:rFonts w:eastAsia="楷体"/>
          <w:sz w:val="21"/>
          <w:szCs w:val="21"/>
          <w:shd w:val="clear" w:color="auto" w:fill="FFFFFF"/>
        </w:rPr>
        <w:t>statistical analysis of T cell proliferation (n =3 independent experiments). Data are presented as mean ± SD. Statistical significance was assessed by two-way ANOVA with Tukey's test. Source data are provided as a Source Data file.</w:t>
      </w:r>
      <w:r w:rsidRPr="002F1ACA">
        <w:rPr>
          <w:rFonts w:eastAsia="楷体"/>
          <w:sz w:val="21"/>
          <w:szCs w:val="21"/>
        </w:rPr>
        <w:t xml:space="preserve"> </w:t>
      </w:r>
    </w:p>
    <w:p w14:paraId="1FD4C0AE" w14:textId="77777777" w:rsidR="00836CBC" w:rsidRDefault="00836CBC" w:rsidP="00836CBC">
      <w:pPr>
        <w:jc w:val="both"/>
        <w:rPr>
          <w:b/>
          <w:bCs/>
          <w:sz w:val="21"/>
          <w:szCs w:val="21"/>
        </w:rPr>
      </w:pPr>
      <w:r>
        <w:rPr>
          <w:noProof/>
        </w:rPr>
        <w:drawing>
          <wp:inline distT="0" distB="0" distL="0" distR="0" wp14:anchorId="12BA819E" wp14:editId="180B4598">
            <wp:extent cx="5486400" cy="7178675"/>
            <wp:effectExtent l="0" t="0" r="0" b="3175"/>
            <wp:docPr id="8002386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7178675"/>
                    </a:xfrm>
                    <a:prstGeom prst="rect">
                      <a:avLst/>
                    </a:prstGeom>
                    <a:noFill/>
                    <a:ln>
                      <a:noFill/>
                    </a:ln>
                  </pic:spPr>
                </pic:pic>
              </a:graphicData>
            </a:graphic>
          </wp:inline>
        </w:drawing>
      </w:r>
    </w:p>
    <w:p w14:paraId="3FF08D6E" w14:textId="77777777" w:rsidR="00836CBC" w:rsidRPr="002F1ACA" w:rsidRDefault="00836CBC" w:rsidP="00836CBC">
      <w:pPr>
        <w:pStyle w:val="SMHeading"/>
        <w:jc w:val="both"/>
        <w:rPr>
          <w:rFonts w:eastAsia="楷体"/>
          <w:b w:val="0"/>
          <w:bCs w:val="0"/>
          <w:sz w:val="21"/>
          <w:szCs w:val="21"/>
        </w:rPr>
      </w:pPr>
      <w:bookmarkStart w:id="4" w:name="_Hlk214436932"/>
      <w:r w:rsidRPr="00300CB2">
        <w:lastRenderedPageBreak/>
        <w:t>Fig. S</w:t>
      </w:r>
      <w:r>
        <w:rPr>
          <w:rFonts w:hint="eastAsia"/>
          <w:lang w:eastAsia="zh-CN"/>
        </w:rPr>
        <w:t xml:space="preserve">7 </w:t>
      </w:r>
      <w:bookmarkEnd w:id="4"/>
      <w:r w:rsidRPr="00300CB2">
        <w:t xml:space="preserve">RNA-Seq and DIA proteome analysis of CD4+ T cells. </w:t>
      </w:r>
    </w:p>
    <w:p w14:paraId="0A6E93F9" w14:textId="77777777" w:rsidR="00836CBC" w:rsidRDefault="00836CBC" w:rsidP="00836CBC">
      <w:pPr>
        <w:pStyle w:val="Default"/>
        <w:jc w:val="both"/>
        <w:rPr>
          <w:rFonts w:eastAsia="楷体"/>
          <w:sz w:val="21"/>
          <w:szCs w:val="21"/>
        </w:rPr>
      </w:pPr>
      <w:r w:rsidRPr="002F1ACA">
        <w:rPr>
          <w:rFonts w:eastAsia="楷体"/>
          <w:sz w:val="21"/>
          <w:szCs w:val="21"/>
        </w:rPr>
        <w:t>Purified CD4</w:t>
      </w:r>
      <w:r w:rsidRPr="002F1ACA">
        <w:rPr>
          <w:rFonts w:eastAsia="楷体"/>
          <w:sz w:val="21"/>
          <w:szCs w:val="21"/>
          <w:vertAlign w:val="superscript"/>
        </w:rPr>
        <w:t>+</w:t>
      </w:r>
      <w:r w:rsidRPr="002F1ACA">
        <w:rPr>
          <w:rFonts w:eastAsia="楷体"/>
          <w:sz w:val="21"/>
          <w:szCs w:val="21"/>
        </w:rPr>
        <w:t xml:space="preserve"> T cells were isolated from splenocytes of C57BL/6 mice using magnetic bead sorting. Cells were then plated on anti-CD3 antibody (1 μg/ml) and anti-CD28 (0.5 μg/ml) antibodies pre-coated plates and incubated for 24 hours in the presence of hVSIG2-Ig (6400 ng/ml) or an equimolar concentration of control Ig. After incubation, the cells were harvested for RNA-Seq and DIA proteomic sequencing</w:t>
      </w:r>
      <w:r w:rsidRPr="002F1ACA">
        <w:rPr>
          <w:sz w:val="21"/>
          <w:szCs w:val="21"/>
        </w:rPr>
        <w:t xml:space="preserve"> </w:t>
      </w:r>
      <w:r w:rsidRPr="002F1ACA">
        <w:rPr>
          <w:rFonts w:eastAsia="楷体"/>
          <w:sz w:val="21"/>
          <w:szCs w:val="21"/>
        </w:rPr>
        <w:t>(n =3 independent experiments)</w:t>
      </w:r>
      <w:r w:rsidRPr="002F1ACA">
        <w:rPr>
          <w:sz w:val="21"/>
          <w:szCs w:val="21"/>
        </w:rPr>
        <w:t>.</w:t>
      </w:r>
      <w:r w:rsidRPr="002F1ACA">
        <w:rPr>
          <w:rFonts w:eastAsia="楷体"/>
          <w:sz w:val="21"/>
          <w:szCs w:val="21"/>
        </w:rPr>
        <w:t xml:space="preserve"> </w:t>
      </w:r>
      <w:r w:rsidRPr="008833FA">
        <w:rPr>
          <w:rFonts w:eastAsia="楷体"/>
          <w:b/>
          <w:bCs/>
          <w:sz w:val="21"/>
          <w:szCs w:val="21"/>
        </w:rPr>
        <w:t>a,</w:t>
      </w:r>
      <w:r w:rsidRPr="008833FA">
        <w:rPr>
          <w:rFonts w:eastAsia="楷体"/>
          <w:sz w:val="21"/>
          <w:szCs w:val="21"/>
        </w:rPr>
        <w:t xml:space="preserve"> Volcano plot of differentially expressed genes. </w:t>
      </w:r>
      <w:r w:rsidRPr="008833FA">
        <w:rPr>
          <w:rFonts w:eastAsia="楷体"/>
          <w:b/>
          <w:bCs/>
          <w:sz w:val="21"/>
          <w:szCs w:val="21"/>
        </w:rPr>
        <w:t xml:space="preserve">b, </w:t>
      </w:r>
      <w:r w:rsidRPr="008833FA">
        <w:rPr>
          <w:rFonts w:eastAsia="楷体"/>
          <w:sz w:val="21"/>
          <w:szCs w:val="21"/>
        </w:rPr>
        <w:t xml:space="preserve">Volcano plot of differentially expressed proteins. </w:t>
      </w:r>
      <w:r w:rsidRPr="008833FA">
        <w:rPr>
          <w:rFonts w:eastAsia="楷体"/>
          <w:b/>
          <w:bCs/>
          <w:sz w:val="21"/>
          <w:szCs w:val="21"/>
        </w:rPr>
        <w:t xml:space="preserve">c, </w:t>
      </w:r>
      <w:r w:rsidRPr="008833FA">
        <w:rPr>
          <w:rFonts w:eastAsia="楷体"/>
          <w:sz w:val="21"/>
          <w:szCs w:val="21"/>
        </w:rPr>
        <w:t>Venn diagram showing overlap between differentially expressed genes and proteins.</w:t>
      </w:r>
      <w:r>
        <w:rPr>
          <w:rFonts w:eastAsia="楷体" w:hint="eastAsia"/>
          <w:sz w:val="21"/>
          <w:szCs w:val="21"/>
        </w:rPr>
        <w:t xml:space="preserve"> </w:t>
      </w:r>
      <w:r>
        <w:rPr>
          <w:rFonts w:eastAsia="楷体" w:hint="eastAsia"/>
          <w:b/>
          <w:bCs/>
          <w:sz w:val="21"/>
          <w:szCs w:val="21"/>
        </w:rPr>
        <w:t>d</w:t>
      </w:r>
      <w:r w:rsidRPr="002F1ACA">
        <w:rPr>
          <w:rFonts w:eastAsia="楷体"/>
          <w:b/>
          <w:bCs/>
          <w:sz w:val="21"/>
          <w:szCs w:val="21"/>
        </w:rPr>
        <w:t xml:space="preserve">, </w:t>
      </w:r>
      <w:r w:rsidRPr="002F1ACA">
        <w:rPr>
          <w:rFonts w:eastAsia="楷体"/>
          <w:sz w:val="21"/>
          <w:szCs w:val="21"/>
        </w:rPr>
        <w:t xml:space="preserve">Venn diagrams of genes and proteins up- and down-regulated in 52 genes respectively. </w:t>
      </w:r>
      <w:r>
        <w:rPr>
          <w:rFonts w:eastAsia="楷体" w:hint="eastAsia"/>
          <w:b/>
          <w:bCs/>
          <w:sz w:val="21"/>
          <w:szCs w:val="21"/>
        </w:rPr>
        <w:t>e</w:t>
      </w:r>
      <w:r w:rsidRPr="002F1ACA">
        <w:rPr>
          <w:rFonts w:eastAsia="楷体"/>
          <w:b/>
          <w:bCs/>
          <w:sz w:val="21"/>
          <w:szCs w:val="21"/>
        </w:rPr>
        <w:t xml:space="preserve">, </w:t>
      </w:r>
      <w:r w:rsidRPr="002F1ACA">
        <w:rPr>
          <w:rFonts w:eastAsia="楷体"/>
          <w:sz w:val="21"/>
          <w:szCs w:val="21"/>
        </w:rPr>
        <w:t xml:space="preserve">GO enrichment analysis of the 52 differentially expressed molecules. </w:t>
      </w:r>
      <w:r>
        <w:rPr>
          <w:rFonts w:eastAsia="楷体" w:hint="eastAsia"/>
          <w:b/>
          <w:bCs/>
          <w:sz w:val="21"/>
          <w:szCs w:val="21"/>
        </w:rPr>
        <w:t>f</w:t>
      </w:r>
      <w:r w:rsidRPr="002F1ACA">
        <w:rPr>
          <w:rFonts w:eastAsia="楷体"/>
          <w:b/>
          <w:bCs/>
          <w:sz w:val="21"/>
          <w:szCs w:val="21"/>
        </w:rPr>
        <w:t>,</w:t>
      </w:r>
      <w:r w:rsidRPr="002F1ACA">
        <w:rPr>
          <w:rFonts w:eastAsia="楷体"/>
          <w:sz w:val="21"/>
          <w:szCs w:val="21"/>
        </w:rPr>
        <w:t xml:space="preserve"> KEGG enrichment analysis of the 52 differentially expressed molecules.</w:t>
      </w:r>
      <w:r>
        <w:rPr>
          <w:rFonts w:eastAsia="楷体" w:hint="eastAsia"/>
          <w:sz w:val="21"/>
          <w:szCs w:val="21"/>
        </w:rPr>
        <w:t xml:space="preserve"> </w:t>
      </w:r>
      <w:r>
        <w:rPr>
          <w:rFonts w:eastAsia="楷体" w:hint="eastAsia"/>
          <w:b/>
          <w:bCs/>
          <w:sz w:val="21"/>
          <w:szCs w:val="21"/>
        </w:rPr>
        <w:t>g</w:t>
      </w:r>
      <w:r w:rsidRPr="002F1ACA">
        <w:rPr>
          <w:rFonts w:eastAsia="楷体"/>
          <w:b/>
          <w:bCs/>
          <w:sz w:val="21"/>
          <w:szCs w:val="21"/>
        </w:rPr>
        <w:t>,</w:t>
      </w:r>
      <w:r w:rsidRPr="002F1ACA">
        <w:rPr>
          <w:rFonts w:eastAsia="楷体"/>
          <w:sz w:val="21"/>
          <w:szCs w:val="21"/>
        </w:rPr>
        <w:t xml:space="preserve"> Clustered heatmap displaying consistent expression trends of the 52 differentially expressed molecules at both the transcriptomic and proteomic levels. </w:t>
      </w:r>
      <w:r w:rsidRPr="008833FA">
        <w:rPr>
          <w:rFonts w:eastAsia="楷体" w:hint="eastAsia"/>
          <w:b/>
          <w:bCs/>
          <w:sz w:val="21"/>
          <w:szCs w:val="21"/>
        </w:rPr>
        <w:t>h</w:t>
      </w:r>
      <w:r w:rsidRPr="008833FA">
        <w:rPr>
          <w:rFonts w:eastAsia="楷体"/>
          <w:b/>
          <w:bCs/>
          <w:sz w:val="21"/>
          <w:szCs w:val="21"/>
        </w:rPr>
        <w:t>,</w:t>
      </w:r>
      <w:r w:rsidRPr="008833FA">
        <w:rPr>
          <w:rFonts w:eastAsia="楷体"/>
          <w:sz w:val="21"/>
          <w:szCs w:val="21"/>
        </w:rPr>
        <w:t xml:space="preserve"> Protein-protein interaction (PPI) network of the 52 differentially expressed molecules.</w:t>
      </w:r>
      <w:r w:rsidRPr="008833FA">
        <w:rPr>
          <w:rFonts w:eastAsia="楷体" w:hint="eastAsia"/>
          <w:b/>
          <w:bCs/>
          <w:sz w:val="21"/>
          <w:szCs w:val="21"/>
        </w:rPr>
        <w:t xml:space="preserve"> i</w:t>
      </w:r>
      <w:r w:rsidRPr="008833FA">
        <w:rPr>
          <w:rFonts w:eastAsia="楷体"/>
          <w:b/>
          <w:bCs/>
          <w:sz w:val="21"/>
          <w:szCs w:val="21"/>
        </w:rPr>
        <w:t>,</w:t>
      </w:r>
      <w:r w:rsidRPr="002F1ACA">
        <w:rPr>
          <w:rFonts w:eastAsia="楷体"/>
          <w:b/>
          <w:bCs/>
          <w:sz w:val="21"/>
          <w:szCs w:val="21"/>
        </w:rPr>
        <w:t xml:space="preserve"> </w:t>
      </w:r>
      <w:r w:rsidRPr="002F1ACA">
        <w:rPr>
          <w:rFonts w:eastAsia="楷体"/>
          <w:sz w:val="21"/>
          <w:szCs w:val="21"/>
        </w:rPr>
        <w:t>Western blot analysis of CD4</w:t>
      </w:r>
      <w:r w:rsidRPr="002F1ACA">
        <w:rPr>
          <w:rFonts w:eastAsia="楷体"/>
          <w:sz w:val="21"/>
          <w:szCs w:val="21"/>
          <w:vertAlign w:val="superscript"/>
        </w:rPr>
        <w:t>+</w:t>
      </w:r>
      <w:r w:rsidRPr="002F1ACA">
        <w:rPr>
          <w:rFonts w:eastAsia="楷体"/>
          <w:sz w:val="21"/>
          <w:szCs w:val="21"/>
        </w:rPr>
        <w:t xml:space="preserve"> T cells treated with hVSIG2-Ig or equimolar control Ig for 24 hours in the activated state, and for 24 hours in PBS in the resting state. Lysates were probed with antibodies against GBP2, IRF1, and GAPDH. </w:t>
      </w:r>
      <w:r>
        <w:rPr>
          <w:rFonts w:eastAsia="楷体" w:hint="eastAsia"/>
          <w:b/>
          <w:bCs/>
          <w:sz w:val="21"/>
          <w:szCs w:val="21"/>
        </w:rPr>
        <w:t>j</w:t>
      </w:r>
      <w:r w:rsidRPr="002F1ACA">
        <w:rPr>
          <w:rFonts w:eastAsia="楷体"/>
          <w:b/>
          <w:bCs/>
          <w:sz w:val="21"/>
          <w:szCs w:val="21"/>
        </w:rPr>
        <w:t xml:space="preserve">, </w:t>
      </w:r>
      <w:r w:rsidRPr="002F1ACA">
        <w:rPr>
          <w:rFonts w:eastAsia="楷体"/>
          <w:sz w:val="21"/>
          <w:szCs w:val="21"/>
        </w:rPr>
        <w:t>Real-time qPCR analysis of GBP2 and IRF1 mRNA levels. Data are presented as mean ± SD. p values derived from One-way ANOVA analysis followed by Tukey’s multiple comparisons test. Source data are provided as a Source Data file.</w:t>
      </w:r>
    </w:p>
    <w:p w14:paraId="4F2F7738" w14:textId="77777777" w:rsidR="00836CBC" w:rsidRPr="002F1ACA" w:rsidRDefault="00836CBC" w:rsidP="00836CBC">
      <w:pPr>
        <w:pStyle w:val="Default"/>
        <w:jc w:val="center"/>
        <w:rPr>
          <w:rFonts w:eastAsia="楷体"/>
          <w:sz w:val="21"/>
          <w:szCs w:val="21"/>
        </w:rPr>
      </w:pPr>
      <w:r>
        <w:rPr>
          <w:noProof/>
        </w:rPr>
        <w:drawing>
          <wp:inline distT="0" distB="0" distL="0" distR="0" wp14:anchorId="03799EBB" wp14:editId="6BCB1C7C">
            <wp:extent cx="4145280" cy="3444240"/>
            <wp:effectExtent l="0" t="0" r="7620" b="3810"/>
            <wp:docPr id="9124343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45280" cy="3444240"/>
                    </a:xfrm>
                    <a:prstGeom prst="rect">
                      <a:avLst/>
                    </a:prstGeom>
                    <a:noFill/>
                    <a:ln>
                      <a:noFill/>
                    </a:ln>
                  </pic:spPr>
                </pic:pic>
              </a:graphicData>
            </a:graphic>
          </wp:inline>
        </w:drawing>
      </w:r>
    </w:p>
    <w:p w14:paraId="6AFD8F49" w14:textId="77777777" w:rsidR="00836CBC" w:rsidRPr="002F1ACA" w:rsidRDefault="00836CBC" w:rsidP="00836CBC">
      <w:pPr>
        <w:pStyle w:val="SMHeading"/>
        <w:jc w:val="both"/>
        <w:rPr>
          <w:b w:val="0"/>
          <w:bCs w:val="0"/>
          <w:sz w:val="21"/>
          <w:szCs w:val="21"/>
        </w:rPr>
      </w:pPr>
      <w:r w:rsidRPr="00300CB2">
        <w:t>Fig. S</w:t>
      </w:r>
      <w:r>
        <w:rPr>
          <w:rFonts w:hint="eastAsia"/>
          <w:lang w:eastAsia="zh-CN"/>
        </w:rPr>
        <w:t>8</w:t>
      </w:r>
      <w:r w:rsidRPr="00300CB2">
        <w:rPr>
          <w:rFonts w:hint="eastAsia"/>
        </w:rPr>
        <w:t xml:space="preserve"> </w:t>
      </w:r>
      <w:r w:rsidRPr="00300CB2">
        <w:t>VSIG2 regulates T cell activation via the GBP2 signaling pathway.</w:t>
      </w:r>
    </w:p>
    <w:p w14:paraId="1C6ECB99" w14:textId="77777777" w:rsidR="00836CBC" w:rsidRDefault="00836CBC" w:rsidP="00836CBC">
      <w:pPr>
        <w:pStyle w:val="Default"/>
        <w:jc w:val="both"/>
        <w:rPr>
          <w:sz w:val="21"/>
          <w:szCs w:val="21"/>
        </w:rPr>
      </w:pPr>
      <w:r w:rsidRPr="002F1ACA">
        <w:rPr>
          <w:sz w:val="21"/>
          <w:szCs w:val="21"/>
        </w:rPr>
        <w:t xml:space="preserve">CD4⁺ T cells were isolated from spleens of VSIG2⁻/⁻ and wild-type C57BL/6 mice and stimulated with anti-CD3 (1 μg/ml) and anti-CD28 (0.5 μg/ml) antibodies in the presence or absence of hVSIG2-Ig (6.4 μg/ml) for 24 hours. </w:t>
      </w:r>
      <w:r w:rsidRPr="002F1ACA">
        <w:rPr>
          <w:b/>
          <w:bCs/>
          <w:sz w:val="21"/>
          <w:szCs w:val="21"/>
        </w:rPr>
        <w:t>a,</w:t>
      </w:r>
      <w:r w:rsidRPr="002F1ACA">
        <w:rPr>
          <w:sz w:val="21"/>
          <w:szCs w:val="21"/>
        </w:rPr>
        <w:t xml:space="preserve"> Immunofluorescence analysis of GBP2 expression in wild-type CD4⁺ T cells under resting, activated, and hVSIG2-Ig-treated conditions after 24 hours of culture </w:t>
      </w:r>
      <w:r w:rsidRPr="002F1ACA">
        <w:rPr>
          <w:rFonts w:eastAsia="楷体"/>
          <w:sz w:val="21"/>
          <w:szCs w:val="21"/>
        </w:rPr>
        <w:t>(n =3 independent experiments)</w:t>
      </w:r>
      <w:r w:rsidRPr="002F1ACA">
        <w:rPr>
          <w:sz w:val="21"/>
          <w:szCs w:val="21"/>
        </w:rPr>
        <w:t xml:space="preserve">. </w:t>
      </w:r>
      <w:r w:rsidRPr="002F1ACA">
        <w:rPr>
          <w:b/>
          <w:bCs/>
          <w:sz w:val="21"/>
          <w:szCs w:val="21"/>
        </w:rPr>
        <w:t>b,</w:t>
      </w:r>
      <w:r w:rsidRPr="002F1ACA">
        <w:rPr>
          <w:sz w:val="21"/>
          <w:szCs w:val="21"/>
        </w:rPr>
        <w:t xml:space="preserve"> Western blot analysis of GBP2, p-STAT1, IRF1, and CD69 expression in CD4⁺ T cells from VSIG2⁻/⁻ and wild-type mice under resting and activated </w:t>
      </w:r>
      <w:r w:rsidRPr="002F1ACA">
        <w:rPr>
          <w:sz w:val="21"/>
          <w:szCs w:val="21"/>
        </w:rPr>
        <w:lastRenderedPageBreak/>
        <w:t xml:space="preserve">conditions after 24 hours of culture, with </w:t>
      </w:r>
      <w:r w:rsidRPr="002F1ACA">
        <w:rPr>
          <w:b/>
          <w:bCs/>
          <w:sz w:val="21"/>
          <w:szCs w:val="21"/>
        </w:rPr>
        <w:t>(c)</w:t>
      </w:r>
      <w:r w:rsidRPr="002F1ACA">
        <w:rPr>
          <w:sz w:val="21"/>
          <w:szCs w:val="21"/>
        </w:rPr>
        <w:t xml:space="preserve"> quantitative densitometric analysis </w:t>
      </w:r>
      <w:r w:rsidRPr="002F1ACA">
        <w:rPr>
          <w:rFonts w:eastAsia="楷体"/>
          <w:sz w:val="21"/>
          <w:szCs w:val="21"/>
        </w:rPr>
        <w:t>(n =3 independent experiments)</w:t>
      </w:r>
      <w:r w:rsidRPr="002F1ACA">
        <w:rPr>
          <w:sz w:val="21"/>
          <w:szCs w:val="21"/>
        </w:rPr>
        <w:t>.</w:t>
      </w:r>
      <w:r w:rsidRPr="002F1ACA">
        <w:rPr>
          <w:rFonts w:eastAsia="楷体"/>
          <w:sz w:val="21"/>
          <w:szCs w:val="21"/>
        </w:rPr>
        <w:t xml:space="preserve"> Data are presented as mean ± SD. Statistical significance was assessed by two-way ANOVA with Tukey’s test. Source data are provided as a Source Data file.</w:t>
      </w:r>
      <w:r w:rsidRPr="002F1ACA">
        <w:rPr>
          <w:sz w:val="21"/>
          <w:szCs w:val="21"/>
        </w:rPr>
        <w:t xml:space="preserve"> </w:t>
      </w:r>
    </w:p>
    <w:p w14:paraId="567D9D34" w14:textId="77777777" w:rsidR="00836CBC" w:rsidRPr="00C734B9" w:rsidRDefault="00836CBC" w:rsidP="00836CBC">
      <w:pPr>
        <w:jc w:val="both"/>
        <w:rPr>
          <w:sz w:val="21"/>
          <w:szCs w:val="21"/>
          <w:lang w:eastAsia="zh-CN"/>
        </w:rPr>
      </w:pPr>
      <w:r>
        <w:rPr>
          <w:noProof/>
        </w:rPr>
        <w:drawing>
          <wp:inline distT="0" distB="0" distL="0" distR="0" wp14:anchorId="6A10B5DC" wp14:editId="1E1D99A8">
            <wp:extent cx="5943600" cy="7188200"/>
            <wp:effectExtent l="0" t="0" r="0" b="0"/>
            <wp:docPr id="97791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7188200"/>
                    </a:xfrm>
                    <a:prstGeom prst="rect">
                      <a:avLst/>
                    </a:prstGeom>
                    <a:noFill/>
                    <a:ln>
                      <a:noFill/>
                    </a:ln>
                  </pic:spPr>
                </pic:pic>
              </a:graphicData>
            </a:graphic>
          </wp:inline>
        </w:drawing>
      </w:r>
    </w:p>
    <w:p w14:paraId="2C04BED1" w14:textId="77777777" w:rsidR="00836CBC" w:rsidRPr="00300CB2" w:rsidRDefault="00836CBC" w:rsidP="00836CBC">
      <w:pPr>
        <w:pStyle w:val="SMHeading"/>
        <w:jc w:val="both"/>
      </w:pPr>
      <w:r w:rsidRPr="00300CB2">
        <w:t>Fig. S</w:t>
      </w:r>
      <w:r>
        <w:rPr>
          <w:rFonts w:hint="eastAsia"/>
          <w:lang w:eastAsia="zh-CN"/>
        </w:rPr>
        <w:t>9</w:t>
      </w:r>
      <w:r w:rsidRPr="00300CB2">
        <w:rPr>
          <w:rFonts w:hint="eastAsia"/>
        </w:rPr>
        <w:t xml:space="preserve"> </w:t>
      </w:r>
      <w:r w:rsidRPr="00300CB2">
        <w:t xml:space="preserve">hVSIG2-Ig alleviates experimental autoimmune encephalomyelitis (EAE) severity in mice. </w:t>
      </w:r>
    </w:p>
    <w:p w14:paraId="4D19131E" w14:textId="77777777" w:rsidR="00836CBC" w:rsidRPr="002F1ACA" w:rsidRDefault="00836CBC" w:rsidP="00836CBC">
      <w:pPr>
        <w:pStyle w:val="Default"/>
        <w:jc w:val="both"/>
        <w:rPr>
          <w:rFonts w:eastAsia="楷体"/>
          <w:color w:val="auto"/>
          <w:sz w:val="21"/>
          <w:szCs w:val="21"/>
        </w:rPr>
      </w:pPr>
      <w:r w:rsidRPr="002F1ACA">
        <w:rPr>
          <w:rFonts w:eastAsia="楷体"/>
          <w:b/>
          <w:bCs/>
          <w:color w:val="auto"/>
          <w:sz w:val="21"/>
          <w:szCs w:val="21"/>
        </w:rPr>
        <w:t>a,</w:t>
      </w:r>
      <w:r w:rsidRPr="002F1ACA">
        <w:rPr>
          <w:color w:val="auto"/>
          <w:sz w:val="21"/>
          <w:szCs w:val="21"/>
        </w:rPr>
        <w:t xml:space="preserve"> </w:t>
      </w:r>
      <w:r w:rsidRPr="002F1ACA">
        <w:rPr>
          <w:rFonts w:eastAsia="楷体"/>
          <w:color w:val="auto"/>
          <w:sz w:val="21"/>
          <w:szCs w:val="21"/>
        </w:rPr>
        <w:t xml:space="preserve">Representative flow cytometry plots and quantification of CD4⁺ and CD8⁺ T cell percentages in </w:t>
      </w:r>
      <w:r w:rsidRPr="002F1ACA">
        <w:rPr>
          <w:rFonts w:eastAsia="楷体"/>
          <w:color w:val="auto"/>
          <w:sz w:val="21"/>
          <w:szCs w:val="21"/>
        </w:rPr>
        <w:lastRenderedPageBreak/>
        <w:t xml:space="preserve">mouse spleens (n = 6 mice). </w:t>
      </w:r>
      <w:r w:rsidRPr="002F1ACA">
        <w:rPr>
          <w:rFonts w:eastAsia="楷体"/>
          <w:b/>
          <w:bCs/>
          <w:color w:val="auto"/>
          <w:sz w:val="21"/>
          <w:szCs w:val="21"/>
        </w:rPr>
        <w:t xml:space="preserve">b, </w:t>
      </w:r>
      <w:r w:rsidRPr="002F1ACA">
        <w:rPr>
          <w:rFonts w:eastAsia="楷体"/>
          <w:color w:val="auto"/>
          <w:sz w:val="21"/>
          <w:szCs w:val="21"/>
        </w:rPr>
        <w:t xml:space="preserve">Representative flow cytometric analysis of CD69, CD25, CD40L expression in mouse spleens CD4⁺ and CD8⁺ T cells, with statistical analysis of T cell activation (n = 6 mice). </w:t>
      </w:r>
      <w:r w:rsidRPr="002F1ACA">
        <w:rPr>
          <w:rFonts w:eastAsia="楷体"/>
          <w:b/>
          <w:bCs/>
          <w:color w:val="auto"/>
          <w:sz w:val="21"/>
          <w:szCs w:val="21"/>
        </w:rPr>
        <w:t xml:space="preserve">c, </w:t>
      </w:r>
      <w:r w:rsidRPr="002F1ACA">
        <w:rPr>
          <w:rFonts w:eastAsia="楷体"/>
          <w:color w:val="auto"/>
          <w:sz w:val="21"/>
          <w:szCs w:val="21"/>
        </w:rPr>
        <w:t>Flow cytometry analysis and quantification of CD44</w:t>
      </w:r>
      <w:r w:rsidRPr="002F1ACA">
        <w:rPr>
          <w:rFonts w:eastAsia="楷体"/>
          <w:color w:val="auto"/>
          <w:sz w:val="21"/>
          <w:szCs w:val="21"/>
          <w:vertAlign w:val="superscript"/>
        </w:rPr>
        <w:t xml:space="preserve">lo </w:t>
      </w:r>
      <w:r w:rsidRPr="002F1ACA">
        <w:rPr>
          <w:rFonts w:eastAsia="楷体"/>
          <w:color w:val="auto"/>
          <w:sz w:val="21"/>
          <w:szCs w:val="21"/>
        </w:rPr>
        <w:t>CD62L</w:t>
      </w:r>
      <w:r w:rsidRPr="002F1ACA">
        <w:rPr>
          <w:rFonts w:eastAsia="楷体"/>
          <w:color w:val="auto"/>
          <w:sz w:val="21"/>
          <w:szCs w:val="21"/>
          <w:vertAlign w:val="superscript"/>
        </w:rPr>
        <w:t>hi</w:t>
      </w:r>
      <w:r w:rsidRPr="002F1ACA">
        <w:rPr>
          <w:rFonts w:eastAsia="楷体"/>
          <w:color w:val="auto"/>
          <w:sz w:val="21"/>
          <w:szCs w:val="21"/>
        </w:rPr>
        <w:t xml:space="preserve"> naïve and CD44</w:t>
      </w:r>
      <w:r w:rsidRPr="002F1ACA">
        <w:rPr>
          <w:rFonts w:eastAsia="楷体"/>
          <w:color w:val="auto"/>
          <w:sz w:val="21"/>
          <w:szCs w:val="21"/>
          <w:vertAlign w:val="superscript"/>
        </w:rPr>
        <w:t>hi</w:t>
      </w:r>
      <w:r w:rsidRPr="002F1ACA">
        <w:rPr>
          <w:rFonts w:eastAsia="楷体"/>
          <w:color w:val="auto"/>
          <w:sz w:val="21"/>
          <w:szCs w:val="21"/>
        </w:rPr>
        <w:t xml:space="preserve"> CD62L</w:t>
      </w:r>
      <w:r w:rsidRPr="002F1ACA">
        <w:rPr>
          <w:rFonts w:eastAsia="楷体"/>
          <w:color w:val="auto"/>
          <w:sz w:val="21"/>
          <w:szCs w:val="21"/>
          <w:vertAlign w:val="superscript"/>
        </w:rPr>
        <w:t>lo</w:t>
      </w:r>
      <w:r w:rsidRPr="002F1ACA">
        <w:rPr>
          <w:rFonts w:eastAsia="楷体"/>
          <w:color w:val="auto"/>
          <w:sz w:val="21"/>
          <w:szCs w:val="21"/>
        </w:rPr>
        <w:t xml:space="preserve"> effector memory CD4⁺ and CD8⁺ T cells in splenocytes (n = 6 mice). </w:t>
      </w:r>
      <w:r w:rsidRPr="002F1ACA">
        <w:rPr>
          <w:rFonts w:eastAsia="楷体"/>
          <w:b/>
          <w:bCs/>
          <w:color w:val="auto"/>
          <w:sz w:val="21"/>
          <w:szCs w:val="21"/>
        </w:rPr>
        <w:t xml:space="preserve">d, </w:t>
      </w:r>
      <w:r w:rsidRPr="002F1ACA">
        <w:rPr>
          <w:rFonts w:eastAsia="楷体"/>
          <w:color w:val="auto"/>
          <w:sz w:val="21"/>
          <w:szCs w:val="21"/>
        </w:rPr>
        <w:t xml:space="preserve">Representative plots and statistical analysis of CD4⁺Ki67⁺ and CD8⁺Ki67⁺ T cell percentages in mouse spleens (n = 6 mice). </w:t>
      </w:r>
      <w:r w:rsidRPr="002F1ACA">
        <w:rPr>
          <w:rFonts w:eastAsia="楷体"/>
          <w:b/>
          <w:bCs/>
          <w:color w:val="auto"/>
          <w:sz w:val="21"/>
          <w:szCs w:val="21"/>
        </w:rPr>
        <w:t>e,</w:t>
      </w:r>
      <w:r w:rsidRPr="002F1ACA">
        <w:rPr>
          <w:rFonts w:eastAsia="楷体"/>
          <w:color w:val="auto"/>
          <w:sz w:val="21"/>
          <w:szCs w:val="21"/>
        </w:rPr>
        <w:t xml:space="preserve"> Flow cytometry analysis and quantification of CD45⁺CD4⁺CD25⁺FoxP3⁺ and CD45⁺CD4⁺FoxP3⁺ regulatory T cells (Tregs) in splenocytes (n = 6 mice). </w:t>
      </w:r>
      <w:r w:rsidRPr="002F1ACA">
        <w:rPr>
          <w:rFonts w:eastAsia="楷体"/>
          <w:b/>
          <w:bCs/>
          <w:color w:val="auto"/>
          <w:sz w:val="21"/>
          <w:szCs w:val="21"/>
        </w:rPr>
        <w:t>g,</w:t>
      </w:r>
      <w:r w:rsidRPr="002F1ACA">
        <w:rPr>
          <w:rFonts w:eastAsia="楷体"/>
          <w:color w:val="auto"/>
          <w:sz w:val="21"/>
          <w:szCs w:val="21"/>
        </w:rPr>
        <w:t xml:space="preserve"> </w:t>
      </w:r>
      <w:r w:rsidRPr="002F1ACA">
        <w:rPr>
          <w:color w:val="auto"/>
          <w:sz w:val="21"/>
          <w:szCs w:val="21"/>
        </w:rPr>
        <w:t xml:space="preserve">Flow cytometry analysis and statistical results of TNF-α expression in F4/80⁺ macrophages </w:t>
      </w:r>
      <w:r w:rsidRPr="002F1ACA">
        <w:rPr>
          <w:rFonts w:eastAsia="楷体"/>
          <w:color w:val="auto"/>
          <w:sz w:val="21"/>
          <w:szCs w:val="21"/>
        </w:rPr>
        <w:t>(n = 6 mice)</w:t>
      </w:r>
      <w:r w:rsidRPr="002F1ACA">
        <w:rPr>
          <w:color w:val="auto"/>
          <w:sz w:val="21"/>
          <w:szCs w:val="21"/>
        </w:rPr>
        <w:t xml:space="preserve">. </w:t>
      </w:r>
      <w:r w:rsidRPr="002F1ACA">
        <w:rPr>
          <w:rFonts w:eastAsia="楷体"/>
          <w:b/>
          <w:bCs/>
          <w:color w:val="auto"/>
          <w:sz w:val="21"/>
          <w:szCs w:val="21"/>
        </w:rPr>
        <w:t>h,</w:t>
      </w:r>
      <w:r w:rsidRPr="002F1ACA">
        <w:rPr>
          <w:color w:val="auto"/>
          <w:sz w:val="21"/>
          <w:szCs w:val="21"/>
        </w:rPr>
        <w:t xml:space="preserve"> </w:t>
      </w:r>
      <w:r w:rsidRPr="002F1ACA">
        <w:rPr>
          <w:rFonts w:eastAsia="楷体"/>
          <w:color w:val="auto"/>
          <w:sz w:val="21"/>
          <w:szCs w:val="21"/>
        </w:rPr>
        <w:t xml:space="preserve">In vitro stimulation of splenocytes with graded doses of MOG₃₅‒₅₅ for 72 hours, followed by flow cytometry analysis of TNF-α, IFN-γ, IL-4, and IL-17A production in CD4⁺ T cells </w:t>
      </w:r>
      <w:r w:rsidRPr="002F1ACA">
        <w:rPr>
          <w:color w:val="auto"/>
          <w:sz w:val="21"/>
          <w:szCs w:val="21"/>
        </w:rPr>
        <w:t>(n =3 independent experiments)</w:t>
      </w:r>
      <w:r w:rsidRPr="002F1ACA">
        <w:rPr>
          <w:rFonts w:eastAsia="楷体"/>
          <w:color w:val="auto"/>
          <w:sz w:val="21"/>
          <w:szCs w:val="21"/>
        </w:rPr>
        <w:t xml:space="preserve">. </w:t>
      </w:r>
      <w:r w:rsidRPr="002F1ACA">
        <w:rPr>
          <w:rFonts w:eastAsia="楷体"/>
          <w:b/>
          <w:bCs/>
          <w:color w:val="auto"/>
          <w:sz w:val="21"/>
          <w:szCs w:val="21"/>
        </w:rPr>
        <w:t xml:space="preserve">i, </w:t>
      </w:r>
      <w:r w:rsidRPr="002F1ACA">
        <w:rPr>
          <w:rFonts w:eastAsia="楷体"/>
          <w:color w:val="auto"/>
          <w:sz w:val="21"/>
          <w:szCs w:val="21"/>
        </w:rPr>
        <w:t xml:space="preserve">CFSE-labeled splenocytes were stimulated with graded doses of MOG₃₅‒₅₅ in vitro, and CFSE dilution was analyzed after 72 hours to assess CD4⁺ T cell proliferation </w:t>
      </w:r>
      <w:r w:rsidRPr="002F1ACA">
        <w:rPr>
          <w:color w:val="auto"/>
          <w:sz w:val="21"/>
          <w:szCs w:val="21"/>
        </w:rPr>
        <w:t>(n =3 independent experiments)</w:t>
      </w:r>
      <w:r w:rsidRPr="002F1ACA">
        <w:rPr>
          <w:rFonts w:eastAsia="楷体"/>
          <w:color w:val="auto"/>
          <w:sz w:val="21"/>
          <w:szCs w:val="21"/>
        </w:rPr>
        <w:t>. Data are presented as mean ± SD. Statistical significance was assessed by two-way ANOVA with Tukey’s test. Source data are provided as a Source Data file.</w:t>
      </w:r>
    </w:p>
    <w:p w14:paraId="55FF52C5" w14:textId="77777777" w:rsidR="00836CBC" w:rsidRPr="002F1ACA" w:rsidRDefault="00836CBC" w:rsidP="00836CBC">
      <w:pPr>
        <w:pStyle w:val="SMHeading"/>
        <w:jc w:val="both"/>
        <w:rPr>
          <w:rFonts w:eastAsia="楷体"/>
          <w:b w:val="0"/>
          <w:bCs w:val="0"/>
          <w:kern w:val="0"/>
          <w:sz w:val="21"/>
          <w:szCs w:val="21"/>
        </w:rPr>
      </w:pPr>
      <w:r>
        <w:rPr>
          <w:noProof/>
        </w:rPr>
        <w:lastRenderedPageBreak/>
        <w:drawing>
          <wp:inline distT="0" distB="0" distL="0" distR="0" wp14:anchorId="709C889C" wp14:editId="4031CCEC">
            <wp:extent cx="5486400" cy="7473315"/>
            <wp:effectExtent l="0" t="0" r="0" b="0"/>
            <wp:docPr id="198027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7473315"/>
                    </a:xfrm>
                    <a:prstGeom prst="rect">
                      <a:avLst/>
                    </a:prstGeom>
                    <a:noFill/>
                    <a:ln>
                      <a:noFill/>
                    </a:ln>
                  </pic:spPr>
                </pic:pic>
              </a:graphicData>
            </a:graphic>
          </wp:inline>
        </w:drawing>
      </w:r>
      <w:r w:rsidRPr="00300CB2">
        <w:t>Fig. S</w:t>
      </w:r>
      <w:r>
        <w:rPr>
          <w:rFonts w:hint="eastAsia"/>
          <w:lang w:eastAsia="zh-CN"/>
        </w:rPr>
        <w:t>10</w:t>
      </w:r>
      <w:r w:rsidRPr="00300CB2">
        <w:rPr>
          <w:rFonts w:hint="eastAsia"/>
        </w:rPr>
        <w:t xml:space="preserve"> </w:t>
      </w:r>
      <w:r w:rsidRPr="00300CB2">
        <w:t>VSIG2 deficiency enhances TCR-mediated T cell activation, proliferation, and proinflammatory cytokine secretion.</w:t>
      </w:r>
    </w:p>
    <w:p w14:paraId="3F17267C" w14:textId="77777777" w:rsidR="00836CBC" w:rsidRPr="002F1ACA" w:rsidRDefault="00836CBC" w:rsidP="00836CBC">
      <w:pPr>
        <w:pStyle w:val="Default"/>
        <w:jc w:val="both"/>
        <w:rPr>
          <w:rFonts w:eastAsia="楷体"/>
          <w:b/>
          <w:bCs/>
          <w:sz w:val="21"/>
          <w:szCs w:val="21"/>
          <w:shd w:val="clear" w:color="auto" w:fill="FFFFFF"/>
        </w:rPr>
      </w:pPr>
      <w:r w:rsidRPr="002F1ACA">
        <w:rPr>
          <w:rFonts w:eastAsia="楷体"/>
          <w:b/>
          <w:bCs/>
          <w:sz w:val="21"/>
          <w:szCs w:val="21"/>
          <w:shd w:val="clear" w:color="auto" w:fill="FFFFFF"/>
        </w:rPr>
        <w:t xml:space="preserve">a, </w:t>
      </w:r>
      <w:r w:rsidRPr="002F1ACA">
        <w:rPr>
          <w:rFonts w:eastAsia="楷体"/>
          <w:sz w:val="21"/>
          <w:szCs w:val="21"/>
        </w:rPr>
        <w:t xml:space="preserve">H&amp;E </w:t>
      </w:r>
      <w:r w:rsidRPr="00C734B9">
        <w:rPr>
          <w:rFonts w:eastAsia="楷体"/>
          <w:b/>
          <w:bCs/>
          <w:color w:val="auto"/>
          <w:sz w:val="21"/>
          <w:szCs w:val="21"/>
        </w:rPr>
        <w:t>and</w:t>
      </w:r>
      <w:r w:rsidRPr="002F1ACA">
        <w:rPr>
          <w:rFonts w:eastAsia="楷体"/>
          <w:sz w:val="21"/>
          <w:szCs w:val="21"/>
        </w:rPr>
        <w:t xml:space="preserve"> LFB staining of spinal cord sections from wild-type and VSIG2⁻/⁻ mice (n = 6 mice).</w:t>
      </w:r>
    </w:p>
    <w:p w14:paraId="762C317E" w14:textId="77777777" w:rsidR="00836CBC" w:rsidRPr="002F1ACA" w:rsidRDefault="00836CBC" w:rsidP="00836CBC">
      <w:pPr>
        <w:pStyle w:val="Default"/>
        <w:jc w:val="both"/>
        <w:rPr>
          <w:rFonts w:eastAsia="楷体"/>
          <w:sz w:val="21"/>
          <w:szCs w:val="21"/>
        </w:rPr>
      </w:pPr>
      <w:r w:rsidRPr="002F1ACA">
        <w:rPr>
          <w:rFonts w:eastAsia="楷体"/>
          <w:b/>
          <w:bCs/>
          <w:sz w:val="21"/>
          <w:szCs w:val="21"/>
          <w:shd w:val="clear" w:color="auto" w:fill="FFFFFF"/>
        </w:rPr>
        <w:t xml:space="preserve">b, </w:t>
      </w:r>
      <w:r w:rsidRPr="002F1ACA">
        <w:rPr>
          <w:rFonts w:eastAsia="楷体"/>
          <w:sz w:val="21"/>
          <w:szCs w:val="21"/>
          <w:shd w:val="clear" w:color="auto" w:fill="FFFFFF"/>
        </w:rPr>
        <w:t xml:space="preserve">Representative flow cytometry analysis of CD69, CD25, and CD40L expression in resting and activated CD4⁺ and CD8⁺ T cells from wild-type and VSIG2⁻/⁻ mouse splenocytes, with </w:t>
      </w:r>
      <w:r w:rsidRPr="002F1ACA">
        <w:rPr>
          <w:rFonts w:eastAsia="楷体"/>
          <w:b/>
          <w:bCs/>
          <w:sz w:val="21"/>
          <w:szCs w:val="21"/>
          <w:shd w:val="clear" w:color="auto" w:fill="FFFFFF"/>
        </w:rPr>
        <w:t xml:space="preserve">(c) </w:t>
      </w:r>
      <w:r w:rsidRPr="002F1ACA">
        <w:rPr>
          <w:rFonts w:eastAsia="楷体"/>
          <w:sz w:val="21"/>
          <w:szCs w:val="21"/>
          <w:shd w:val="clear" w:color="auto" w:fill="FFFFFF"/>
        </w:rPr>
        <w:t xml:space="preserve">quantitative analysis of T cell activation markers (n = 3 independent experiments). </w:t>
      </w:r>
      <w:r w:rsidRPr="002F1ACA">
        <w:rPr>
          <w:rFonts w:eastAsia="楷体"/>
          <w:b/>
          <w:bCs/>
          <w:sz w:val="21"/>
          <w:szCs w:val="21"/>
          <w:shd w:val="clear" w:color="auto" w:fill="FFFFFF"/>
        </w:rPr>
        <w:t xml:space="preserve">d, </w:t>
      </w:r>
      <w:r w:rsidRPr="002F1ACA">
        <w:rPr>
          <w:rFonts w:eastAsia="楷体"/>
          <w:sz w:val="21"/>
          <w:szCs w:val="21"/>
          <w:shd w:val="clear" w:color="auto" w:fill="FFFFFF"/>
        </w:rPr>
        <w:t xml:space="preserve">Representative </w:t>
      </w:r>
      <w:r w:rsidRPr="002F1ACA">
        <w:rPr>
          <w:rFonts w:eastAsia="楷体"/>
          <w:sz w:val="21"/>
          <w:szCs w:val="21"/>
          <w:shd w:val="clear" w:color="auto" w:fill="FFFFFF"/>
        </w:rPr>
        <w:lastRenderedPageBreak/>
        <w:t xml:space="preserve">flow cytometry analysis of CFSE dilution in resting and activated CD4⁺ and CD8⁺ T cells from wild-type and VSIG2⁻/⁻ mouse splenocytes, with (e) quantitative analysis of T cell proliferation (n = 6 independent experiments). </w:t>
      </w:r>
      <w:r w:rsidRPr="002F1ACA">
        <w:rPr>
          <w:rFonts w:eastAsia="楷体"/>
          <w:b/>
          <w:bCs/>
          <w:sz w:val="21"/>
          <w:szCs w:val="21"/>
          <w:shd w:val="clear" w:color="auto" w:fill="FFFFFF"/>
        </w:rPr>
        <w:t>f,</w:t>
      </w:r>
      <w:r w:rsidRPr="002F1ACA">
        <w:rPr>
          <w:rFonts w:eastAsia="楷体"/>
          <w:sz w:val="21"/>
          <w:szCs w:val="21"/>
          <w:shd w:val="clear" w:color="auto" w:fill="FFFFFF"/>
        </w:rPr>
        <w:t xml:space="preserve"> Cytokine microsphere array (CBA) analysis of TNF-α, IFN-γ, IL-17A, IL-2, and IL-4 in serum from wild-type and VSIG2⁻/⁻ mice (n = 3 independent experiments).</w:t>
      </w:r>
      <w:r w:rsidRPr="002F1ACA">
        <w:rPr>
          <w:rFonts w:eastAsia="楷体"/>
          <w:sz w:val="21"/>
          <w:szCs w:val="21"/>
        </w:rPr>
        <w:t xml:space="preserve"> Data are presented as mean ± SD. Statistical significance was assessed by two-way ANOVA with Tukey’s test. Source data are provided as a Source Data file.</w:t>
      </w:r>
    </w:p>
    <w:p w14:paraId="2A1212E0" w14:textId="77777777" w:rsidR="00836CBC" w:rsidRDefault="00836CBC" w:rsidP="00836CBC">
      <w:pPr>
        <w:jc w:val="both"/>
        <w:rPr>
          <w:b/>
          <w:bCs/>
          <w:sz w:val="21"/>
          <w:szCs w:val="21"/>
        </w:rPr>
      </w:pPr>
      <w:r>
        <w:rPr>
          <w:noProof/>
        </w:rPr>
        <w:drawing>
          <wp:inline distT="0" distB="0" distL="0" distR="0" wp14:anchorId="518F4423" wp14:editId="0035DAB8">
            <wp:extent cx="5578891" cy="5909095"/>
            <wp:effectExtent l="0" t="0" r="3175" b="0"/>
            <wp:docPr id="8835065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82849" cy="5913288"/>
                    </a:xfrm>
                    <a:prstGeom prst="rect">
                      <a:avLst/>
                    </a:prstGeom>
                    <a:noFill/>
                    <a:ln>
                      <a:noFill/>
                    </a:ln>
                  </pic:spPr>
                </pic:pic>
              </a:graphicData>
            </a:graphic>
          </wp:inline>
        </w:drawing>
      </w:r>
    </w:p>
    <w:p w14:paraId="126AE4F5" w14:textId="77777777" w:rsidR="00836CBC" w:rsidRPr="00300CB2" w:rsidRDefault="00836CBC" w:rsidP="00836CBC">
      <w:pPr>
        <w:pStyle w:val="SMHeading"/>
        <w:jc w:val="both"/>
      </w:pPr>
      <w:r w:rsidRPr="00300CB2">
        <w:t>Fig. S</w:t>
      </w:r>
      <w:r>
        <w:rPr>
          <w:rFonts w:hint="eastAsia"/>
          <w:lang w:eastAsia="zh-CN"/>
        </w:rPr>
        <w:t>11</w:t>
      </w:r>
      <w:r w:rsidRPr="00300CB2">
        <w:rPr>
          <w:rFonts w:hint="eastAsia"/>
        </w:rPr>
        <w:t xml:space="preserve"> </w:t>
      </w:r>
      <w:r w:rsidRPr="00300CB2">
        <w:t xml:space="preserve">VSIG2 deficiency exacerbates EAE severity. </w:t>
      </w:r>
    </w:p>
    <w:p w14:paraId="29DE4CB8" w14:textId="77777777" w:rsidR="00836CBC" w:rsidRDefault="00836CBC" w:rsidP="00836CBC">
      <w:pPr>
        <w:pStyle w:val="Default"/>
        <w:jc w:val="both"/>
        <w:rPr>
          <w:rFonts w:eastAsia="楷体"/>
          <w:sz w:val="21"/>
          <w:szCs w:val="21"/>
        </w:rPr>
      </w:pPr>
      <w:r w:rsidRPr="002F1ACA">
        <w:rPr>
          <w:rFonts w:eastAsia="楷体"/>
          <w:b/>
          <w:bCs/>
          <w:sz w:val="21"/>
          <w:szCs w:val="21"/>
        </w:rPr>
        <w:t>a, Representative flow cytometric analysis of CD69, CD25, CD40L exp</w:t>
      </w:r>
      <w:r w:rsidRPr="002F1ACA">
        <w:rPr>
          <w:rFonts w:eastAsia="楷体"/>
          <w:sz w:val="21"/>
          <w:szCs w:val="21"/>
        </w:rPr>
        <w:t>ression in mouse spleen CD4⁺ and CD8⁺ T cells, with statistical analysis of T cell activation (n = 6 mice).</w:t>
      </w:r>
      <w:r w:rsidRPr="002F1ACA">
        <w:rPr>
          <w:rFonts w:eastAsia="楷体"/>
          <w:b/>
          <w:bCs/>
          <w:sz w:val="21"/>
          <w:szCs w:val="21"/>
        </w:rPr>
        <w:t xml:space="preserve"> b, </w:t>
      </w:r>
      <w:r w:rsidRPr="002F1ACA">
        <w:rPr>
          <w:rFonts w:eastAsia="楷体"/>
          <w:sz w:val="21"/>
          <w:szCs w:val="21"/>
        </w:rPr>
        <w:t>Representative flow cytometry analysis of Ki67 expression in mouse spleen CD4⁺ and CD8⁺ T cells, with statistical analysis of T cell proliferation (n = 6 mice).</w:t>
      </w:r>
      <w:r w:rsidRPr="002F1ACA">
        <w:rPr>
          <w:rFonts w:eastAsia="楷体"/>
          <w:b/>
          <w:bCs/>
          <w:sz w:val="21"/>
          <w:szCs w:val="21"/>
        </w:rPr>
        <w:t xml:space="preserve"> c,</w:t>
      </w:r>
      <w:r w:rsidRPr="002F1ACA">
        <w:rPr>
          <w:rFonts w:eastAsia="楷体"/>
          <w:sz w:val="21"/>
          <w:szCs w:val="21"/>
        </w:rPr>
        <w:t xml:space="preserve"> Flow cytometry analysis and quantification of CD4⁺CD25⁺FoxP3⁺ andCD4⁺FoxP3⁺ regulatory T cells (Tregs) in splenocytes (n = 6 mice). </w:t>
      </w:r>
      <w:r w:rsidRPr="002F1ACA">
        <w:rPr>
          <w:rFonts w:eastAsia="楷体"/>
          <w:b/>
          <w:bCs/>
          <w:sz w:val="21"/>
          <w:szCs w:val="21"/>
        </w:rPr>
        <w:t xml:space="preserve">d, </w:t>
      </w:r>
      <w:r w:rsidRPr="002F1ACA">
        <w:rPr>
          <w:rFonts w:eastAsia="楷体"/>
          <w:sz w:val="21"/>
          <w:szCs w:val="21"/>
        </w:rPr>
        <w:t xml:space="preserve">Intracellular cytokine staining and statistical analysis of TNF-α, IFN-γ, IL-17A, and IL-4 in CD4⁺ </w:t>
      </w:r>
      <w:r w:rsidRPr="002F1ACA">
        <w:rPr>
          <w:rFonts w:eastAsia="楷体"/>
          <w:sz w:val="21"/>
          <w:szCs w:val="21"/>
        </w:rPr>
        <w:lastRenderedPageBreak/>
        <w:t xml:space="preserve">T cells in mouse spleen (n = 6 mice). Data are presented as mean ± SD. </w:t>
      </w:r>
      <w:r w:rsidRPr="002F1ACA">
        <w:rPr>
          <w:rFonts w:eastAsia="楷体"/>
          <w:i/>
          <w:iCs/>
          <w:sz w:val="21"/>
          <w:szCs w:val="21"/>
        </w:rPr>
        <w:t>p</w:t>
      </w:r>
      <w:r w:rsidRPr="002F1ACA">
        <w:rPr>
          <w:rFonts w:eastAsia="楷体"/>
          <w:sz w:val="21"/>
          <w:szCs w:val="21"/>
        </w:rPr>
        <w:t xml:space="preserve"> values derived from One-way ANOVA analysis followed by Tukey’s multiple comparisons test. Source data are provided as a Source Data file. </w:t>
      </w:r>
    </w:p>
    <w:p w14:paraId="447DC92D" w14:textId="77777777" w:rsidR="00836CBC" w:rsidRPr="002F1ACA" w:rsidRDefault="00836CBC" w:rsidP="00836CBC">
      <w:pPr>
        <w:pStyle w:val="SMHeading"/>
        <w:jc w:val="both"/>
        <w:rPr>
          <w:rFonts w:eastAsia="楷体"/>
          <w:kern w:val="0"/>
          <w:sz w:val="21"/>
          <w:szCs w:val="21"/>
        </w:rPr>
      </w:pPr>
      <w:r>
        <w:rPr>
          <w:noProof/>
        </w:rPr>
        <w:drawing>
          <wp:inline distT="0" distB="0" distL="0" distR="0" wp14:anchorId="2D147CD1" wp14:editId="06052BB5">
            <wp:extent cx="5503653" cy="4996211"/>
            <wp:effectExtent l="0" t="0" r="1905" b="0"/>
            <wp:docPr id="13961395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06213" cy="4998535"/>
                    </a:xfrm>
                    <a:prstGeom prst="rect">
                      <a:avLst/>
                    </a:prstGeom>
                    <a:noFill/>
                    <a:ln>
                      <a:noFill/>
                    </a:ln>
                  </pic:spPr>
                </pic:pic>
              </a:graphicData>
            </a:graphic>
          </wp:inline>
        </w:drawing>
      </w:r>
      <w:r w:rsidRPr="00300CB2">
        <w:t>Fig. S</w:t>
      </w:r>
      <w:r>
        <w:rPr>
          <w:rFonts w:hint="eastAsia"/>
          <w:lang w:eastAsia="zh-CN"/>
        </w:rPr>
        <w:t>12</w:t>
      </w:r>
      <w:r w:rsidRPr="00300CB2">
        <w:rPr>
          <w:rFonts w:hint="eastAsia"/>
        </w:rPr>
        <w:t xml:space="preserve"> </w:t>
      </w:r>
      <w:r w:rsidRPr="00300CB2">
        <w:t>h</w:t>
      </w:r>
      <w:r>
        <w:t>VSIG2-Ig protein</w:t>
      </w:r>
      <w:r w:rsidRPr="00300CB2">
        <w:t xml:space="preserve"> exhibits in vivo safety in mice.</w:t>
      </w:r>
    </w:p>
    <w:p w14:paraId="289B8F7A" w14:textId="77777777" w:rsidR="00836CBC" w:rsidRPr="002F1ACA" w:rsidRDefault="00836CBC" w:rsidP="00836CBC">
      <w:pPr>
        <w:pStyle w:val="Default"/>
        <w:jc w:val="both"/>
        <w:rPr>
          <w:rFonts w:eastAsia="楷体"/>
          <w:bCs/>
          <w:sz w:val="21"/>
          <w:szCs w:val="21"/>
        </w:rPr>
      </w:pPr>
      <w:r w:rsidRPr="002F1ACA">
        <w:rPr>
          <w:rFonts w:eastAsia="楷体"/>
          <w:sz w:val="21"/>
          <w:szCs w:val="21"/>
        </w:rPr>
        <w:t>C57BL/6 mice received intraperitoneal injections of 25 μg hVSIG2-Ig every other day (three total injections) before tissue harvest. HE staining of liver, heart, spleen, lung, and kidney tissues was performed to assess pathological changes compared to untreated controls (n = 3 mice).</w:t>
      </w:r>
      <w:r w:rsidRPr="002F1ACA">
        <w:rPr>
          <w:rFonts w:eastAsia="楷体"/>
          <w:bCs/>
          <w:sz w:val="21"/>
          <w:szCs w:val="21"/>
        </w:rPr>
        <w:t xml:space="preserve"> </w:t>
      </w:r>
    </w:p>
    <w:p w14:paraId="72DC03C6" w14:textId="77777777" w:rsidR="00836CBC" w:rsidRPr="002F1ACA" w:rsidRDefault="00836CBC" w:rsidP="00836CBC">
      <w:pPr>
        <w:pStyle w:val="SMHeading"/>
        <w:jc w:val="both"/>
        <w:rPr>
          <w:b w:val="0"/>
          <w:bCs w:val="0"/>
          <w:sz w:val="21"/>
          <w:szCs w:val="21"/>
        </w:rPr>
      </w:pPr>
      <w:r>
        <w:rPr>
          <w:noProof/>
        </w:rPr>
        <w:lastRenderedPageBreak/>
        <w:drawing>
          <wp:inline distT="0" distB="0" distL="0" distR="0" wp14:anchorId="0F6A6F16" wp14:editId="0134588B">
            <wp:extent cx="5572664" cy="2657137"/>
            <wp:effectExtent l="0" t="0" r="0" b="0"/>
            <wp:docPr id="63363635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80211" cy="2660735"/>
                    </a:xfrm>
                    <a:prstGeom prst="rect">
                      <a:avLst/>
                    </a:prstGeom>
                    <a:noFill/>
                    <a:ln>
                      <a:noFill/>
                    </a:ln>
                  </pic:spPr>
                </pic:pic>
              </a:graphicData>
            </a:graphic>
          </wp:inline>
        </w:drawing>
      </w:r>
      <w:r w:rsidRPr="00300CB2">
        <w:t>Fig. S</w:t>
      </w:r>
      <w:r>
        <w:rPr>
          <w:rFonts w:hint="eastAsia"/>
          <w:lang w:eastAsia="zh-CN"/>
        </w:rPr>
        <w:t>13</w:t>
      </w:r>
      <w:r w:rsidRPr="00300CB2">
        <w:t xml:space="preserve"> Bioinformatics analysis of VSIG2 in pan-cancer prognosis and pancreatic cancer single-cell sequencing.</w:t>
      </w:r>
    </w:p>
    <w:p w14:paraId="7D89B591" w14:textId="77777777" w:rsidR="00836CBC" w:rsidRPr="002F1ACA" w:rsidRDefault="00836CBC" w:rsidP="00836CBC">
      <w:pPr>
        <w:pStyle w:val="Default"/>
        <w:jc w:val="both"/>
        <w:rPr>
          <w:sz w:val="21"/>
          <w:szCs w:val="21"/>
        </w:rPr>
      </w:pPr>
      <w:r w:rsidRPr="002F1ACA">
        <w:rPr>
          <w:b/>
          <w:bCs/>
          <w:sz w:val="21"/>
          <w:szCs w:val="21"/>
        </w:rPr>
        <w:t xml:space="preserve">a, </w:t>
      </w:r>
      <w:r w:rsidRPr="002F1ACA">
        <w:rPr>
          <w:sz w:val="21"/>
          <w:szCs w:val="21"/>
        </w:rPr>
        <w:t xml:space="preserve">Prognostic significance of VSIG2 across 33 tumor types, demonstrating its correlation with PAAD patient survival outcomes. </w:t>
      </w:r>
      <w:r w:rsidRPr="002F1ACA">
        <w:rPr>
          <w:b/>
          <w:bCs/>
          <w:sz w:val="21"/>
          <w:szCs w:val="21"/>
        </w:rPr>
        <w:t>b,</w:t>
      </w:r>
      <w:r w:rsidRPr="002F1ACA">
        <w:rPr>
          <w:sz w:val="21"/>
          <w:szCs w:val="21"/>
        </w:rPr>
        <w:t xml:space="preserve"> Single-cell RNA </w:t>
      </w:r>
      <w:r w:rsidRPr="00C734B9">
        <w:rPr>
          <w:rFonts w:eastAsia="楷体"/>
          <w:color w:val="auto"/>
          <w:sz w:val="21"/>
          <w:szCs w:val="21"/>
        </w:rPr>
        <w:t>sequencing</w:t>
      </w:r>
      <w:r w:rsidRPr="002F1ACA">
        <w:rPr>
          <w:sz w:val="21"/>
          <w:szCs w:val="21"/>
        </w:rPr>
        <w:t xml:space="preserve"> analysis of VSIG2 expression in pancreatic cancer, showing its distribution across tumor microenvironment cell types.</w:t>
      </w:r>
    </w:p>
    <w:p w14:paraId="27077895" w14:textId="77777777" w:rsidR="00836CBC" w:rsidRPr="002F1ACA" w:rsidRDefault="00836CBC" w:rsidP="00836CBC">
      <w:pPr>
        <w:pStyle w:val="SMHeading"/>
        <w:jc w:val="both"/>
        <w:rPr>
          <w:rFonts w:eastAsia="楷体"/>
          <w:b w:val="0"/>
          <w:bCs w:val="0"/>
          <w:kern w:val="2"/>
          <w:sz w:val="21"/>
          <w:szCs w:val="21"/>
        </w:rPr>
      </w:pPr>
      <w:r>
        <w:rPr>
          <w:noProof/>
        </w:rPr>
        <w:drawing>
          <wp:inline distT="0" distB="0" distL="0" distR="0" wp14:anchorId="50356CCA" wp14:editId="2C9B663D">
            <wp:extent cx="5538159" cy="4300357"/>
            <wp:effectExtent l="0" t="0" r="5715" b="5080"/>
            <wp:docPr id="42990349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42264" cy="4303545"/>
                    </a:xfrm>
                    <a:prstGeom prst="rect">
                      <a:avLst/>
                    </a:prstGeom>
                    <a:noFill/>
                    <a:ln>
                      <a:noFill/>
                    </a:ln>
                  </pic:spPr>
                </pic:pic>
              </a:graphicData>
            </a:graphic>
          </wp:inline>
        </w:drawing>
      </w:r>
      <w:r w:rsidRPr="00300CB2">
        <w:t>Fig. S1</w:t>
      </w:r>
      <w:r>
        <w:rPr>
          <w:rFonts w:hint="eastAsia"/>
          <w:lang w:eastAsia="zh-CN"/>
        </w:rPr>
        <w:t>4</w:t>
      </w:r>
      <w:r w:rsidRPr="00300CB2">
        <w:t xml:space="preserve"> VSIG2 VHH antibody screening, production and functional validation.</w:t>
      </w:r>
    </w:p>
    <w:p w14:paraId="64A9BE2C" w14:textId="77777777" w:rsidR="00836CBC" w:rsidRPr="002F1ACA" w:rsidRDefault="00836CBC" w:rsidP="00836CBC">
      <w:pPr>
        <w:pStyle w:val="Default"/>
        <w:jc w:val="both"/>
        <w:rPr>
          <w:rFonts w:eastAsia="楷体"/>
          <w:color w:val="auto"/>
          <w:sz w:val="21"/>
          <w:szCs w:val="21"/>
        </w:rPr>
      </w:pPr>
      <w:r w:rsidRPr="002F1ACA">
        <w:rPr>
          <w:rFonts w:eastAsia="楷体"/>
          <w:b/>
          <w:bCs/>
          <w:color w:val="auto"/>
          <w:kern w:val="2"/>
          <w:sz w:val="21"/>
          <w:szCs w:val="21"/>
        </w:rPr>
        <w:t xml:space="preserve">a, </w:t>
      </w:r>
      <w:r w:rsidRPr="002F1ACA">
        <w:rPr>
          <w:rFonts w:eastAsia="楷体"/>
          <w:color w:val="auto"/>
          <w:kern w:val="2"/>
          <w:sz w:val="21"/>
          <w:szCs w:val="21"/>
        </w:rPr>
        <w:t xml:space="preserve">Schematic workflow of the screening process for bioinformatics analysis of VSIG2 VHH </w:t>
      </w:r>
      <w:r w:rsidRPr="002F1ACA">
        <w:rPr>
          <w:rFonts w:eastAsia="楷体"/>
          <w:color w:val="auto"/>
          <w:kern w:val="2"/>
          <w:sz w:val="21"/>
          <w:szCs w:val="21"/>
        </w:rPr>
        <w:lastRenderedPageBreak/>
        <w:t xml:space="preserve">antibody sequences. </w:t>
      </w:r>
      <w:r w:rsidRPr="002F1ACA">
        <w:rPr>
          <w:rFonts w:eastAsia="楷体"/>
          <w:b/>
          <w:bCs/>
          <w:color w:val="auto"/>
          <w:kern w:val="2"/>
          <w:sz w:val="21"/>
          <w:szCs w:val="21"/>
        </w:rPr>
        <w:t>b,</w:t>
      </w:r>
      <w:r w:rsidRPr="002F1ACA">
        <w:rPr>
          <w:rFonts w:eastAsia="楷体"/>
          <w:color w:val="auto"/>
          <w:kern w:val="2"/>
          <w:sz w:val="21"/>
          <w:szCs w:val="21"/>
        </w:rPr>
        <w:t xml:space="preserve"> Coomassie-stained SDS-PAGE gel showing purified anti-VSIG2 VHH antibody </w:t>
      </w:r>
      <w:r w:rsidRPr="002F1ACA">
        <w:rPr>
          <w:rFonts w:eastAsia="楷体"/>
          <w:color w:val="auto"/>
          <w:kern w:val="2"/>
          <w:sz w:val="21"/>
          <w:szCs w:val="21"/>
        </w:rPr>
        <w:t>（</w:t>
      </w:r>
      <w:r w:rsidRPr="002F1ACA">
        <w:rPr>
          <w:rFonts w:eastAsia="楷体"/>
          <w:color w:val="auto"/>
          <w:kern w:val="2"/>
          <w:sz w:val="21"/>
          <w:szCs w:val="21"/>
        </w:rPr>
        <w:t>VHH 23835; VHH75315</w:t>
      </w:r>
      <w:r w:rsidRPr="002F1ACA">
        <w:rPr>
          <w:rFonts w:eastAsia="楷体"/>
          <w:color w:val="auto"/>
          <w:kern w:val="2"/>
          <w:sz w:val="21"/>
          <w:szCs w:val="21"/>
        </w:rPr>
        <w:t>）</w:t>
      </w:r>
      <w:r w:rsidRPr="002F1ACA">
        <w:rPr>
          <w:rFonts w:eastAsia="楷体"/>
          <w:color w:val="auto"/>
          <w:kern w:val="2"/>
          <w:sz w:val="21"/>
          <w:szCs w:val="21"/>
        </w:rPr>
        <w:t xml:space="preserve"> </w:t>
      </w:r>
      <w:r w:rsidRPr="002F1ACA">
        <w:rPr>
          <w:rFonts w:eastAsia="楷体"/>
          <w:b/>
          <w:bCs/>
          <w:color w:val="auto"/>
          <w:kern w:val="2"/>
          <w:sz w:val="21"/>
          <w:szCs w:val="21"/>
        </w:rPr>
        <w:t xml:space="preserve">c, </w:t>
      </w:r>
      <w:r w:rsidRPr="002F1ACA">
        <w:rPr>
          <w:rFonts w:eastAsia="楷体"/>
          <w:color w:val="auto"/>
          <w:kern w:val="2"/>
          <w:sz w:val="21"/>
          <w:szCs w:val="21"/>
        </w:rPr>
        <w:t xml:space="preserve">Western blot analysis using anti-IgG2a antibody to confirm VHH antibody. </w:t>
      </w:r>
      <w:r w:rsidRPr="002F1ACA">
        <w:rPr>
          <w:rFonts w:eastAsia="楷体"/>
          <w:b/>
          <w:bCs/>
          <w:color w:val="auto"/>
          <w:kern w:val="2"/>
          <w:sz w:val="21"/>
          <w:szCs w:val="21"/>
        </w:rPr>
        <w:t xml:space="preserve">d, </w:t>
      </w:r>
      <w:r w:rsidRPr="002F1ACA">
        <w:rPr>
          <w:rFonts w:eastAsia="楷体"/>
          <w:color w:val="auto"/>
          <w:kern w:val="2"/>
          <w:sz w:val="21"/>
          <w:szCs w:val="21"/>
        </w:rPr>
        <w:t xml:space="preserve">Representative flow cytometric analysis of CD69 and CD25 expression in CD4⁺ and CD8⁺ T cells neutralised by different concentrations of anti-VSIG2 VHH antibody (5, 10, 15, 20ug/ml) and hVSIG2-Ig (6400 ng/ml) and </w:t>
      </w:r>
      <w:r w:rsidRPr="002F1ACA">
        <w:rPr>
          <w:rFonts w:eastAsia="楷体"/>
          <w:b/>
          <w:bCs/>
          <w:color w:val="auto"/>
          <w:kern w:val="2"/>
          <w:sz w:val="21"/>
          <w:szCs w:val="21"/>
        </w:rPr>
        <w:t>(e)</w:t>
      </w:r>
      <w:r w:rsidRPr="002F1ACA">
        <w:rPr>
          <w:rFonts w:eastAsia="楷体"/>
          <w:color w:val="auto"/>
          <w:kern w:val="2"/>
          <w:sz w:val="21"/>
          <w:szCs w:val="21"/>
        </w:rPr>
        <w:t xml:space="preserve"> statistical analysis of T cell activation (n = 3 independent experiments). </w:t>
      </w:r>
      <w:r w:rsidRPr="002F1ACA">
        <w:rPr>
          <w:rFonts w:eastAsia="楷体"/>
          <w:b/>
          <w:bCs/>
          <w:color w:val="auto"/>
          <w:kern w:val="2"/>
          <w:sz w:val="21"/>
          <w:szCs w:val="21"/>
        </w:rPr>
        <w:t xml:space="preserve">f, </w:t>
      </w:r>
      <w:r w:rsidRPr="002F1ACA">
        <w:rPr>
          <w:rFonts w:eastAsia="楷体"/>
          <w:color w:val="auto"/>
          <w:kern w:val="2"/>
          <w:sz w:val="21"/>
          <w:szCs w:val="21"/>
        </w:rPr>
        <w:t>Representative flow cytometric analysis of ki67 expression in CD4⁺ and CD8⁺ T cells neutralised by different concentrations of anti-VSIG2 VHH antibody (5, 10, 15, 20ug/ml) and hVSIG2-Ig (6400 ng/ml) and</w:t>
      </w:r>
      <w:r w:rsidRPr="002F1ACA">
        <w:rPr>
          <w:rFonts w:eastAsia="楷体"/>
          <w:b/>
          <w:bCs/>
          <w:color w:val="auto"/>
          <w:kern w:val="2"/>
          <w:sz w:val="21"/>
          <w:szCs w:val="21"/>
        </w:rPr>
        <w:t xml:space="preserve"> (g)</w:t>
      </w:r>
      <w:r w:rsidRPr="002F1ACA">
        <w:rPr>
          <w:rFonts w:eastAsia="楷体"/>
          <w:color w:val="auto"/>
          <w:kern w:val="2"/>
          <w:sz w:val="21"/>
          <w:szCs w:val="21"/>
        </w:rPr>
        <w:t xml:space="preserve"> statistical analysis of T cell activation (n = 3 independent experiments). </w:t>
      </w:r>
      <w:bookmarkStart w:id="5" w:name="_Hlk199511132"/>
      <w:r w:rsidRPr="002F1ACA">
        <w:rPr>
          <w:rFonts w:eastAsia="楷体"/>
          <w:color w:val="auto"/>
          <w:sz w:val="21"/>
          <w:szCs w:val="21"/>
        </w:rPr>
        <w:t xml:space="preserve">Data are presented as mean ± SD. </w:t>
      </w:r>
      <w:r w:rsidRPr="002F1ACA">
        <w:rPr>
          <w:rFonts w:eastAsia="楷体"/>
          <w:i/>
          <w:iCs/>
          <w:color w:val="auto"/>
          <w:sz w:val="21"/>
          <w:szCs w:val="21"/>
        </w:rPr>
        <w:t>p</w:t>
      </w:r>
      <w:r w:rsidRPr="002F1ACA">
        <w:rPr>
          <w:rFonts w:eastAsia="楷体"/>
          <w:color w:val="auto"/>
          <w:sz w:val="21"/>
          <w:szCs w:val="21"/>
        </w:rPr>
        <w:t xml:space="preserve"> values derived from One-way ANOVA analysis followed by Tukey’s multiple comparisons test. Source data are provided as a Source Data file. </w:t>
      </w:r>
    </w:p>
    <w:bookmarkEnd w:id="5"/>
    <w:p w14:paraId="5EF19A37" w14:textId="77777777" w:rsidR="00836CBC" w:rsidRPr="002F1ACA" w:rsidRDefault="00836CBC" w:rsidP="00836CBC">
      <w:pPr>
        <w:pStyle w:val="SMHeading"/>
        <w:jc w:val="both"/>
        <w:rPr>
          <w:rFonts w:eastAsia="楷体"/>
          <w:b w:val="0"/>
          <w:bCs w:val="0"/>
          <w:kern w:val="2"/>
          <w:sz w:val="21"/>
          <w:szCs w:val="21"/>
        </w:rPr>
      </w:pPr>
      <w:r>
        <w:rPr>
          <w:noProof/>
        </w:rPr>
        <w:drawing>
          <wp:inline distT="0" distB="0" distL="0" distR="0" wp14:anchorId="60AE03D5" wp14:editId="0ED5DBC6">
            <wp:extent cx="5521393" cy="5020574"/>
            <wp:effectExtent l="0" t="0" r="3175" b="8890"/>
            <wp:docPr id="19744947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25853" cy="5024629"/>
                    </a:xfrm>
                    <a:prstGeom prst="rect">
                      <a:avLst/>
                    </a:prstGeom>
                    <a:noFill/>
                    <a:ln>
                      <a:noFill/>
                    </a:ln>
                  </pic:spPr>
                </pic:pic>
              </a:graphicData>
            </a:graphic>
          </wp:inline>
        </w:drawing>
      </w:r>
      <w:r w:rsidRPr="00300CB2">
        <w:t>Fig. S1</w:t>
      </w:r>
      <w:r>
        <w:rPr>
          <w:rFonts w:hint="eastAsia"/>
          <w:lang w:eastAsia="zh-CN"/>
        </w:rPr>
        <w:t>5</w:t>
      </w:r>
      <w:r w:rsidRPr="00300CB2">
        <w:rPr>
          <w:rFonts w:hint="eastAsia"/>
        </w:rPr>
        <w:t xml:space="preserve"> </w:t>
      </w:r>
      <w:r w:rsidRPr="00300CB2">
        <w:t>VSIG2 knockdown in Pan02 cells suppresses pancreatic cancer progression.</w:t>
      </w:r>
    </w:p>
    <w:p w14:paraId="75B60FF6" w14:textId="77777777" w:rsidR="00836CBC" w:rsidRDefault="00836CBC" w:rsidP="00836CBC">
      <w:pPr>
        <w:pStyle w:val="Default"/>
        <w:jc w:val="both"/>
        <w:rPr>
          <w:rFonts w:eastAsia="楷体"/>
          <w:color w:val="auto"/>
          <w:kern w:val="2"/>
          <w:sz w:val="21"/>
          <w:szCs w:val="21"/>
        </w:rPr>
      </w:pPr>
      <w:r w:rsidRPr="002F1ACA">
        <w:rPr>
          <w:rFonts w:eastAsia="楷体"/>
          <w:color w:val="auto"/>
          <w:kern w:val="2"/>
          <w:sz w:val="21"/>
          <w:szCs w:val="21"/>
        </w:rPr>
        <w:t xml:space="preserve">C57BL/6 mice were subcutaneously inoculated with 1×10⁶ WT or VSIG2-kd Pan02 cells. Tumor growth was monitored daily by caliper measurements, and tumors/spleens were harvested on day 15 for analysis. </w:t>
      </w:r>
      <w:r w:rsidRPr="002F1ACA">
        <w:rPr>
          <w:rFonts w:eastAsia="楷体"/>
          <w:b/>
          <w:bCs/>
          <w:color w:val="auto"/>
          <w:kern w:val="2"/>
          <w:sz w:val="21"/>
          <w:szCs w:val="21"/>
        </w:rPr>
        <w:t xml:space="preserve">a, </w:t>
      </w:r>
      <w:r w:rsidRPr="002F1ACA">
        <w:rPr>
          <w:rFonts w:eastAsia="楷体"/>
          <w:color w:val="auto"/>
          <w:kern w:val="2"/>
          <w:sz w:val="21"/>
          <w:szCs w:val="21"/>
        </w:rPr>
        <w:t xml:space="preserve">Representative images of tumors from three groups (n = 9 mice). </w:t>
      </w:r>
      <w:r w:rsidRPr="002F1ACA">
        <w:rPr>
          <w:rFonts w:eastAsia="楷体"/>
          <w:b/>
          <w:bCs/>
          <w:color w:val="auto"/>
          <w:kern w:val="2"/>
          <w:sz w:val="21"/>
          <w:szCs w:val="21"/>
        </w:rPr>
        <w:t>b,</w:t>
      </w:r>
      <w:r w:rsidRPr="002F1ACA">
        <w:rPr>
          <w:rFonts w:eastAsia="楷体"/>
          <w:color w:val="auto"/>
          <w:kern w:val="2"/>
          <w:sz w:val="21"/>
          <w:szCs w:val="21"/>
        </w:rPr>
        <w:t xml:space="preserve"> Tumor volume kinetics over time in the three groups (n = 9 mice). </w:t>
      </w:r>
      <w:r w:rsidRPr="002F1ACA">
        <w:rPr>
          <w:rFonts w:eastAsia="楷体"/>
          <w:b/>
          <w:bCs/>
          <w:color w:val="auto"/>
          <w:kern w:val="2"/>
          <w:sz w:val="21"/>
          <w:szCs w:val="21"/>
        </w:rPr>
        <w:t>c,</w:t>
      </w:r>
      <w:r w:rsidRPr="002F1ACA">
        <w:rPr>
          <w:rFonts w:eastAsia="楷体"/>
          <w:color w:val="auto"/>
          <w:kern w:val="2"/>
          <w:sz w:val="21"/>
          <w:szCs w:val="21"/>
        </w:rPr>
        <w:t xml:space="preserve"> Comparison of tumor volume at day 12 (n = </w:t>
      </w:r>
      <w:r w:rsidRPr="002F1ACA">
        <w:rPr>
          <w:rFonts w:eastAsia="楷体"/>
          <w:color w:val="auto"/>
          <w:kern w:val="2"/>
          <w:sz w:val="21"/>
          <w:szCs w:val="21"/>
        </w:rPr>
        <w:lastRenderedPageBreak/>
        <w:t xml:space="preserve">9 mice). </w:t>
      </w:r>
      <w:r w:rsidRPr="002F1ACA">
        <w:rPr>
          <w:rFonts w:eastAsia="楷体"/>
          <w:b/>
          <w:bCs/>
          <w:color w:val="auto"/>
          <w:kern w:val="2"/>
          <w:sz w:val="21"/>
          <w:szCs w:val="21"/>
        </w:rPr>
        <w:t xml:space="preserve">d, </w:t>
      </w:r>
      <w:r w:rsidRPr="002F1ACA">
        <w:rPr>
          <w:rFonts w:eastAsia="楷体"/>
          <w:color w:val="auto"/>
          <w:kern w:val="2"/>
          <w:sz w:val="21"/>
          <w:szCs w:val="21"/>
        </w:rPr>
        <w:t xml:space="preserve">Tumor weight comparison across groups (n = 9 mice). </w:t>
      </w:r>
      <w:r w:rsidRPr="002F1ACA">
        <w:rPr>
          <w:rFonts w:eastAsia="楷体"/>
          <w:b/>
          <w:bCs/>
          <w:color w:val="auto"/>
          <w:kern w:val="2"/>
          <w:sz w:val="21"/>
          <w:szCs w:val="21"/>
        </w:rPr>
        <w:t xml:space="preserve">e, </w:t>
      </w:r>
      <w:r w:rsidRPr="002F1ACA">
        <w:rPr>
          <w:rFonts w:eastAsia="楷体"/>
          <w:color w:val="auto"/>
          <w:kern w:val="2"/>
          <w:sz w:val="21"/>
          <w:szCs w:val="21"/>
        </w:rPr>
        <w:t xml:space="preserve">Immunofluorescence staining of tumor sections (CD4: green, CD8: red) (n = 6 mice). </w:t>
      </w:r>
      <w:r w:rsidRPr="002F1ACA">
        <w:rPr>
          <w:rFonts w:eastAsia="楷体"/>
          <w:b/>
          <w:bCs/>
          <w:color w:val="auto"/>
          <w:kern w:val="2"/>
          <w:sz w:val="21"/>
          <w:szCs w:val="21"/>
        </w:rPr>
        <w:t xml:space="preserve">f, </w:t>
      </w:r>
      <w:r w:rsidRPr="002F1ACA">
        <w:rPr>
          <w:rFonts w:eastAsia="楷体"/>
          <w:color w:val="auto"/>
          <w:kern w:val="2"/>
          <w:sz w:val="21"/>
          <w:szCs w:val="21"/>
        </w:rPr>
        <w:t>Representative flow cytometry plots of the percentage of CD45⁺ cells in tumor tissues, and</w:t>
      </w:r>
      <w:r w:rsidRPr="002F1ACA">
        <w:rPr>
          <w:rFonts w:eastAsia="楷体"/>
          <w:b/>
          <w:bCs/>
          <w:color w:val="auto"/>
          <w:kern w:val="2"/>
          <w:sz w:val="21"/>
          <w:szCs w:val="21"/>
        </w:rPr>
        <w:t xml:space="preserve"> (g) </w:t>
      </w:r>
      <w:r w:rsidRPr="002F1ACA">
        <w:rPr>
          <w:rFonts w:eastAsia="楷体"/>
          <w:color w:val="auto"/>
          <w:kern w:val="2"/>
          <w:sz w:val="21"/>
          <w:szCs w:val="21"/>
        </w:rPr>
        <w:t xml:space="preserve">quantitative analysis (n = 9 mice). </w:t>
      </w:r>
      <w:r w:rsidRPr="002F1ACA">
        <w:rPr>
          <w:rFonts w:eastAsia="楷体"/>
          <w:b/>
          <w:bCs/>
          <w:color w:val="auto"/>
          <w:kern w:val="2"/>
          <w:sz w:val="21"/>
          <w:szCs w:val="21"/>
        </w:rPr>
        <w:t>h,</w:t>
      </w:r>
      <w:r w:rsidRPr="002F1ACA">
        <w:rPr>
          <w:rFonts w:eastAsia="楷体"/>
          <w:color w:val="auto"/>
          <w:kern w:val="2"/>
          <w:sz w:val="21"/>
          <w:szCs w:val="21"/>
        </w:rPr>
        <w:t xml:space="preserve"> Percentages of CD45⁺CD4⁺CD69⁺ T cells in tumor tissues, with</w:t>
      </w:r>
      <w:r w:rsidRPr="002F1ACA">
        <w:rPr>
          <w:rFonts w:eastAsia="楷体"/>
          <w:b/>
          <w:bCs/>
          <w:color w:val="auto"/>
          <w:kern w:val="2"/>
          <w:sz w:val="21"/>
          <w:szCs w:val="21"/>
        </w:rPr>
        <w:t xml:space="preserve"> (i)</w:t>
      </w:r>
      <w:r w:rsidRPr="002F1ACA">
        <w:rPr>
          <w:rFonts w:eastAsia="楷体"/>
          <w:color w:val="auto"/>
          <w:kern w:val="2"/>
          <w:sz w:val="21"/>
          <w:szCs w:val="21"/>
        </w:rPr>
        <w:t xml:space="preserve"> statistical analysis (n = 9 mice).</w:t>
      </w:r>
      <w:r w:rsidRPr="002F1ACA">
        <w:rPr>
          <w:rFonts w:eastAsia="楷体" w:hint="eastAsia"/>
          <w:color w:val="auto"/>
          <w:kern w:val="2"/>
          <w:sz w:val="21"/>
          <w:szCs w:val="21"/>
        </w:rPr>
        <w:t xml:space="preserve"> </w:t>
      </w:r>
      <w:r w:rsidRPr="002F1ACA">
        <w:rPr>
          <w:rFonts w:eastAsia="楷体"/>
          <w:b/>
          <w:bCs/>
          <w:color w:val="auto"/>
          <w:kern w:val="2"/>
          <w:sz w:val="21"/>
          <w:szCs w:val="21"/>
        </w:rPr>
        <w:t xml:space="preserve">j, </w:t>
      </w:r>
      <w:r w:rsidRPr="002F1ACA">
        <w:rPr>
          <w:rFonts w:eastAsia="楷体"/>
          <w:color w:val="auto"/>
          <w:kern w:val="2"/>
          <w:sz w:val="21"/>
          <w:szCs w:val="21"/>
        </w:rPr>
        <w:t xml:space="preserve">Percentages of CD45⁺CD4⁺Ki67⁺ T cells in tumor tissues, with </w:t>
      </w:r>
      <w:r w:rsidRPr="002F1ACA">
        <w:rPr>
          <w:rFonts w:eastAsia="楷体"/>
          <w:b/>
          <w:bCs/>
          <w:color w:val="auto"/>
          <w:kern w:val="2"/>
          <w:sz w:val="21"/>
          <w:szCs w:val="21"/>
        </w:rPr>
        <w:t xml:space="preserve">(k) </w:t>
      </w:r>
      <w:r w:rsidRPr="002F1ACA">
        <w:rPr>
          <w:rFonts w:eastAsia="楷体"/>
          <w:color w:val="auto"/>
          <w:kern w:val="2"/>
          <w:sz w:val="21"/>
          <w:szCs w:val="21"/>
        </w:rPr>
        <w:t xml:space="preserve">statistical analysis (n = 9 mice). </w:t>
      </w:r>
      <w:r w:rsidRPr="002F1ACA">
        <w:rPr>
          <w:rFonts w:eastAsia="楷体"/>
          <w:b/>
          <w:bCs/>
          <w:color w:val="auto"/>
          <w:kern w:val="2"/>
          <w:sz w:val="21"/>
          <w:szCs w:val="21"/>
        </w:rPr>
        <w:t>l,</w:t>
      </w:r>
      <w:r w:rsidRPr="002F1ACA">
        <w:rPr>
          <w:color w:val="auto"/>
          <w:sz w:val="21"/>
          <w:szCs w:val="21"/>
        </w:rPr>
        <w:t xml:space="preserve"> </w:t>
      </w:r>
      <w:r w:rsidRPr="002F1ACA">
        <w:rPr>
          <w:rFonts w:eastAsia="楷体"/>
          <w:color w:val="auto"/>
          <w:kern w:val="2"/>
          <w:sz w:val="21"/>
          <w:szCs w:val="21"/>
        </w:rPr>
        <w:t xml:space="preserve">Flow cytometry analysis and quantification of CD45⁺CD4⁺CD25⁺FoxP3⁺ and CD45⁺CD4⁺FoxP3⁺ regulatory T cells (Tregs) in splenocytes (n = 9 mice). </w:t>
      </w:r>
      <w:r w:rsidRPr="002F1ACA">
        <w:rPr>
          <w:rFonts w:eastAsia="楷体"/>
          <w:b/>
          <w:bCs/>
          <w:color w:val="auto"/>
          <w:kern w:val="2"/>
          <w:sz w:val="21"/>
          <w:szCs w:val="21"/>
        </w:rPr>
        <w:t>n,</w:t>
      </w:r>
      <w:r w:rsidRPr="002F1ACA">
        <w:rPr>
          <w:rFonts w:eastAsia="楷体"/>
          <w:color w:val="auto"/>
          <w:kern w:val="2"/>
          <w:sz w:val="21"/>
          <w:szCs w:val="21"/>
        </w:rPr>
        <w:t xml:space="preserve"> Flow cytometry analysis of TNF-α, IFN-γ, IL-17A, and IL-4 production by CD4⁺ T cells in tumor tissues, with</w:t>
      </w:r>
      <w:r w:rsidRPr="002F1ACA">
        <w:rPr>
          <w:rFonts w:eastAsia="楷体"/>
          <w:b/>
          <w:bCs/>
          <w:color w:val="auto"/>
          <w:kern w:val="2"/>
          <w:sz w:val="21"/>
          <w:szCs w:val="21"/>
        </w:rPr>
        <w:t xml:space="preserve"> (o) </w:t>
      </w:r>
      <w:r w:rsidRPr="002F1ACA">
        <w:rPr>
          <w:rFonts w:eastAsia="楷体"/>
          <w:color w:val="auto"/>
          <w:kern w:val="2"/>
          <w:sz w:val="21"/>
          <w:szCs w:val="21"/>
        </w:rPr>
        <w:t>quantitative analysis (n = 9 mice). Data are presented as mean ± SD P values were determined by one-way ANOVA with Tukey’s post-hoc test. Source data are provided as a Source Data file.</w:t>
      </w:r>
    </w:p>
    <w:p w14:paraId="648F445B" w14:textId="77777777" w:rsidR="00836CBC" w:rsidRPr="002F1ACA" w:rsidRDefault="00836CBC" w:rsidP="00836CBC">
      <w:pPr>
        <w:pStyle w:val="SMHeading"/>
        <w:rPr>
          <w:rFonts w:eastAsia="楷体"/>
          <w:kern w:val="2"/>
          <w:sz w:val="21"/>
          <w:szCs w:val="21"/>
        </w:rPr>
      </w:pPr>
      <w:r>
        <w:rPr>
          <w:noProof/>
        </w:rPr>
        <w:lastRenderedPageBreak/>
        <w:drawing>
          <wp:inline distT="0" distB="0" distL="0" distR="0" wp14:anchorId="3D5CE2CB" wp14:editId="2F755180">
            <wp:extent cx="5486400" cy="7503160"/>
            <wp:effectExtent l="0" t="0" r="0" b="2540"/>
            <wp:docPr id="9051259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7503160"/>
                    </a:xfrm>
                    <a:prstGeom prst="rect">
                      <a:avLst/>
                    </a:prstGeom>
                    <a:noFill/>
                    <a:ln>
                      <a:noFill/>
                    </a:ln>
                  </pic:spPr>
                </pic:pic>
              </a:graphicData>
            </a:graphic>
          </wp:inline>
        </w:drawing>
      </w:r>
      <w:r w:rsidRPr="00300CB2">
        <w:t>Fig. S1</w:t>
      </w:r>
      <w:r>
        <w:rPr>
          <w:rFonts w:hint="eastAsia"/>
          <w:lang w:eastAsia="zh-CN"/>
        </w:rPr>
        <w:t>6</w:t>
      </w:r>
      <w:r w:rsidRPr="00300CB2">
        <w:rPr>
          <w:rFonts w:hint="eastAsia"/>
        </w:rPr>
        <w:t xml:space="preserve"> </w:t>
      </w:r>
      <w:r w:rsidRPr="00300CB2">
        <w:t>Deficiency of VSIG2 in mice inhibits pancreatic cancer progression.</w:t>
      </w:r>
    </w:p>
    <w:p w14:paraId="673E37CA" w14:textId="77777777" w:rsidR="00836CBC" w:rsidRPr="00403F57" w:rsidRDefault="00836CBC" w:rsidP="00836CBC">
      <w:pPr>
        <w:pStyle w:val="Default"/>
        <w:jc w:val="both"/>
        <w:rPr>
          <w:rFonts w:eastAsia="楷体"/>
          <w:sz w:val="21"/>
          <w:szCs w:val="21"/>
        </w:rPr>
      </w:pPr>
      <w:r w:rsidRPr="002F1ACA">
        <w:rPr>
          <w:rFonts w:eastAsia="楷体"/>
          <w:color w:val="auto"/>
          <w:kern w:val="2"/>
          <w:sz w:val="21"/>
          <w:szCs w:val="21"/>
        </w:rPr>
        <w:t xml:space="preserve">C57BL/6 wild-type (WT) and VSIG2⁻/⁻ mice were subcutaneously inoculated with 1×10⁶ Pan02 murine pancreatic cancer cells. Tumor growth was monitored daily by caliper measurements, and tumors/spleens were harvested on day 12 for analysis. </w:t>
      </w:r>
      <w:r w:rsidRPr="002F1ACA">
        <w:rPr>
          <w:rFonts w:eastAsia="楷体"/>
          <w:b/>
          <w:bCs/>
          <w:color w:val="auto"/>
          <w:kern w:val="2"/>
          <w:sz w:val="21"/>
          <w:szCs w:val="21"/>
        </w:rPr>
        <w:t>a,</w:t>
      </w:r>
      <w:r w:rsidRPr="002F1ACA">
        <w:rPr>
          <w:rFonts w:eastAsia="楷体"/>
          <w:color w:val="auto"/>
          <w:kern w:val="2"/>
          <w:sz w:val="21"/>
          <w:szCs w:val="21"/>
        </w:rPr>
        <w:t xml:space="preserve"> Representative images of tumors from both groups (n = 9 mice). </w:t>
      </w:r>
      <w:r w:rsidRPr="002F1ACA">
        <w:rPr>
          <w:rFonts w:eastAsia="楷体"/>
          <w:b/>
          <w:bCs/>
          <w:color w:val="auto"/>
          <w:kern w:val="2"/>
          <w:sz w:val="21"/>
          <w:szCs w:val="21"/>
        </w:rPr>
        <w:t xml:space="preserve">b, </w:t>
      </w:r>
      <w:r w:rsidRPr="002F1ACA">
        <w:rPr>
          <w:rFonts w:eastAsia="楷体"/>
          <w:color w:val="auto"/>
          <w:kern w:val="2"/>
          <w:sz w:val="21"/>
          <w:szCs w:val="21"/>
        </w:rPr>
        <w:t xml:space="preserve">Tumor volume over time in WT and VSIG2⁻/⁻ mice (n = 9 mice). </w:t>
      </w:r>
      <w:r w:rsidRPr="002F1ACA">
        <w:rPr>
          <w:rFonts w:eastAsia="楷体"/>
          <w:b/>
          <w:bCs/>
          <w:color w:val="auto"/>
          <w:kern w:val="2"/>
          <w:sz w:val="21"/>
          <w:szCs w:val="21"/>
        </w:rPr>
        <w:t>c,</w:t>
      </w:r>
      <w:r w:rsidRPr="002F1ACA">
        <w:rPr>
          <w:rFonts w:eastAsia="楷体"/>
          <w:color w:val="auto"/>
          <w:kern w:val="2"/>
          <w:sz w:val="21"/>
          <w:szCs w:val="21"/>
        </w:rPr>
        <w:t xml:space="preserve"> Comparison of tumor volume at day 12 (n = 9 mice). </w:t>
      </w:r>
      <w:r w:rsidRPr="002F1ACA">
        <w:rPr>
          <w:rFonts w:eastAsia="楷体"/>
          <w:b/>
          <w:bCs/>
          <w:color w:val="auto"/>
          <w:kern w:val="2"/>
          <w:sz w:val="21"/>
          <w:szCs w:val="21"/>
        </w:rPr>
        <w:t>d,</w:t>
      </w:r>
      <w:r w:rsidRPr="002F1ACA">
        <w:rPr>
          <w:rFonts w:eastAsia="楷体"/>
          <w:color w:val="auto"/>
          <w:kern w:val="2"/>
          <w:sz w:val="21"/>
          <w:szCs w:val="21"/>
        </w:rPr>
        <w:t xml:space="preserve"> Tumor weight comparison between groups </w:t>
      </w:r>
      <w:r w:rsidRPr="002F1ACA">
        <w:rPr>
          <w:rFonts w:eastAsia="楷体"/>
          <w:color w:val="auto"/>
          <w:kern w:val="2"/>
          <w:sz w:val="21"/>
          <w:szCs w:val="21"/>
        </w:rPr>
        <w:lastRenderedPageBreak/>
        <w:t xml:space="preserve">(n = 9 mice). </w:t>
      </w:r>
      <w:r w:rsidRPr="002F1ACA">
        <w:rPr>
          <w:rFonts w:eastAsia="楷体"/>
          <w:b/>
          <w:bCs/>
          <w:color w:val="auto"/>
          <w:kern w:val="2"/>
          <w:sz w:val="21"/>
          <w:szCs w:val="21"/>
        </w:rPr>
        <w:t xml:space="preserve">e, </w:t>
      </w:r>
      <w:r w:rsidRPr="002F1ACA">
        <w:rPr>
          <w:rFonts w:eastAsia="楷体"/>
          <w:color w:val="auto"/>
          <w:kern w:val="2"/>
          <w:sz w:val="21"/>
          <w:szCs w:val="21"/>
        </w:rPr>
        <w:t xml:space="preserve">H&amp;E staining of tumor sections from both groups (n = 6 mice). </w:t>
      </w:r>
      <w:r w:rsidRPr="002F1ACA">
        <w:rPr>
          <w:rFonts w:eastAsia="楷体"/>
          <w:b/>
          <w:bCs/>
          <w:color w:val="auto"/>
          <w:kern w:val="2"/>
          <w:sz w:val="21"/>
          <w:szCs w:val="21"/>
        </w:rPr>
        <w:t xml:space="preserve">f, </w:t>
      </w:r>
      <w:r w:rsidRPr="002F1ACA">
        <w:rPr>
          <w:rFonts w:eastAsia="楷体"/>
          <w:color w:val="auto"/>
          <w:kern w:val="2"/>
          <w:sz w:val="21"/>
          <w:szCs w:val="21"/>
        </w:rPr>
        <w:t xml:space="preserve">Representative flow cytometry plots of CD4⁺Ki67⁺ and CD8⁺Ki67⁺ T cell frequencies in tumor tissues, with </w:t>
      </w:r>
      <w:r w:rsidRPr="002F1ACA">
        <w:rPr>
          <w:rFonts w:eastAsia="楷体"/>
          <w:b/>
          <w:bCs/>
          <w:color w:val="auto"/>
          <w:kern w:val="2"/>
          <w:sz w:val="21"/>
          <w:szCs w:val="21"/>
        </w:rPr>
        <w:t>(g)</w:t>
      </w:r>
      <w:r w:rsidRPr="002F1ACA">
        <w:rPr>
          <w:rFonts w:eastAsia="楷体"/>
          <w:color w:val="auto"/>
          <w:kern w:val="2"/>
          <w:sz w:val="21"/>
          <w:szCs w:val="21"/>
        </w:rPr>
        <w:t xml:space="preserve"> quantitative analysis (n = 9 mice). </w:t>
      </w:r>
      <w:r w:rsidRPr="002F1ACA">
        <w:rPr>
          <w:rFonts w:eastAsia="楷体"/>
          <w:b/>
          <w:bCs/>
          <w:color w:val="auto"/>
          <w:kern w:val="2"/>
          <w:sz w:val="21"/>
          <w:szCs w:val="21"/>
        </w:rPr>
        <w:t>h,</w:t>
      </w:r>
      <w:r w:rsidRPr="002F1ACA">
        <w:rPr>
          <w:rFonts w:eastAsia="楷体"/>
          <w:color w:val="auto"/>
          <w:kern w:val="2"/>
          <w:sz w:val="21"/>
          <w:szCs w:val="21"/>
        </w:rPr>
        <w:t xml:space="preserve"> </w:t>
      </w:r>
      <w:r w:rsidRPr="002F1ACA">
        <w:rPr>
          <w:rFonts w:eastAsia="楷体"/>
          <w:color w:val="auto"/>
          <w:sz w:val="21"/>
          <w:szCs w:val="21"/>
        </w:rPr>
        <w:t xml:space="preserve">Flow cytometry analysis and quantification of CD45⁺CD4⁺CD25⁺FoxP3⁺ and CD45⁺CD4⁺FoxP3⁺ regulatory T cells (Tregs) in splenocytes (n = 9 mice). </w:t>
      </w:r>
      <w:r w:rsidRPr="002F1ACA">
        <w:rPr>
          <w:rFonts w:eastAsia="楷体"/>
          <w:b/>
          <w:bCs/>
          <w:color w:val="auto"/>
          <w:kern w:val="2"/>
          <w:sz w:val="21"/>
          <w:szCs w:val="21"/>
        </w:rPr>
        <w:t xml:space="preserve">j, </w:t>
      </w:r>
      <w:r w:rsidRPr="002F1ACA">
        <w:rPr>
          <w:rFonts w:eastAsia="楷体"/>
          <w:color w:val="auto"/>
          <w:kern w:val="2"/>
          <w:sz w:val="21"/>
          <w:szCs w:val="21"/>
        </w:rPr>
        <w:t xml:space="preserve">Flow cytometry analysis of TNF-α, IFN-γ, IL-17A, and IL-4 production by CD4⁺ T cells in tumor tissues, with k quantitative analysis (n = 9 mice). </w:t>
      </w:r>
      <w:r w:rsidRPr="002F1ACA">
        <w:rPr>
          <w:rFonts w:eastAsia="楷体"/>
          <w:b/>
          <w:bCs/>
          <w:color w:val="auto"/>
          <w:kern w:val="2"/>
          <w:sz w:val="21"/>
          <w:szCs w:val="21"/>
        </w:rPr>
        <w:t xml:space="preserve">l, </w:t>
      </w:r>
      <w:r w:rsidRPr="002F1ACA">
        <w:rPr>
          <w:rFonts w:eastAsia="楷体"/>
          <w:color w:val="auto"/>
          <w:kern w:val="2"/>
          <w:sz w:val="21"/>
          <w:szCs w:val="21"/>
        </w:rPr>
        <w:t xml:space="preserve">Representative flow cytometry plots of CD4⁺CD69⁺ and CD8⁺CD69⁺ T cells in spleens, with </w:t>
      </w:r>
      <w:r w:rsidRPr="002F1ACA">
        <w:rPr>
          <w:rFonts w:eastAsia="楷体"/>
          <w:b/>
          <w:bCs/>
          <w:color w:val="auto"/>
          <w:kern w:val="2"/>
          <w:sz w:val="21"/>
          <w:szCs w:val="21"/>
        </w:rPr>
        <w:t>(m)</w:t>
      </w:r>
      <w:r w:rsidRPr="002F1ACA">
        <w:rPr>
          <w:rFonts w:eastAsia="楷体"/>
          <w:color w:val="auto"/>
          <w:kern w:val="2"/>
          <w:sz w:val="21"/>
          <w:szCs w:val="21"/>
        </w:rPr>
        <w:t xml:space="preserve"> statistical comparisons (n = 9 mice). </w:t>
      </w:r>
      <w:r w:rsidRPr="002F1ACA">
        <w:rPr>
          <w:rFonts w:eastAsia="楷体"/>
          <w:b/>
          <w:bCs/>
          <w:color w:val="auto"/>
          <w:kern w:val="2"/>
          <w:sz w:val="21"/>
          <w:szCs w:val="21"/>
        </w:rPr>
        <w:t xml:space="preserve">n, </w:t>
      </w:r>
      <w:r w:rsidRPr="002F1ACA">
        <w:rPr>
          <w:rFonts w:eastAsia="楷体"/>
          <w:color w:val="auto"/>
          <w:kern w:val="2"/>
          <w:sz w:val="21"/>
          <w:szCs w:val="21"/>
        </w:rPr>
        <w:t>Flow cytometry analysis of CD44</w:t>
      </w:r>
      <w:r w:rsidRPr="002F1ACA">
        <w:rPr>
          <w:rFonts w:eastAsia="楷体"/>
          <w:color w:val="auto"/>
          <w:kern w:val="2"/>
          <w:sz w:val="21"/>
          <w:szCs w:val="21"/>
          <w:vertAlign w:val="superscript"/>
        </w:rPr>
        <w:t>lo</w:t>
      </w:r>
      <w:r w:rsidRPr="002F1ACA">
        <w:rPr>
          <w:rFonts w:eastAsia="楷体"/>
          <w:color w:val="auto"/>
          <w:kern w:val="2"/>
          <w:sz w:val="21"/>
          <w:szCs w:val="21"/>
        </w:rPr>
        <w:t>CD62L</w:t>
      </w:r>
      <w:r w:rsidRPr="002F1ACA">
        <w:rPr>
          <w:rFonts w:eastAsia="楷体"/>
          <w:color w:val="auto"/>
          <w:kern w:val="2"/>
          <w:sz w:val="21"/>
          <w:szCs w:val="21"/>
          <w:vertAlign w:val="superscript"/>
        </w:rPr>
        <w:t>hi</w:t>
      </w:r>
      <w:r w:rsidRPr="002F1ACA">
        <w:rPr>
          <w:rFonts w:eastAsia="楷体"/>
          <w:color w:val="auto"/>
          <w:kern w:val="2"/>
          <w:sz w:val="21"/>
          <w:szCs w:val="21"/>
        </w:rPr>
        <w:t xml:space="preserve"> naïve and CD44</w:t>
      </w:r>
      <w:r w:rsidRPr="002F1ACA">
        <w:rPr>
          <w:rFonts w:eastAsia="楷体"/>
          <w:color w:val="auto"/>
          <w:kern w:val="2"/>
          <w:sz w:val="21"/>
          <w:szCs w:val="21"/>
          <w:vertAlign w:val="superscript"/>
        </w:rPr>
        <w:t>hi</w:t>
      </w:r>
      <w:r w:rsidRPr="002F1ACA">
        <w:rPr>
          <w:rFonts w:eastAsia="楷体"/>
          <w:color w:val="auto"/>
          <w:kern w:val="2"/>
          <w:sz w:val="21"/>
          <w:szCs w:val="21"/>
        </w:rPr>
        <w:t>CD62L</w:t>
      </w:r>
      <w:r w:rsidRPr="002F1ACA">
        <w:rPr>
          <w:rFonts w:eastAsia="楷体"/>
          <w:color w:val="auto"/>
          <w:kern w:val="2"/>
          <w:sz w:val="21"/>
          <w:szCs w:val="21"/>
          <w:vertAlign w:val="superscript"/>
        </w:rPr>
        <w:t>lo</w:t>
      </w:r>
      <w:r w:rsidRPr="002F1ACA">
        <w:rPr>
          <w:rFonts w:eastAsia="楷体"/>
          <w:color w:val="auto"/>
          <w:kern w:val="2"/>
          <w:sz w:val="21"/>
          <w:szCs w:val="21"/>
        </w:rPr>
        <w:t xml:space="preserve"> effector memory CD4⁺ and CD8⁺ T cells in splenocytes, with</w:t>
      </w:r>
      <w:r w:rsidRPr="002F1ACA">
        <w:rPr>
          <w:rFonts w:eastAsia="楷体"/>
          <w:b/>
          <w:bCs/>
          <w:color w:val="auto"/>
          <w:kern w:val="2"/>
          <w:sz w:val="21"/>
          <w:szCs w:val="21"/>
        </w:rPr>
        <w:t xml:space="preserve"> (o)</w:t>
      </w:r>
      <w:r w:rsidRPr="002F1ACA">
        <w:rPr>
          <w:rFonts w:eastAsia="楷体"/>
          <w:color w:val="auto"/>
          <w:kern w:val="2"/>
          <w:sz w:val="21"/>
          <w:szCs w:val="21"/>
        </w:rPr>
        <w:t xml:space="preserve"> quantitative analysis (n = 9 mice). </w:t>
      </w:r>
      <w:r w:rsidRPr="002F1ACA">
        <w:rPr>
          <w:rFonts w:eastAsia="楷体"/>
          <w:b/>
          <w:bCs/>
          <w:color w:val="auto"/>
          <w:kern w:val="2"/>
          <w:sz w:val="21"/>
          <w:szCs w:val="21"/>
        </w:rPr>
        <w:t xml:space="preserve">p, </w:t>
      </w:r>
      <w:r w:rsidRPr="002F1ACA">
        <w:rPr>
          <w:rFonts w:eastAsia="楷体"/>
          <w:color w:val="auto"/>
          <w:kern w:val="2"/>
          <w:sz w:val="21"/>
          <w:szCs w:val="21"/>
        </w:rPr>
        <w:t xml:space="preserve">Representative flow cytometry plots of CD4⁺Ki67⁺ and CD8⁺Ki67⁺ T cells in spleens, with </w:t>
      </w:r>
      <w:r w:rsidRPr="002F1ACA">
        <w:rPr>
          <w:rFonts w:eastAsia="楷体"/>
          <w:b/>
          <w:bCs/>
          <w:color w:val="auto"/>
          <w:kern w:val="2"/>
          <w:sz w:val="21"/>
          <w:szCs w:val="21"/>
        </w:rPr>
        <w:t xml:space="preserve">(q) </w:t>
      </w:r>
      <w:r w:rsidRPr="002F1ACA">
        <w:rPr>
          <w:rFonts w:eastAsia="楷体"/>
          <w:color w:val="auto"/>
          <w:kern w:val="2"/>
          <w:sz w:val="21"/>
          <w:szCs w:val="21"/>
        </w:rPr>
        <w:t xml:space="preserve">statistical analysis (n = 9 mice). </w:t>
      </w:r>
      <w:r w:rsidRPr="002F1ACA">
        <w:rPr>
          <w:rFonts w:eastAsia="楷体"/>
          <w:b/>
          <w:bCs/>
          <w:color w:val="auto"/>
          <w:kern w:val="2"/>
          <w:sz w:val="21"/>
          <w:szCs w:val="21"/>
        </w:rPr>
        <w:t xml:space="preserve">r, </w:t>
      </w:r>
      <w:r w:rsidRPr="002F1ACA">
        <w:rPr>
          <w:rFonts w:eastAsia="楷体"/>
          <w:color w:val="auto"/>
          <w:kern w:val="2"/>
          <w:sz w:val="21"/>
          <w:szCs w:val="21"/>
        </w:rPr>
        <w:t>Percentages of CD4⁺CD25⁺FoxP3⁺ Tregs in spleens, with</w:t>
      </w:r>
      <w:r w:rsidRPr="002F1ACA">
        <w:rPr>
          <w:rFonts w:eastAsia="楷体"/>
          <w:b/>
          <w:bCs/>
          <w:color w:val="auto"/>
          <w:kern w:val="2"/>
          <w:sz w:val="21"/>
          <w:szCs w:val="21"/>
        </w:rPr>
        <w:t xml:space="preserve"> (s) </w:t>
      </w:r>
      <w:r w:rsidRPr="002F1ACA">
        <w:rPr>
          <w:rFonts w:eastAsia="楷体"/>
          <w:color w:val="auto"/>
          <w:kern w:val="2"/>
          <w:sz w:val="21"/>
          <w:szCs w:val="21"/>
        </w:rPr>
        <w:t>statistical analysis (n = 9 mice). Data are presented as mean ± SD. Statistical significance was assessed by two-sided Student’s t test. Source data are provided as a Source Data file.</w:t>
      </w:r>
      <w:r w:rsidRPr="002F1ACA">
        <w:rPr>
          <w:sz w:val="21"/>
          <w:szCs w:val="21"/>
        </w:rPr>
        <w:t xml:space="preserve"> </w:t>
      </w:r>
      <w:r>
        <w:rPr>
          <w:noProof/>
        </w:rPr>
        <w:drawing>
          <wp:inline distT="0" distB="0" distL="0" distR="0" wp14:anchorId="42C4677A" wp14:editId="03C29435">
            <wp:extent cx="5346220" cy="3786335"/>
            <wp:effectExtent l="0" t="0" r="6985" b="5080"/>
            <wp:docPr id="94458061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1489" cy="3790066"/>
                    </a:xfrm>
                    <a:prstGeom prst="rect">
                      <a:avLst/>
                    </a:prstGeom>
                    <a:noFill/>
                    <a:ln>
                      <a:noFill/>
                    </a:ln>
                  </pic:spPr>
                </pic:pic>
              </a:graphicData>
            </a:graphic>
          </wp:inline>
        </w:drawing>
      </w:r>
    </w:p>
    <w:p w14:paraId="58EF2D54" w14:textId="77777777" w:rsidR="00836CBC" w:rsidRPr="002F1ACA" w:rsidRDefault="00836CBC" w:rsidP="00836CBC">
      <w:pPr>
        <w:pStyle w:val="SMHeading"/>
        <w:jc w:val="both"/>
        <w:rPr>
          <w:b w:val="0"/>
          <w:bCs w:val="0"/>
          <w:sz w:val="21"/>
          <w:szCs w:val="21"/>
        </w:rPr>
      </w:pPr>
      <w:r w:rsidRPr="00300CB2">
        <w:t>Fig. S1</w:t>
      </w:r>
      <w:r w:rsidRPr="00300CB2">
        <w:rPr>
          <w:rFonts w:hint="eastAsia"/>
        </w:rPr>
        <w:t>7</w:t>
      </w:r>
      <w:r w:rsidRPr="00300CB2">
        <w:t xml:space="preserve"> Effect of hVSIG2-Ig on T cell apoptosis/death.</w:t>
      </w:r>
    </w:p>
    <w:p w14:paraId="6AAACD66" w14:textId="77777777" w:rsidR="00836CBC" w:rsidRPr="002F1ACA" w:rsidRDefault="00836CBC" w:rsidP="00836CBC">
      <w:pPr>
        <w:pStyle w:val="Default"/>
        <w:jc w:val="both"/>
        <w:rPr>
          <w:sz w:val="21"/>
          <w:szCs w:val="21"/>
        </w:rPr>
      </w:pPr>
      <w:r w:rsidRPr="002F1ACA">
        <w:rPr>
          <w:color w:val="auto"/>
          <w:sz w:val="21"/>
          <w:szCs w:val="21"/>
        </w:rPr>
        <w:t>C57BL</w:t>
      </w:r>
      <w:r w:rsidRPr="00482796">
        <w:rPr>
          <w:color w:val="auto"/>
          <w:sz w:val="21"/>
          <w:szCs w:val="21"/>
        </w:rPr>
        <w:t>/6 mouse splenocytes were cultured on pre-coated plates for thre</w:t>
      </w:r>
      <w:r w:rsidRPr="00482796">
        <w:rPr>
          <w:sz w:val="21"/>
          <w:szCs w:val="21"/>
        </w:rPr>
        <w:t xml:space="preserve">e days. The plates were coated with PBS, anti-CD3/CD28 antibodies (1 μg/ml and 0.5 μg/ml) or escalating doses of hVSIG2-Ig (1.6 μg/ml, 3.2 μg/ml and 6.4 μg/ml). Jurkat cells with lentiviral Nectin2 knockdown were cultured on plates coated with PBS, anti-CD3/CD28 antibodies (1 μg/ml/0.5 μg/ml) or 6.4 μg/ml of hVSIG2-Ig for 3 days </w:t>
      </w:r>
      <w:r w:rsidRPr="00482796">
        <w:rPr>
          <w:rFonts w:eastAsia="楷体"/>
          <w:sz w:val="21"/>
          <w:szCs w:val="21"/>
          <w:shd w:val="clear" w:color="auto" w:fill="FFFFFF"/>
        </w:rPr>
        <w:t>(n =3 independent experiments)</w:t>
      </w:r>
      <w:r w:rsidRPr="00482796">
        <w:rPr>
          <w:sz w:val="21"/>
          <w:szCs w:val="21"/>
        </w:rPr>
        <w:t xml:space="preserve">. </w:t>
      </w:r>
      <w:r w:rsidRPr="00482796">
        <w:rPr>
          <w:b/>
          <w:bCs/>
          <w:sz w:val="21"/>
          <w:szCs w:val="21"/>
        </w:rPr>
        <w:t xml:space="preserve">a, </w:t>
      </w:r>
      <w:r w:rsidRPr="00482796">
        <w:rPr>
          <w:sz w:val="21"/>
          <w:szCs w:val="21"/>
        </w:rPr>
        <w:t xml:space="preserve">Flow cytometry analysis of the effect of hVSIG2-Ig on apoptosis/death of primary T cells in mouse spleen: representative flow cytometric plots and quantitative statistical results (showing the proportion of apoptotic/dead cells in different treatment groups) </w:t>
      </w:r>
      <w:r w:rsidRPr="00482796">
        <w:rPr>
          <w:rFonts w:eastAsia="楷体"/>
          <w:sz w:val="21"/>
          <w:szCs w:val="21"/>
          <w:shd w:val="clear" w:color="auto" w:fill="FFFFFF"/>
        </w:rPr>
        <w:t>(n =3 independent experiments)</w:t>
      </w:r>
      <w:r w:rsidRPr="00482796">
        <w:rPr>
          <w:sz w:val="21"/>
          <w:szCs w:val="21"/>
        </w:rPr>
        <w:t xml:space="preserve">. </w:t>
      </w:r>
      <w:r w:rsidRPr="00482796">
        <w:rPr>
          <w:b/>
          <w:bCs/>
          <w:sz w:val="21"/>
          <w:szCs w:val="21"/>
        </w:rPr>
        <w:t xml:space="preserve">b, </w:t>
      </w:r>
      <w:r w:rsidRPr="00482796">
        <w:rPr>
          <w:sz w:val="21"/>
          <w:szCs w:val="21"/>
        </w:rPr>
        <w:t xml:space="preserve">Flow cytometry analysis of the effect of hVSIG2-Ig on apoptosis/death of Jurkat cells: representative flow cytometric plots and </w:t>
      </w:r>
      <w:r w:rsidRPr="00482796">
        <w:rPr>
          <w:sz w:val="21"/>
          <w:szCs w:val="21"/>
        </w:rPr>
        <w:lastRenderedPageBreak/>
        <w:t>quantitative statistical results (showing the proportion of apoptotic/dead cells in different treatment groups).</w:t>
      </w:r>
      <w:r w:rsidRPr="00482796">
        <w:rPr>
          <w:rFonts w:eastAsia="楷体"/>
          <w:sz w:val="21"/>
          <w:szCs w:val="21"/>
          <w:shd w:val="clear" w:color="auto" w:fill="FFFFFF"/>
        </w:rPr>
        <w:t xml:space="preserve"> Data are presented as mean ± SD. Statistical significance was assessed by two-way ANOVA with Tukey's test. Source data are provided as a Source Data file.</w:t>
      </w:r>
    </w:p>
    <w:p w14:paraId="3596B2BF" w14:textId="77777777" w:rsidR="00836CBC" w:rsidRPr="002F1ACA" w:rsidRDefault="00836CBC" w:rsidP="00836CBC">
      <w:pPr>
        <w:pStyle w:val="Default"/>
        <w:jc w:val="both"/>
        <w:rPr>
          <w:sz w:val="21"/>
          <w:szCs w:val="21"/>
        </w:rPr>
      </w:pPr>
    </w:p>
    <w:p w14:paraId="71542A6B" w14:textId="77777777" w:rsidR="00836CBC" w:rsidRDefault="00836CBC" w:rsidP="00836CBC">
      <w:pPr>
        <w:pStyle w:val="Default"/>
        <w:jc w:val="both"/>
        <w:rPr>
          <w:b/>
          <w:bCs/>
          <w:sz w:val="21"/>
          <w:szCs w:val="21"/>
        </w:rPr>
      </w:pPr>
      <w:r>
        <w:rPr>
          <w:noProof/>
        </w:rPr>
        <w:drawing>
          <wp:inline distT="0" distB="0" distL="0" distR="0" wp14:anchorId="5ABC6369" wp14:editId="179FCA3C">
            <wp:extent cx="5521245" cy="4796287"/>
            <wp:effectExtent l="0" t="0" r="3810" b="4445"/>
            <wp:docPr id="16303298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24247" cy="4798895"/>
                    </a:xfrm>
                    <a:prstGeom prst="rect">
                      <a:avLst/>
                    </a:prstGeom>
                    <a:noFill/>
                    <a:ln>
                      <a:noFill/>
                    </a:ln>
                  </pic:spPr>
                </pic:pic>
              </a:graphicData>
            </a:graphic>
          </wp:inline>
        </w:drawing>
      </w:r>
    </w:p>
    <w:p w14:paraId="44EC2D54" w14:textId="77777777" w:rsidR="00836CBC" w:rsidRPr="00300CB2" w:rsidRDefault="00836CBC" w:rsidP="00836CBC">
      <w:pPr>
        <w:pStyle w:val="SMHeading"/>
        <w:jc w:val="both"/>
      </w:pPr>
      <w:r w:rsidRPr="00300CB2">
        <w:t>Fig. S1</w:t>
      </w:r>
      <w:r w:rsidRPr="00300CB2">
        <w:rPr>
          <w:rFonts w:hint="eastAsia"/>
        </w:rPr>
        <w:t>8</w:t>
      </w:r>
      <w:r w:rsidRPr="00300CB2">
        <w:t xml:space="preserve"> Schematic diagram of the regulation of T cell responses by the interaction between VSIG2 and Nectin-2</w:t>
      </w:r>
    </w:p>
    <w:p w14:paraId="3393BD11" w14:textId="77777777" w:rsidR="00836CBC" w:rsidRDefault="00836CBC" w:rsidP="00836CBC">
      <w:pPr>
        <w:pStyle w:val="Default"/>
        <w:jc w:val="both"/>
        <w:rPr>
          <w:rFonts w:eastAsia="楷体"/>
          <w:sz w:val="21"/>
          <w:szCs w:val="21"/>
        </w:rPr>
      </w:pPr>
      <w:r w:rsidRPr="002F1ACA">
        <w:rPr>
          <w:color w:val="auto"/>
          <w:sz w:val="21"/>
          <w:szCs w:val="21"/>
        </w:rPr>
        <w:t>This schematic illustrates the regulatory mechani</w:t>
      </w:r>
      <w:r w:rsidRPr="002F1ACA">
        <w:rPr>
          <w:rFonts w:eastAsia="楷体"/>
          <w:sz w:val="21"/>
          <w:szCs w:val="21"/>
        </w:rPr>
        <w:t xml:space="preserve">sm of T cell responses mediated by the interaction between the coinhibitory ligand VSIG2 on antigen-presenting cells and the receptor Nectin-2 on T cells. </w:t>
      </w:r>
      <w:r w:rsidRPr="002F1ACA">
        <w:rPr>
          <w:rFonts w:eastAsia="楷体"/>
          <w:b/>
          <w:bCs/>
          <w:sz w:val="21"/>
          <w:szCs w:val="21"/>
        </w:rPr>
        <w:t>a,</w:t>
      </w:r>
      <w:r w:rsidRPr="002F1ACA">
        <w:rPr>
          <w:rFonts w:eastAsia="楷体"/>
          <w:sz w:val="21"/>
          <w:szCs w:val="21"/>
        </w:rPr>
        <w:t xml:space="preserve"> Binding of VSIG2 to Nectin-2 inhibits the STAT1-IRF1-GBP2 signaling axis, leading to the down-regulation of GBP2 and pro-inflammatory cytokine expression, and ultimately inhibiting T-cell activation, proliferation and cytokine secretion.</w:t>
      </w:r>
      <w:r w:rsidRPr="002F1ACA">
        <w:rPr>
          <w:sz w:val="21"/>
          <w:szCs w:val="21"/>
        </w:rPr>
        <w:t xml:space="preserve"> </w:t>
      </w:r>
      <w:r w:rsidRPr="002F1ACA">
        <w:rPr>
          <w:rFonts w:eastAsia="楷体"/>
          <w:b/>
          <w:bCs/>
          <w:sz w:val="21"/>
          <w:szCs w:val="21"/>
        </w:rPr>
        <w:t>b,</w:t>
      </w:r>
      <w:r w:rsidRPr="002F1ACA">
        <w:rPr>
          <w:rFonts w:eastAsia="楷体"/>
          <w:sz w:val="21"/>
          <w:szCs w:val="21"/>
        </w:rPr>
        <w:t xml:space="preserve"> in autoimmune diseases (EAE), VSIG2 inhibits TCR-mediated T-cell activation, induces immune tolerance, and thus attenuates the neuroinflammatory responses in EAE mice. </w:t>
      </w:r>
      <w:r w:rsidRPr="002F1ACA">
        <w:rPr>
          <w:rFonts w:eastAsia="楷体"/>
          <w:b/>
          <w:bCs/>
          <w:sz w:val="21"/>
          <w:szCs w:val="21"/>
        </w:rPr>
        <w:t xml:space="preserve">c, </w:t>
      </w:r>
      <w:r w:rsidRPr="002F1ACA">
        <w:rPr>
          <w:rFonts w:eastAsia="楷体"/>
          <w:sz w:val="21"/>
          <w:szCs w:val="21"/>
        </w:rPr>
        <w:t xml:space="preserve">in pancreatic cancer, anti-VSIG2 antibody activates T cell function and promotes immune surveillance, thereby inhibiting tumor progression. </w:t>
      </w:r>
    </w:p>
    <w:p w14:paraId="45C90EF1" w14:textId="77777777" w:rsidR="00836CBC" w:rsidRPr="002F1ACA" w:rsidRDefault="00836CBC" w:rsidP="00836CBC">
      <w:pPr>
        <w:pStyle w:val="Default"/>
        <w:jc w:val="both"/>
        <w:rPr>
          <w:rFonts w:eastAsia="楷体"/>
          <w:sz w:val="21"/>
          <w:szCs w:val="21"/>
        </w:rPr>
      </w:pPr>
    </w:p>
    <w:p w14:paraId="4D4EFE41" w14:textId="77777777" w:rsidR="00836CBC" w:rsidRPr="004F6126" w:rsidRDefault="00836CBC" w:rsidP="00836CBC">
      <w:pPr>
        <w:pStyle w:val="SMHeading"/>
        <w:jc w:val="both"/>
        <w:rPr>
          <w:szCs w:val="21"/>
          <w:lang w:eastAsia="zh-CN"/>
        </w:rPr>
      </w:pPr>
      <w:bookmarkStart w:id="6" w:name="OLE_LINK2"/>
      <w:bookmarkStart w:id="7" w:name="_Hlk208582994"/>
      <w:r>
        <w:lastRenderedPageBreak/>
        <w:t>Table</w:t>
      </w:r>
      <w:bookmarkEnd w:id="6"/>
      <w:r>
        <w:t xml:space="preserve"> S1</w:t>
      </w:r>
      <w:bookmarkEnd w:id="7"/>
      <w:r>
        <w:t>.</w:t>
      </w:r>
      <w:r w:rsidRPr="00052A0D">
        <w:rPr>
          <w:szCs w:val="21"/>
        </w:rPr>
        <w:t xml:space="preserve"> The accession numbers and CD numbers for the mouse molecules used for the </w:t>
      </w:r>
      <w:r w:rsidRPr="002136FD">
        <w:t>alignment</w:t>
      </w:r>
      <w:r w:rsidRPr="00052A0D">
        <w:rPr>
          <w:szCs w:val="21"/>
        </w:rPr>
        <w:t xml:space="preserve"> in Figure 1</w:t>
      </w:r>
    </w:p>
    <w:tbl>
      <w:tblPr>
        <w:tblW w:w="8527"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998"/>
        <w:gridCol w:w="2552"/>
        <w:gridCol w:w="2977"/>
      </w:tblGrid>
      <w:tr w:rsidR="00836CBC" w:rsidRPr="00052A0D" w14:paraId="0FD788CE"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6A7CE11F" w14:textId="77777777" w:rsidR="00836CBC" w:rsidRPr="00052A0D" w:rsidRDefault="00836CBC" w:rsidP="00814EA1">
            <w:pPr>
              <w:pStyle w:val="Default"/>
              <w:jc w:val="both"/>
              <w:rPr>
                <w:sz w:val="21"/>
                <w:szCs w:val="21"/>
              </w:rPr>
            </w:pPr>
            <w:r w:rsidRPr="00052A0D">
              <w:rPr>
                <w:sz w:val="21"/>
                <w:szCs w:val="21"/>
              </w:rPr>
              <w:t xml:space="preserve"> Name of molecule </w:t>
            </w:r>
          </w:p>
        </w:tc>
        <w:tc>
          <w:tcPr>
            <w:tcW w:w="2552" w:type="dxa"/>
            <w:tcBorders>
              <w:top w:val="single" w:sz="4" w:space="0" w:color="auto"/>
              <w:left w:val="single" w:sz="4" w:space="0" w:color="auto"/>
              <w:bottom w:val="single" w:sz="4" w:space="0" w:color="auto"/>
              <w:right w:val="single" w:sz="4" w:space="0" w:color="auto"/>
            </w:tcBorders>
          </w:tcPr>
          <w:p w14:paraId="53D5567A" w14:textId="77777777" w:rsidR="00836CBC" w:rsidRPr="00052A0D" w:rsidRDefault="00836CBC" w:rsidP="00814EA1">
            <w:pPr>
              <w:pStyle w:val="Default"/>
              <w:jc w:val="both"/>
              <w:rPr>
                <w:sz w:val="21"/>
                <w:szCs w:val="21"/>
              </w:rPr>
            </w:pPr>
            <w:r w:rsidRPr="00052A0D">
              <w:rPr>
                <w:sz w:val="21"/>
                <w:szCs w:val="21"/>
              </w:rPr>
              <w:t xml:space="preserve">CD number </w:t>
            </w:r>
          </w:p>
        </w:tc>
        <w:tc>
          <w:tcPr>
            <w:tcW w:w="2977" w:type="dxa"/>
            <w:tcBorders>
              <w:top w:val="single" w:sz="4" w:space="0" w:color="auto"/>
              <w:left w:val="single" w:sz="4" w:space="0" w:color="auto"/>
              <w:bottom w:val="single" w:sz="4" w:space="0" w:color="auto"/>
              <w:right w:val="single" w:sz="4" w:space="0" w:color="auto"/>
            </w:tcBorders>
          </w:tcPr>
          <w:p w14:paraId="3A635598" w14:textId="77777777" w:rsidR="00836CBC" w:rsidRPr="00052A0D" w:rsidRDefault="00836CBC" w:rsidP="00814EA1">
            <w:pPr>
              <w:pStyle w:val="Default"/>
              <w:jc w:val="both"/>
              <w:rPr>
                <w:sz w:val="21"/>
                <w:szCs w:val="21"/>
              </w:rPr>
            </w:pPr>
            <w:r w:rsidRPr="00052A0D">
              <w:rPr>
                <w:sz w:val="21"/>
                <w:szCs w:val="21"/>
              </w:rPr>
              <w:t xml:space="preserve">Accession number </w:t>
            </w:r>
          </w:p>
        </w:tc>
      </w:tr>
      <w:tr w:rsidR="00836CBC" w:rsidRPr="00052A0D" w14:paraId="4A853D4E"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5AA7FF7B" w14:textId="77777777" w:rsidR="00836CBC" w:rsidRPr="00052A0D" w:rsidRDefault="00836CBC" w:rsidP="00814EA1">
            <w:pPr>
              <w:pStyle w:val="Default"/>
              <w:jc w:val="both"/>
              <w:rPr>
                <w:sz w:val="21"/>
                <w:szCs w:val="21"/>
              </w:rPr>
            </w:pPr>
            <w:r w:rsidRPr="00052A0D">
              <w:rPr>
                <w:sz w:val="21"/>
                <w:szCs w:val="21"/>
              </w:rPr>
              <w:t>VSIG2</w:t>
            </w:r>
          </w:p>
        </w:tc>
        <w:tc>
          <w:tcPr>
            <w:tcW w:w="2552" w:type="dxa"/>
            <w:tcBorders>
              <w:top w:val="single" w:sz="4" w:space="0" w:color="auto"/>
              <w:left w:val="single" w:sz="4" w:space="0" w:color="auto"/>
              <w:bottom w:val="single" w:sz="4" w:space="0" w:color="auto"/>
              <w:right w:val="single" w:sz="4" w:space="0" w:color="auto"/>
            </w:tcBorders>
          </w:tcPr>
          <w:p w14:paraId="7A00F7CF" w14:textId="77777777" w:rsidR="00836CBC" w:rsidRPr="00052A0D" w:rsidRDefault="00836CBC" w:rsidP="00814EA1">
            <w:pPr>
              <w:pStyle w:val="Default"/>
              <w:jc w:val="both"/>
              <w:rPr>
                <w:sz w:val="21"/>
                <w:szCs w:val="21"/>
              </w:rPr>
            </w:pPr>
            <w:r w:rsidRPr="00052A0D">
              <w:rPr>
                <w:sz w:val="21"/>
                <w:szCs w:val="21"/>
              </w:rPr>
              <w:t xml:space="preserve">N/A </w:t>
            </w:r>
          </w:p>
        </w:tc>
        <w:tc>
          <w:tcPr>
            <w:tcW w:w="2977" w:type="dxa"/>
            <w:tcBorders>
              <w:top w:val="single" w:sz="4" w:space="0" w:color="auto"/>
              <w:left w:val="single" w:sz="4" w:space="0" w:color="auto"/>
              <w:bottom w:val="single" w:sz="4" w:space="0" w:color="auto"/>
              <w:right w:val="single" w:sz="4" w:space="0" w:color="auto"/>
            </w:tcBorders>
          </w:tcPr>
          <w:p w14:paraId="122FB025" w14:textId="77777777" w:rsidR="00836CBC" w:rsidRPr="00052A0D" w:rsidRDefault="00836CBC" w:rsidP="00814EA1">
            <w:pPr>
              <w:pStyle w:val="Default"/>
              <w:jc w:val="both"/>
              <w:rPr>
                <w:sz w:val="21"/>
                <w:szCs w:val="21"/>
              </w:rPr>
            </w:pPr>
            <w:r w:rsidRPr="00052A0D">
              <w:rPr>
                <w:sz w:val="21"/>
                <w:szCs w:val="21"/>
              </w:rPr>
              <w:t xml:space="preserve">NP_065264 </w:t>
            </w:r>
          </w:p>
        </w:tc>
      </w:tr>
      <w:tr w:rsidR="00836CBC" w:rsidRPr="00052A0D" w14:paraId="60749058"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748DA636" w14:textId="77777777" w:rsidR="00836CBC" w:rsidRPr="00052A0D" w:rsidRDefault="00836CBC" w:rsidP="00814EA1">
            <w:pPr>
              <w:pStyle w:val="Default"/>
              <w:jc w:val="both"/>
              <w:rPr>
                <w:sz w:val="21"/>
                <w:szCs w:val="21"/>
              </w:rPr>
            </w:pPr>
            <w:r w:rsidRPr="00052A0D">
              <w:rPr>
                <w:sz w:val="21"/>
                <w:szCs w:val="21"/>
              </w:rPr>
              <w:t xml:space="preserve">PD-L1 </w:t>
            </w:r>
          </w:p>
        </w:tc>
        <w:tc>
          <w:tcPr>
            <w:tcW w:w="2552" w:type="dxa"/>
            <w:tcBorders>
              <w:top w:val="single" w:sz="4" w:space="0" w:color="auto"/>
              <w:left w:val="single" w:sz="4" w:space="0" w:color="auto"/>
              <w:bottom w:val="single" w:sz="4" w:space="0" w:color="auto"/>
              <w:right w:val="single" w:sz="4" w:space="0" w:color="auto"/>
            </w:tcBorders>
          </w:tcPr>
          <w:p w14:paraId="792E4D64" w14:textId="77777777" w:rsidR="00836CBC" w:rsidRPr="00052A0D" w:rsidRDefault="00836CBC" w:rsidP="00814EA1">
            <w:pPr>
              <w:pStyle w:val="Default"/>
              <w:jc w:val="both"/>
              <w:rPr>
                <w:sz w:val="21"/>
                <w:szCs w:val="21"/>
              </w:rPr>
            </w:pPr>
            <w:r w:rsidRPr="00052A0D">
              <w:rPr>
                <w:sz w:val="21"/>
                <w:szCs w:val="21"/>
              </w:rPr>
              <w:t xml:space="preserve">CD274 </w:t>
            </w:r>
          </w:p>
        </w:tc>
        <w:tc>
          <w:tcPr>
            <w:tcW w:w="2977" w:type="dxa"/>
            <w:tcBorders>
              <w:top w:val="single" w:sz="4" w:space="0" w:color="auto"/>
              <w:left w:val="single" w:sz="4" w:space="0" w:color="auto"/>
              <w:bottom w:val="single" w:sz="4" w:space="0" w:color="auto"/>
              <w:right w:val="single" w:sz="4" w:space="0" w:color="auto"/>
            </w:tcBorders>
          </w:tcPr>
          <w:p w14:paraId="005BE533" w14:textId="77777777" w:rsidR="00836CBC" w:rsidRPr="00052A0D" w:rsidRDefault="00836CBC" w:rsidP="00814EA1">
            <w:pPr>
              <w:pStyle w:val="Default"/>
              <w:jc w:val="both"/>
              <w:rPr>
                <w:sz w:val="21"/>
                <w:szCs w:val="21"/>
              </w:rPr>
            </w:pPr>
            <w:r w:rsidRPr="00052A0D">
              <w:rPr>
                <w:sz w:val="21"/>
                <w:szCs w:val="21"/>
              </w:rPr>
              <w:t xml:space="preserve">NP_068693 </w:t>
            </w:r>
          </w:p>
        </w:tc>
      </w:tr>
      <w:tr w:rsidR="00836CBC" w:rsidRPr="00052A0D" w14:paraId="399C4C8E"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72D2705C" w14:textId="77777777" w:rsidR="00836CBC" w:rsidRPr="00052A0D" w:rsidRDefault="00836CBC" w:rsidP="00814EA1">
            <w:pPr>
              <w:pStyle w:val="Default"/>
              <w:jc w:val="both"/>
              <w:rPr>
                <w:sz w:val="21"/>
                <w:szCs w:val="21"/>
              </w:rPr>
            </w:pPr>
            <w:r w:rsidRPr="00052A0D">
              <w:rPr>
                <w:sz w:val="21"/>
                <w:szCs w:val="21"/>
              </w:rPr>
              <w:t xml:space="preserve">PD-L2 </w:t>
            </w:r>
          </w:p>
        </w:tc>
        <w:tc>
          <w:tcPr>
            <w:tcW w:w="2552" w:type="dxa"/>
            <w:tcBorders>
              <w:top w:val="single" w:sz="4" w:space="0" w:color="auto"/>
              <w:left w:val="single" w:sz="4" w:space="0" w:color="auto"/>
              <w:bottom w:val="single" w:sz="4" w:space="0" w:color="auto"/>
              <w:right w:val="single" w:sz="4" w:space="0" w:color="auto"/>
            </w:tcBorders>
          </w:tcPr>
          <w:p w14:paraId="0E2D7355" w14:textId="77777777" w:rsidR="00836CBC" w:rsidRPr="00052A0D" w:rsidRDefault="00836CBC" w:rsidP="00814EA1">
            <w:pPr>
              <w:pStyle w:val="Default"/>
              <w:jc w:val="both"/>
              <w:rPr>
                <w:sz w:val="21"/>
                <w:szCs w:val="21"/>
              </w:rPr>
            </w:pPr>
            <w:r w:rsidRPr="00052A0D">
              <w:rPr>
                <w:sz w:val="21"/>
                <w:szCs w:val="21"/>
              </w:rPr>
              <w:t xml:space="preserve">CD273 </w:t>
            </w:r>
          </w:p>
        </w:tc>
        <w:tc>
          <w:tcPr>
            <w:tcW w:w="2977" w:type="dxa"/>
            <w:tcBorders>
              <w:top w:val="single" w:sz="4" w:space="0" w:color="auto"/>
              <w:left w:val="single" w:sz="4" w:space="0" w:color="auto"/>
              <w:bottom w:val="single" w:sz="4" w:space="0" w:color="auto"/>
              <w:right w:val="single" w:sz="4" w:space="0" w:color="auto"/>
            </w:tcBorders>
          </w:tcPr>
          <w:p w14:paraId="00AE4BBD" w14:textId="77777777" w:rsidR="00836CBC" w:rsidRPr="00052A0D" w:rsidRDefault="00836CBC" w:rsidP="00814EA1">
            <w:pPr>
              <w:pStyle w:val="Default"/>
              <w:jc w:val="both"/>
              <w:rPr>
                <w:sz w:val="21"/>
                <w:szCs w:val="21"/>
              </w:rPr>
            </w:pPr>
            <w:r w:rsidRPr="00052A0D">
              <w:rPr>
                <w:sz w:val="21"/>
                <w:szCs w:val="21"/>
              </w:rPr>
              <w:t xml:space="preserve">NP_067371 </w:t>
            </w:r>
          </w:p>
        </w:tc>
      </w:tr>
      <w:tr w:rsidR="00836CBC" w:rsidRPr="00052A0D" w14:paraId="7EE26812"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3C31B496" w14:textId="77777777" w:rsidR="00836CBC" w:rsidRPr="00052A0D" w:rsidRDefault="00836CBC" w:rsidP="00814EA1">
            <w:pPr>
              <w:pStyle w:val="Default"/>
              <w:jc w:val="both"/>
              <w:rPr>
                <w:sz w:val="21"/>
                <w:szCs w:val="21"/>
              </w:rPr>
            </w:pPr>
            <w:r w:rsidRPr="00052A0D">
              <w:rPr>
                <w:sz w:val="21"/>
                <w:szCs w:val="21"/>
              </w:rPr>
              <w:t xml:space="preserve">B7-1 </w:t>
            </w:r>
          </w:p>
        </w:tc>
        <w:tc>
          <w:tcPr>
            <w:tcW w:w="2552" w:type="dxa"/>
            <w:tcBorders>
              <w:top w:val="single" w:sz="4" w:space="0" w:color="auto"/>
              <w:left w:val="single" w:sz="4" w:space="0" w:color="auto"/>
              <w:bottom w:val="single" w:sz="4" w:space="0" w:color="auto"/>
              <w:right w:val="single" w:sz="4" w:space="0" w:color="auto"/>
            </w:tcBorders>
          </w:tcPr>
          <w:p w14:paraId="59E9AAFE" w14:textId="77777777" w:rsidR="00836CBC" w:rsidRPr="00052A0D" w:rsidRDefault="00836CBC" w:rsidP="00814EA1">
            <w:pPr>
              <w:pStyle w:val="Default"/>
              <w:jc w:val="both"/>
              <w:rPr>
                <w:sz w:val="21"/>
                <w:szCs w:val="21"/>
              </w:rPr>
            </w:pPr>
            <w:r w:rsidRPr="00052A0D">
              <w:rPr>
                <w:sz w:val="21"/>
                <w:szCs w:val="21"/>
              </w:rPr>
              <w:t xml:space="preserve">CD80 </w:t>
            </w:r>
          </w:p>
        </w:tc>
        <w:tc>
          <w:tcPr>
            <w:tcW w:w="2977" w:type="dxa"/>
            <w:tcBorders>
              <w:top w:val="single" w:sz="4" w:space="0" w:color="auto"/>
              <w:left w:val="single" w:sz="4" w:space="0" w:color="auto"/>
              <w:bottom w:val="single" w:sz="4" w:space="0" w:color="auto"/>
              <w:right w:val="single" w:sz="4" w:space="0" w:color="auto"/>
            </w:tcBorders>
          </w:tcPr>
          <w:p w14:paraId="7451BD91" w14:textId="77777777" w:rsidR="00836CBC" w:rsidRPr="00052A0D" w:rsidRDefault="00836CBC" w:rsidP="00814EA1">
            <w:pPr>
              <w:pStyle w:val="Default"/>
              <w:jc w:val="both"/>
              <w:rPr>
                <w:sz w:val="21"/>
                <w:szCs w:val="21"/>
              </w:rPr>
            </w:pPr>
            <w:r w:rsidRPr="00052A0D">
              <w:rPr>
                <w:sz w:val="21"/>
                <w:szCs w:val="21"/>
              </w:rPr>
              <w:t xml:space="preserve">NP_033985 </w:t>
            </w:r>
          </w:p>
        </w:tc>
      </w:tr>
      <w:tr w:rsidR="00836CBC" w:rsidRPr="00052A0D" w14:paraId="36B93726"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4EBF793E" w14:textId="77777777" w:rsidR="00836CBC" w:rsidRPr="00052A0D" w:rsidRDefault="00836CBC" w:rsidP="00814EA1">
            <w:pPr>
              <w:pStyle w:val="Default"/>
              <w:jc w:val="both"/>
              <w:rPr>
                <w:sz w:val="21"/>
                <w:szCs w:val="21"/>
              </w:rPr>
            </w:pPr>
            <w:r w:rsidRPr="00052A0D">
              <w:rPr>
                <w:sz w:val="21"/>
                <w:szCs w:val="21"/>
              </w:rPr>
              <w:t xml:space="preserve">B7-2 </w:t>
            </w:r>
          </w:p>
        </w:tc>
        <w:tc>
          <w:tcPr>
            <w:tcW w:w="2552" w:type="dxa"/>
            <w:tcBorders>
              <w:top w:val="single" w:sz="4" w:space="0" w:color="auto"/>
              <w:left w:val="single" w:sz="4" w:space="0" w:color="auto"/>
              <w:bottom w:val="single" w:sz="4" w:space="0" w:color="auto"/>
              <w:right w:val="single" w:sz="4" w:space="0" w:color="auto"/>
            </w:tcBorders>
          </w:tcPr>
          <w:p w14:paraId="229B1F5C" w14:textId="77777777" w:rsidR="00836CBC" w:rsidRPr="00052A0D" w:rsidRDefault="00836CBC" w:rsidP="00814EA1">
            <w:pPr>
              <w:pStyle w:val="Default"/>
              <w:jc w:val="both"/>
              <w:rPr>
                <w:sz w:val="21"/>
                <w:szCs w:val="21"/>
              </w:rPr>
            </w:pPr>
            <w:r w:rsidRPr="00052A0D">
              <w:rPr>
                <w:sz w:val="21"/>
                <w:szCs w:val="21"/>
              </w:rPr>
              <w:t xml:space="preserve">CD86 </w:t>
            </w:r>
          </w:p>
        </w:tc>
        <w:tc>
          <w:tcPr>
            <w:tcW w:w="2977" w:type="dxa"/>
            <w:tcBorders>
              <w:top w:val="single" w:sz="4" w:space="0" w:color="auto"/>
              <w:left w:val="single" w:sz="4" w:space="0" w:color="auto"/>
              <w:bottom w:val="single" w:sz="4" w:space="0" w:color="auto"/>
              <w:right w:val="single" w:sz="4" w:space="0" w:color="auto"/>
            </w:tcBorders>
          </w:tcPr>
          <w:p w14:paraId="340ECC1D" w14:textId="77777777" w:rsidR="00836CBC" w:rsidRPr="00052A0D" w:rsidRDefault="00836CBC" w:rsidP="00814EA1">
            <w:pPr>
              <w:pStyle w:val="Default"/>
              <w:jc w:val="both"/>
              <w:rPr>
                <w:sz w:val="21"/>
                <w:szCs w:val="21"/>
              </w:rPr>
            </w:pPr>
            <w:r w:rsidRPr="00052A0D">
              <w:rPr>
                <w:sz w:val="21"/>
                <w:szCs w:val="21"/>
              </w:rPr>
              <w:t xml:space="preserve">NP_062261 </w:t>
            </w:r>
          </w:p>
        </w:tc>
      </w:tr>
      <w:tr w:rsidR="00836CBC" w:rsidRPr="00052A0D" w14:paraId="5163FEA1"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7A8572A2" w14:textId="77777777" w:rsidR="00836CBC" w:rsidRPr="00052A0D" w:rsidRDefault="00836CBC" w:rsidP="00814EA1">
            <w:pPr>
              <w:pStyle w:val="Default"/>
              <w:jc w:val="both"/>
              <w:rPr>
                <w:sz w:val="21"/>
                <w:szCs w:val="21"/>
              </w:rPr>
            </w:pPr>
            <w:r w:rsidRPr="00052A0D">
              <w:rPr>
                <w:sz w:val="21"/>
                <w:szCs w:val="21"/>
              </w:rPr>
              <w:t xml:space="preserve">B7-H2 </w:t>
            </w:r>
          </w:p>
        </w:tc>
        <w:tc>
          <w:tcPr>
            <w:tcW w:w="2552" w:type="dxa"/>
            <w:tcBorders>
              <w:top w:val="single" w:sz="4" w:space="0" w:color="auto"/>
              <w:left w:val="single" w:sz="4" w:space="0" w:color="auto"/>
              <w:bottom w:val="single" w:sz="4" w:space="0" w:color="auto"/>
              <w:right w:val="single" w:sz="4" w:space="0" w:color="auto"/>
            </w:tcBorders>
          </w:tcPr>
          <w:p w14:paraId="6C8BBC24" w14:textId="77777777" w:rsidR="00836CBC" w:rsidRPr="00052A0D" w:rsidRDefault="00836CBC" w:rsidP="00814EA1">
            <w:pPr>
              <w:pStyle w:val="Default"/>
              <w:jc w:val="both"/>
              <w:rPr>
                <w:sz w:val="21"/>
                <w:szCs w:val="21"/>
              </w:rPr>
            </w:pPr>
            <w:r w:rsidRPr="00052A0D">
              <w:rPr>
                <w:sz w:val="21"/>
                <w:szCs w:val="21"/>
              </w:rPr>
              <w:t xml:space="preserve">CD275 </w:t>
            </w:r>
          </w:p>
        </w:tc>
        <w:tc>
          <w:tcPr>
            <w:tcW w:w="2977" w:type="dxa"/>
            <w:tcBorders>
              <w:top w:val="single" w:sz="4" w:space="0" w:color="auto"/>
              <w:left w:val="single" w:sz="4" w:space="0" w:color="auto"/>
              <w:bottom w:val="single" w:sz="4" w:space="0" w:color="auto"/>
              <w:right w:val="single" w:sz="4" w:space="0" w:color="auto"/>
            </w:tcBorders>
          </w:tcPr>
          <w:p w14:paraId="47BDA4B1" w14:textId="77777777" w:rsidR="00836CBC" w:rsidRPr="00052A0D" w:rsidRDefault="00836CBC" w:rsidP="00814EA1">
            <w:pPr>
              <w:pStyle w:val="Default"/>
              <w:jc w:val="both"/>
              <w:rPr>
                <w:sz w:val="21"/>
                <w:szCs w:val="21"/>
              </w:rPr>
            </w:pPr>
            <w:r w:rsidRPr="00052A0D">
              <w:rPr>
                <w:sz w:val="21"/>
                <w:szCs w:val="21"/>
              </w:rPr>
              <w:t xml:space="preserve">NP_056605 </w:t>
            </w:r>
          </w:p>
        </w:tc>
      </w:tr>
      <w:tr w:rsidR="00836CBC" w:rsidRPr="00052A0D" w14:paraId="609EE3BF"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042C48A6" w14:textId="77777777" w:rsidR="00836CBC" w:rsidRPr="00052A0D" w:rsidRDefault="00836CBC" w:rsidP="00814EA1">
            <w:pPr>
              <w:pStyle w:val="Default"/>
              <w:jc w:val="both"/>
              <w:rPr>
                <w:sz w:val="21"/>
                <w:szCs w:val="21"/>
              </w:rPr>
            </w:pPr>
            <w:r w:rsidRPr="00052A0D">
              <w:rPr>
                <w:sz w:val="21"/>
                <w:szCs w:val="21"/>
              </w:rPr>
              <w:t xml:space="preserve">B7-H3 </w:t>
            </w:r>
          </w:p>
        </w:tc>
        <w:tc>
          <w:tcPr>
            <w:tcW w:w="2552" w:type="dxa"/>
            <w:tcBorders>
              <w:top w:val="single" w:sz="4" w:space="0" w:color="auto"/>
              <w:left w:val="single" w:sz="4" w:space="0" w:color="auto"/>
              <w:bottom w:val="single" w:sz="4" w:space="0" w:color="auto"/>
              <w:right w:val="single" w:sz="4" w:space="0" w:color="auto"/>
            </w:tcBorders>
          </w:tcPr>
          <w:p w14:paraId="31EBB9D5" w14:textId="77777777" w:rsidR="00836CBC" w:rsidRPr="00052A0D" w:rsidRDefault="00836CBC" w:rsidP="00814EA1">
            <w:pPr>
              <w:pStyle w:val="Default"/>
              <w:jc w:val="both"/>
              <w:rPr>
                <w:sz w:val="21"/>
                <w:szCs w:val="21"/>
              </w:rPr>
            </w:pPr>
            <w:r w:rsidRPr="00052A0D">
              <w:rPr>
                <w:sz w:val="21"/>
                <w:szCs w:val="21"/>
              </w:rPr>
              <w:t xml:space="preserve">CD276 </w:t>
            </w:r>
          </w:p>
        </w:tc>
        <w:tc>
          <w:tcPr>
            <w:tcW w:w="2977" w:type="dxa"/>
            <w:tcBorders>
              <w:top w:val="single" w:sz="4" w:space="0" w:color="auto"/>
              <w:left w:val="single" w:sz="4" w:space="0" w:color="auto"/>
              <w:bottom w:val="single" w:sz="4" w:space="0" w:color="auto"/>
              <w:right w:val="single" w:sz="4" w:space="0" w:color="auto"/>
            </w:tcBorders>
          </w:tcPr>
          <w:p w14:paraId="3B44FCB1" w14:textId="77777777" w:rsidR="00836CBC" w:rsidRPr="00052A0D" w:rsidRDefault="00836CBC" w:rsidP="00814EA1">
            <w:pPr>
              <w:pStyle w:val="Default"/>
              <w:jc w:val="both"/>
              <w:rPr>
                <w:sz w:val="21"/>
                <w:szCs w:val="21"/>
              </w:rPr>
            </w:pPr>
            <w:r w:rsidRPr="00052A0D">
              <w:rPr>
                <w:sz w:val="21"/>
                <w:szCs w:val="21"/>
              </w:rPr>
              <w:t xml:space="preserve">NP_598744 </w:t>
            </w:r>
          </w:p>
        </w:tc>
      </w:tr>
      <w:tr w:rsidR="00836CBC" w:rsidRPr="00052A0D" w14:paraId="03375AC4"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4A94013C" w14:textId="77777777" w:rsidR="00836CBC" w:rsidRPr="00052A0D" w:rsidRDefault="00836CBC" w:rsidP="00814EA1">
            <w:pPr>
              <w:pStyle w:val="Default"/>
              <w:jc w:val="both"/>
              <w:rPr>
                <w:sz w:val="21"/>
                <w:szCs w:val="21"/>
              </w:rPr>
            </w:pPr>
            <w:r w:rsidRPr="00052A0D">
              <w:rPr>
                <w:sz w:val="21"/>
                <w:szCs w:val="21"/>
              </w:rPr>
              <w:t xml:space="preserve">B7-H4 </w:t>
            </w:r>
          </w:p>
        </w:tc>
        <w:tc>
          <w:tcPr>
            <w:tcW w:w="2552" w:type="dxa"/>
            <w:tcBorders>
              <w:top w:val="single" w:sz="4" w:space="0" w:color="auto"/>
              <w:left w:val="single" w:sz="4" w:space="0" w:color="auto"/>
              <w:bottom w:val="single" w:sz="4" w:space="0" w:color="auto"/>
              <w:right w:val="single" w:sz="4" w:space="0" w:color="auto"/>
            </w:tcBorders>
          </w:tcPr>
          <w:p w14:paraId="2B003563" w14:textId="77777777" w:rsidR="00836CBC" w:rsidRPr="00052A0D" w:rsidRDefault="00836CBC" w:rsidP="00814EA1">
            <w:pPr>
              <w:pStyle w:val="Default"/>
              <w:jc w:val="both"/>
              <w:rPr>
                <w:sz w:val="21"/>
                <w:szCs w:val="21"/>
              </w:rPr>
            </w:pPr>
            <w:r w:rsidRPr="00052A0D">
              <w:rPr>
                <w:sz w:val="21"/>
                <w:szCs w:val="21"/>
              </w:rPr>
              <w:t xml:space="preserve">N/A </w:t>
            </w:r>
          </w:p>
        </w:tc>
        <w:tc>
          <w:tcPr>
            <w:tcW w:w="2977" w:type="dxa"/>
            <w:tcBorders>
              <w:top w:val="single" w:sz="4" w:space="0" w:color="auto"/>
              <w:left w:val="single" w:sz="4" w:space="0" w:color="auto"/>
              <w:bottom w:val="single" w:sz="4" w:space="0" w:color="auto"/>
              <w:right w:val="single" w:sz="4" w:space="0" w:color="auto"/>
            </w:tcBorders>
          </w:tcPr>
          <w:p w14:paraId="420CE198" w14:textId="77777777" w:rsidR="00836CBC" w:rsidRPr="00052A0D" w:rsidRDefault="00836CBC" w:rsidP="00814EA1">
            <w:pPr>
              <w:pStyle w:val="Default"/>
              <w:jc w:val="both"/>
              <w:rPr>
                <w:sz w:val="21"/>
                <w:szCs w:val="21"/>
              </w:rPr>
            </w:pPr>
            <w:r w:rsidRPr="00052A0D">
              <w:rPr>
                <w:sz w:val="21"/>
                <w:szCs w:val="21"/>
              </w:rPr>
              <w:t xml:space="preserve">NP_848709 </w:t>
            </w:r>
          </w:p>
        </w:tc>
      </w:tr>
      <w:tr w:rsidR="00836CBC" w:rsidRPr="00052A0D" w14:paraId="188D9602"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7DA1BCCF" w14:textId="77777777" w:rsidR="00836CBC" w:rsidRPr="00052A0D" w:rsidRDefault="00836CBC" w:rsidP="00814EA1">
            <w:pPr>
              <w:pStyle w:val="Default"/>
              <w:jc w:val="both"/>
              <w:rPr>
                <w:sz w:val="21"/>
                <w:szCs w:val="21"/>
              </w:rPr>
            </w:pPr>
            <w:r w:rsidRPr="00052A0D">
              <w:rPr>
                <w:sz w:val="21"/>
                <w:szCs w:val="21"/>
              </w:rPr>
              <w:t xml:space="preserve">BTN1A1 </w:t>
            </w:r>
          </w:p>
        </w:tc>
        <w:tc>
          <w:tcPr>
            <w:tcW w:w="2552" w:type="dxa"/>
            <w:tcBorders>
              <w:top w:val="single" w:sz="4" w:space="0" w:color="auto"/>
              <w:left w:val="single" w:sz="4" w:space="0" w:color="auto"/>
              <w:bottom w:val="single" w:sz="4" w:space="0" w:color="auto"/>
              <w:right w:val="single" w:sz="4" w:space="0" w:color="auto"/>
            </w:tcBorders>
          </w:tcPr>
          <w:p w14:paraId="40D54677" w14:textId="77777777" w:rsidR="00836CBC" w:rsidRPr="00052A0D" w:rsidRDefault="00836CBC" w:rsidP="00814EA1">
            <w:pPr>
              <w:pStyle w:val="Default"/>
              <w:jc w:val="both"/>
              <w:rPr>
                <w:sz w:val="21"/>
                <w:szCs w:val="21"/>
              </w:rPr>
            </w:pPr>
            <w:r w:rsidRPr="00052A0D">
              <w:rPr>
                <w:sz w:val="21"/>
                <w:szCs w:val="21"/>
              </w:rPr>
              <w:t xml:space="preserve">N/A </w:t>
            </w:r>
          </w:p>
        </w:tc>
        <w:tc>
          <w:tcPr>
            <w:tcW w:w="2977" w:type="dxa"/>
            <w:tcBorders>
              <w:top w:val="single" w:sz="4" w:space="0" w:color="auto"/>
              <w:left w:val="single" w:sz="4" w:space="0" w:color="auto"/>
              <w:bottom w:val="single" w:sz="4" w:space="0" w:color="auto"/>
              <w:right w:val="single" w:sz="4" w:space="0" w:color="auto"/>
            </w:tcBorders>
          </w:tcPr>
          <w:p w14:paraId="50FD17F9" w14:textId="77777777" w:rsidR="00836CBC" w:rsidRPr="00052A0D" w:rsidRDefault="00836CBC" w:rsidP="00814EA1">
            <w:pPr>
              <w:pStyle w:val="Default"/>
              <w:jc w:val="both"/>
              <w:rPr>
                <w:sz w:val="21"/>
                <w:szCs w:val="21"/>
              </w:rPr>
            </w:pPr>
            <w:r w:rsidRPr="00052A0D">
              <w:rPr>
                <w:sz w:val="21"/>
                <w:szCs w:val="21"/>
              </w:rPr>
              <w:t xml:space="preserve">NP_038511 </w:t>
            </w:r>
          </w:p>
        </w:tc>
      </w:tr>
      <w:tr w:rsidR="00836CBC" w:rsidRPr="00052A0D" w14:paraId="521B5108" w14:textId="77777777" w:rsidTr="00814EA1">
        <w:trPr>
          <w:trHeight w:val="109"/>
        </w:trPr>
        <w:tc>
          <w:tcPr>
            <w:tcW w:w="2998" w:type="dxa"/>
            <w:tcBorders>
              <w:top w:val="single" w:sz="4" w:space="0" w:color="auto"/>
              <w:left w:val="single" w:sz="4" w:space="0" w:color="auto"/>
              <w:bottom w:val="single" w:sz="4" w:space="0" w:color="auto"/>
              <w:right w:val="single" w:sz="4" w:space="0" w:color="auto"/>
            </w:tcBorders>
          </w:tcPr>
          <w:p w14:paraId="0AC08972" w14:textId="77777777" w:rsidR="00836CBC" w:rsidRPr="00052A0D" w:rsidRDefault="00836CBC" w:rsidP="00814EA1">
            <w:pPr>
              <w:pStyle w:val="Default"/>
              <w:jc w:val="both"/>
              <w:rPr>
                <w:sz w:val="21"/>
                <w:szCs w:val="21"/>
              </w:rPr>
            </w:pPr>
            <w:r w:rsidRPr="00052A0D">
              <w:rPr>
                <w:sz w:val="21"/>
                <w:szCs w:val="21"/>
              </w:rPr>
              <w:t xml:space="preserve">BTN2A2 </w:t>
            </w:r>
          </w:p>
        </w:tc>
        <w:tc>
          <w:tcPr>
            <w:tcW w:w="2552" w:type="dxa"/>
            <w:tcBorders>
              <w:top w:val="single" w:sz="4" w:space="0" w:color="auto"/>
              <w:left w:val="single" w:sz="4" w:space="0" w:color="auto"/>
              <w:bottom w:val="single" w:sz="4" w:space="0" w:color="auto"/>
              <w:right w:val="single" w:sz="4" w:space="0" w:color="auto"/>
            </w:tcBorders>
          </w:tcPr>
          <w:p w14:paraId="17658F2B" w14:textId="77777777" w:rsidR="00836CBC" w:rsidRPr="00052A0D" w:rsidRDefault="00836CBC" w:rsidP="00814EA1">
            <w:pPr>
              <w:pStyle w:val="Default"/>
              <w:jc w:val="both"/>
              <w:rPr>
                <w:sz w:val="21"/>
                <w:szCs w:val="21"/>
              </w:rPr>
            </w:pPr>
            <w:r w:rsidRPr="00052A0D">
              <w:rPr>
                <w:sz w:val="21"/>
                <w:szCs w:val="21"/>
              </w:rPr>
              <w:t xml:space="preserve">N/A </w:t>
            </w:r>
          </w:p>
        </w:tc>
        <w:tc>
          <w:tcPr>
            <w:tcW w:w="2977" w:type="dxa"/>
            <w:tcBorders>
              <w:top w:val="single" w:sz="4" w:space="0" w:color="auto"/>
              <w:left w:val="single" w:sz="4" w:space="0" w:color="auto"/>
              <w:bottom w:val="single" w:sz="4" w:space="0" w:color="auto"/>
              <w:right w:val="single" w:sz="4" w:space="0" w:color="auto"/>
            </w:tcBorders>
          </w:tcPr>
          <w:p w14:paraId="2E32134E" w14:textId="77777777" w:rsidR="00836CBC" w:rsidRPr="00052A0D" w:rsidRDefault="00836CBC" w:rsidP="00814EA1">
            <w:pPr>
              <w:pStyle w:val="Default"/>
              <w:jc w:val="both"/>
              <w:rPr>
                <w:sz w:val="21"/>
                <w:szCs w:val="21"/>
              </w:rPr>
            </w:pPr>
            <w:r w:rsidRPr="00052A0D">
              <w:rPr>
                <w:sz w:val="21"/>
                <w:szCs w:val="21"/>
              </w:rPr>
              <w:t xml:space="preserve">NP_787952 </w:t>
            </w:r>
          </w:p>
        </w:tc>
      </w:tr>
      <w:tr w:rsidR="00836CBC" w:rsidRPr="00052A0D" w14:paraId="0BDBE624" w14:textId="77777777" w:rsidTr="00814EA1">
        <w:trPr>
          <w:trHeight w:val="219"/>
        </w:trPr>
        <w:tc>
          <w:tcPr>
            <w:tcW w:w="2998" w:type="dxa"/>
            <w:tcBorders>
              <w:top w:val="single" w:sz="4" w:space="0" w:color="auto"/>
              <w:left w:val="single" w:sz="4" w:space="0" w:color="auto"/>
              <w:bottom w:val="single" w:sz="4" w:space="0" w:color="auto"/>
              <w:right w:val="single" w:sz="4" w:space="0" w:color="auto"/>
            </w:tcBorders>
          </w:tcPr>
          <w:p w14:paraId="7D00747F" w14:textId="77777777" w:rsidR="00836CBC" w:rsidRPr="00052A0D" w:rsidRDefault="00836CBC" w:rsidP="00814EA1">
            <w:pPr>
              <w:pStyle w:val="Default"/>
              <w:jc w:val="both"/>
              <w:rPr>
                <w:sz w:val="21"/>
                <w:szCs w:val="21"/>
              </w:rPr>
            </w:pPr>
            <w:r w:rsidRPr="00052A0D">
              <w:rPr>
                <w:sz w:val="21"/>
                <w:szCs w:val="21"/>
              </w:rPr>
              <w:t>ICOSL</w:t>
            </w:r>
          </w:p>
        </w:tc>
        <w:tc>
          <w:tcPr>
            <w:tcW w:w="2552" w:type="dxa"/>
            <w:tcBorders>
              <w:top w:val="single" w:sz="4" w:space="0" w:color="auto"/>
              <w:left w:val="single" w:sz="4" w:space="0" w:color="auto"/>
              <w:bottom w:val="single" w:sz="4" w:space="0" w:color="auto"/>
              <w:right w:val="single" w:sz="4" w:space="0" w:color="auto"/>
            </w:tcBorders>
          </w:tcPr>
          <w:p w14:paraId="15822F1D" w14:textId="77777777" w:rsidR="00836CBC" w:rsidRPr="00052A0D" w:rsidRDefault="00836CBC" w:rsidP="00814EA1">
            <w:pPr>
              <w:pStyle w:val="Default"/>
              <w:jc w:val="both"/>
              <w:rPr>
                <w:sz w:val="21"/>
                <w:szCs w:val="21"/>
              </w:rPr>
            </w:pPr>
            <w:r w:rsidRPr="00052A0D">
              <w:rPr>
                <w:sz w:val="21"/>
                <w:szCs w:val="21"/>
              </w:rPr>
              <w:t>N/A</w:t>
            </w:r>
          </w:p>
        </w:tc>
        <w:tc>
          <w:tcPr>
            <w:tcW w:w="2977" w:type="dxa"/>
            <w:tcBorders>
              <w:top w:val="single" w:sz="4" w:space="0" w:color="auto"/>
              <w:left w:val="single" w:sz="4" w:space="0" w:color="auto"/>
              <w:bottom w:val="single" w:sz="4" w:space="0" w:color="auto"/>
              <w:right w:val="single" w:sz="4" w:space="0" w:color="auto"/>
            </w:tcBorders>
          </w:tcPr>
          <w:p w14:paraId="3E56327E" w14:textId="77777777" w:rsidR="00836CBC" w:rsidRPr="00052A0D" w:rsidRDefault="00836CBC" w:rsidP="00814EA1">
            <w:pPr>
              <w:pStyle w:val="Default"/>
              <w:jc w:val="both"/>
              <w:rPr>
                <w:sz w:val="21"/>
                <w:szCs w:val="21"/>
              </w:rPr>
            </w:pPr>
            <w:r w:rsidRPr="00052A0D">
              <w:rPr>
                <w:sz w:val="21"/>
                <w:szCs w:val="21"/>
              </w:rPr>
              <w:t>NP_056605</w:t>
            </w:r>
          </w:p>
        </w:tc>
      </w:tr>
      <w:tr w:rsidR="00836CBC" w:rsidRPr="00052A0D" w14:paraId="30C2D275" w14:textId="77777777" w:rsidTr="00814EA1">
        <w:trPr>
          <w:trHeight w:val="219"/>
        </w:trPr>
        <w:tc>
          <w:tcPr>
            <w:tcW w:w="2998" w:type="dxa"/>
            <w:tcBorders>
              <w:top w:val="single" w:sz="4" w:space="0" w:color="auto"/>
              <w:left w:val="single" w:sz="4" w:space="0" w:color="auto"/>
              <w:bottom w:val="single" w:sz="4" w:space="0" w:color="auto"/>
              <w:right w:val="single" w:sz="4" w:space="0" w:color="auto"/>
            </w:tcBorders>
          </w:tcPr>
          <w:p w14:paraId="0E18A8CE" w14:textId="77777777" w:rsidR="00836CBC" w:rsidRPr="00052A0D" w:rsidRDefault="00836CBC" w:rsidP="00814EA1">
            <w:pPr>
              <w:pStyle w:val="Default"/>
              <w:jc w:val="both"/>
              <w:rPr>
                <w:sz w:val="21"/>
                <w:szCs w:val="21"/>
              </w:rPr>
            </w:pPr>
            <w:r>
              <w:rPr>
                <w:rFonts w:hint="eastAsia"/>
                <w:sz w:val="21"/>
                <w:szCs w:val="21"/>
              </w:rPr>
              <w:t>ERMAP</w:t>
            </w:r>
          </w:p>
        </w:tc>
        <w:tc>
          <w:tcPr>
            <w:tcW w:w="2552" w:type="dxa"/>
            <w:tcBorders>
              <w:top w:val="single" w:sz="4" w:space="0" w:color="auto"/>
              <w:left w:val="single" w:sz="4" w:space="0" w:color="auto"/>
              <w:bottom w:val="single" w:sz="4" w:space="0" w:color="auto"/>
              <w:right w:val="single" w:sz="4" w:space="0" w:color="auto"/>
            </w:tcBorders>
          </w:tcPr>
          <w:p w14:paraId="6310A360" w14:textId="77777777" w:rsidR="00836CBC" w:rsidRPr="00052A0D" w:rsidRDefault="00836CBC" w:rsidP="00814EA1">
            <w:pPr>
              <w:pStyle w:val="Default"/>
              <w:jc w:val="both"/>
              <w:rPr>
                <w:sz w:val="21"/>
                <w:szCs w:val="21"/>
              </w:rPr>
            </w:pPr>
            <w:r w:rsidRPr="00052A0D">
              <w:rPr>
                <w:sz w:val="21"/>
                <w:szCs w:val="21"/>
              </w:rPr>
              <w:t>N/A</w:t>
            </w:r>
          </w:p>
        </w:tc>
        <w:tc>
          <w:tcPr>
            <w:tcW w:w="2977" w:type="dxa"/>
            <w:tcBorders>
              <w:top w:val="single" w:sz="4" w:space="0" w:color="auto"/>
              <w:left w:val="single" w:sz="4" w:space="0" w:color="auto"/>
              <w:bottom w:val="single" w:sz="4" w:space="0" w:color="auto"/>
              <w:right w:val="single" w:sz="4" w:space="0" w:color="auto"/>
            </w:tcBorders>
          </w:tcPr>
          <w:p w14:paraId="10589117" w14:textId="77777777" w:rsidR="00836CBC" w:rsidRPr="00052A0D" w:rsidRDefault="00836CBC" w:rsidP="00814EA1">
            <w:pPr>
              <w:pStyle w:val="Default"/>
              <w:jc w:val="both"/>
              <w:rPr>
                <w:sz w:val="21"/>
                <w:szCs w:val="21"/>
              </w:rPr>
            </w:pPr>
            <w:hyperlink r:id="rId23" w:tooltip="Link to Protein Sequence:NP_061008.2" w:history="1">
              <w:r w:rsidRPr="00A266B4">
                <w:rPr>
                  <w:rFonts w:hint="eastAsia"/>
                  <w:sz w:val="21"/>
                  <w:szCs w:val="21"/>
                </w:rPr>
                <w:t>NP_061008</w:t>
              </w:r>
            </w:hyperlink>
          </w:p>
        </w:tc>
      </w:tr>
    </w:tbl>
    <w:p w14:paraId="3D10A7B3" w14:textId="77777777" w:rsidR="00836CBC" w:rsidRDefault="00836CBC" w:rsidP="00836CBC">
      <w:pPr>
        <w:pStyle w:val="Default"/>
        <w:jc w:val="both"/>
        <w:rPr>
          <w:sz w:val="21"/>
          <w:szCs w:val="21"/>
        </w:rPr>
      </w:pPr>
    </w:p>
    <w:p w14:paraId="42FE45A9" w14:textId="77777777" w:rsidR="00836CBC" w:rsidRPr="008F5D36" w:rsidRDefault="00836CBC" w:rsidP="00836CBC">
      <w:pPr>
        <w:pStyle w:val="SMHeading"/>
        <w:jc w:val="both"/>
        <w:rPr>
          <w:szCs w:val="21"/>
          <w:lang w:eastAsia="zh-CN"/>
        </w:rPr>
      </w:pPr>
      <w:bookmarkStart w:id="8" w:name="_Hlk214439764"/>
    </w:p>
    <w:p w14:paraId="2FC330BF" w14:textId="77777777" w:rsidR="00836CBC" w:rsidRPr="008F5D36" w:rsidRDefault="00836CBC" w:rsidP="00836CBC">
      <w:pPr>
        <w:pStyle w:val="SMHeading"/>
        <w:jc w:val="center"/>
        <w:rPr>
          <w:szCs w:val="21"/>
        </w:rPr>
      </w:pPr>
      <w:r w:rsidRPr="008F5D36">
        <w:rPr>
          <w:szCs w:val="21"/>
        </w:rPr>
        <w:t>Table S2. List of antibodies used</w:t>
      </w:r>
    </w:p>
    <w:p w14:paraId="6E31ECBF" w14:textId="77777777" w:rsidR="00836CBC" w:rsidRPr="008F5D36" w:rsidRDefault="00836CBC" w:rsidP="00836CBC">
      <w:pPr>
        <w:pBdr>
          <w:top w:val="single" w:sz="4" w:space="1" w:color="auto"/>
        </w:pBdr>
        <w:ind w:firstLineChars="200" w:firstLine="420"/>
        <w:rPr>
          <w:sz w:val="21"/>
          <w:szCs w:val="21"/>
        </w:rPr>
      </w:pPr>
      <w:r w:rsidRPr="008F5D36">
        <w:rPr>
          <w:sz w:val="21"/>
          <w:szCs w:val="21"/>
        </w:rPr>
        <w:t>Purified anti-mouse CD3 antibody (BioLegend, Cat#: 100202, Clone: 17A2, 1:1000)</w:t>
      </w:r>
    </w:p>
    <w:p w14:paraId="0C5441AB" w14:textId="77777777" w:rsidR="00836CBC" w:rsidRPr="008F5D36" w:rsidRDefault="00836CBC" w:rsidP="00836CBC">
      <w:pPr>
        <w:ind w:firstLineChars="200" w:firstLine="420"/>
        <w:rPr>
          <w:sz w:val="21"/>
          <w:szCs w:val="21"/>
        </w:rPr>
      </w:pPr>
      <w:r w:rsidRPr="008F5D36">
        <w:rPr>
          <w:sz w:val="21"/>
          <w:szCs w:val="21"/>
        </w:rPr>
        <w:t>Purified anti-mouse CD28 antibody (BioLegend, Cat#: 104002, Clone: 37.51, 1:1000)</w:t>
      </w:r>
    </w:p>
    <w:p w14:paraId="1767EE5A" w14:textId="77777777" w:rsidR="00836CBC" w:rsidRPr="008F5D36" w:rsidRDefault="00836CBC" w:rsidP="00836CBC">
      <w:pPr>
        <w:ind w:firstLineChars="200" w:firstLine="420"/>
        <w:rPr>
          <w:sz w:val="21"/>
          <w:szCs w:val="21"/>
        </w:rPr>
      </w:pPr>
      <w:r w:rsidRPr="008F5D36">
        <w:rPr>
          <w:sz w:val="21"/>
          <w:szCs w:val="21"/>
        </w:rPr>
        <w:t>anti-mouse CD3-PE (BioLegend, Cat#: 100205, Clone: 17A2, 1:100)</w:t>
      </w:r>
    </w:p>
    <w:p w14:paraId="092FB323" w14:textId="77777777" w:rsidR="00836CBC" w:rsidRPr="008F5D36" w:rsidRDefault="00836CBC" w:rsidP="00836CBC">
      <w:pPr>
        <w:ind w:left="440"/>
        <w:rPr>
          <w:sz w:val="21"/>
          <w:szCs w:val="21"/>
        </w:rPr>
      </w:pPr>
      <w:r w:rsidRPr="008F5D36">
        <w:rPr>
          <w:sz w:val="21"/>
          <w:szCs w:val="21"/>
        </w:rPr>
        <w:t>anti-mouse CP3-APC (BioLegend, Cat#: 100236, Clone: 17A2, 1:100)</w:t>
      </w:r>
    </w:p>
    <w:p w14:paraId="05F80149" w14:textId="77777777" w:rsidR="00836CBC" w:rsidRPr="008F5D36" w:rsidRDefault="00836CBC" w:rsidP="00836CBC">
      <w:pPr>
        <w:ind w:left="440"/>
        <w:rPr>
          <w:sz w:val="21"/>
          <w:szCs w:val="21"/>
        </w:rPr>
      </w:pPr>
      <w:r w:rsidRPr="008F5D36">
        <w:rPr>
          <w:sz w:val="21"/>
          <w:szCs w:val="21"/>
        </w:rPr>
        <w:t>anti-mouse CD4-PERCP (BioLegend, Cat#: 100538, Clone: RM4-5, 1:100)</w:t>
      </w:r>
    </w:p>
    <w:p w14:paraId="16561082" w14:textId="77777777" w:rsidR="00836CBC" w:rsidRPr="008F5D36" w:rsidRDefault="00836CBC" w:rsidP="00836CBC">
      <w:pPr>
        <w:ind w:left="440"/>
        <w:rPr>
          <w:sz w:val="21"/>
          <w:szCs w:val="21"/>
        </w:rPr>
      </w:pPr>
      <w:r w:rsidRPr="008F5D36">
        <w:rPr>
          <w:sz w:val="21"/>
          <w:szCs w:val="21"/>
        </w:rPr>
        <w:t>anti-mouse CD4-PE (BioLegend, Cat#: 100408, Clone: GK1.5, 1:100)</w:t>
      </w:r>
    </w:p>
    <w:p w14:paraId="7EC40D89" w14:textId="77777777" w:rsidR="00836CBC" w:rsidRPr="008F5D36" w:rsidRDefault="00836CBC" w:rsidP="00836CBC">
      <w:pPr>
        <w:ind w:left="440"/>
        <w:rPr>
          <w:sz w:val="21"/>
          <w:szCs w:val="21"/>
        </w:rPr>
      </w:pPr>
      <w:r w:rsidRPr="008F5D36">
        <w:rPr>
          <w:sz w:val="21"/>
          <w:szCs w:val="21"/>
        </w:rPr>
        <w:t>anti-human CD4-APC (BioLegend, Cat#: 300514, Clone: RPA-14, 1:100)</w:t>
      </w:r>
    </w:p>
    <w:p w14:paraId="42483775" w14:textId="77777777" w:rsidR="00836CBC" w:rsidRPr="008F5D36" w:rsidRDefault="00836CBC" w:rsidP="00836CBC">
      <w:pPr>
        <w:ind w:left="440"/>
        <w:rPr>
          <w:sz w:val="21"/>
          <w:szCs w:val="21"/>
        </w:rPr>
      </w:pPr>
      <w:r w:rsidRPr="008F5D36">
        <w:rPr>
          <w:sz w:val="21"/>
          <w:szCs w:val="21"/>
        </w:rPr>
        <w:t>anti-mouse CD4-APC (BioLegend, Cat#: 100412, Clone: GK1.5, 1:100)</w:t>
      </w:r>
    </w:p>
    <w:p w14:paraId="6784528D" w14:textId="77777777" w:rsidR="00836CBC" w:rsidRPr="008F5D36" w:rsidRDefault="00836CBC" w:rsidP="00836CBC">
      <w:pPr>
        <w:ind w:left="440"/>
        <w:rPr>
          <w:sz w:val="21"/>
          <w:szCs w:val="21"/>
        </w:rPr>
      </w:pPr>
      <w:r w:rsidRPr="008F5D36">
        <w:rPr>
          <w:sz w:val="21"/>
          <w:szCs w:val="21"/>
        </w:rPr>
        <w:t>anti-mouse CP8a-PE (BioLegend, Cat#: 100707, Clone: 53-6.7, 1:100)</w:t>
      </w:r>
    </w:p>
    <w:p w14:paraId="5A5FDD43" w14:textId="77777777" w:rsidR="00836CBC" w:rsidRPr="008F5D36" w:rsidRDefault="00836CBC" w:rsidP="00836CBC">
      <w:pPr>
        <w:ind w:left="440"/>
        <w:rPr>
          <w:sz w:val="21"/>
          <w:szCs w:val="21"/>
        </w:rPr>
      </w:pPr>
      <w:r w:rsidRPr="008F5D36">
        <w:rPr>
          <w:sz w:val="21"/>
          <w:szCs w:val="21"/>
        </w:rPr>
        <w:t>anti-mouse CD8a-FITC (BioLegend, Cat#: 100705, Clone: 53-6.7, 1:100)</w:t>
      </w:r>
    </w:p>
    <w:p w14:paraId="2AB83EB7" w14:textId="77777777" w:rsidR="00836CBC" w:rsidRPr="008F5D36" w:rsidRDefault="00836CBC" w:rsidP="00836CBC">
      <w:pPr>
        <w:ind w:left="440"/>
        <w:rPr>
          <w:sz w:val="21"/>
          <w:szCs w:val="21"/>
        </w:rPr>
      </w:pPr>
      <w:r w:rsidRPr="008F5D36">
        <w:rPr>
          <w:sz w:val="21"/>
          <w:szCs w:val="21"/>
        </w:rPr>
        <w:t>anti-mouse CD8a-Perc/CYANINE5.5 (BioLegend, Cat#: 100734, Clone: 53-6.7, 1:100)</w:t>
      </w:r>
    </w:p>
    <w:p w14:paraId="794AB11E" w14:textId="77777777" w:rsidR="00836CBC" w:rsidRPr="008F5D36" w:rsidRDefault="00836CBC" w:rsidP="00836CBC">
      <w:pPr>
        <w:ind w:left="440"/>
        <w:rPr>
          <w:sz w:val="21"/>
          <w:szCs w:val="21"/>
        </w:rPr>
      </w:pPr>
      <w:r w:rsidRPr="008F5D36">
        <w:rPr>
          <w:sz w:val="21"/>
          <w:szCs w:val="21"/>
        </w:rPr>
        <w:t>anti-mouse CD8a-APC/CYANINE7 (BioLegend, Cat#: 100714, Clone: 53-6.7, 1:100)</w:t>
      </w:r>
    </w:p>
    <w:p w14:paraId="4179C668" w14:textId="77777777" w:rsidR="00836CBC" w:rsidRPr="008F5D36" w:rsidRDefault="00836CBC" w:rsidP="00836CBC">
      <w:pPr>
        <w:ind w:left="440"/>
        <w:rPr>
          <w:sz w:val="21"/>
          <w:szCs w:val="21"/>
        </w:rPr>
      </w:pPr>
      <w:r w:rsidRPr="008F5D36">
        <w:rPr>
          <w:sz w:val="21"/>
          <w:szCs w:val="21"/>
        </w:rPr>
        <w:t>anti-mouse CD8a-APC (BioLegend, Cat#: 100712, Clone: 53-6.7, 1:100)</w:t>
      </w:r>
    </w:p>
    <w:p w14:paraId="77BD5D05" w14:textId="77777777" w:rsidR="00836CBC" w:rsidRPr="008F5D36" w:rsidRDefault="00836CBC" w:rsidP="00836CBC">
      <w:pPr>
        <w:ind w:left="440"/>
        <w:rPr>
          <w:sz w:val="21"/>
          <w:szCs w:val="21"/>
        </w:rPr>
      </w:pPr>
      <w:r w:rsidRPr="008F5D36">
        <w:rPr>
          <w:sz w:val="21"/>
          <w:szCs w:val="21"/>
        </w:rPr>
        <w:t>anti- human CD8a-FITC (BioLegend, Cat#: 200406, Clone: HIT8a, 1:100)</w:t>
      </w:r>
    </w:p>
    <w:p w14:paraId="36A66F78" w14:textId="77777777" w:rsidR="00836CBC" w:rsidRPr="008F5D36" w:rsidRDefault="00836CBC" w:rsidP="00836CBC">
      <w:pPr>
        <w:ind w:left="440"/>
        <w:rPr>
          <w:sz w:val="21"/>
          <w:szCs w:val="21"/>
        </w:rPr>
      </w:pPr>
      <w:r w:rsidRPr="008F5D36">
        <w:rPr>
          <w:sz w:val="21"/>
          <w:szCs w:val="21"/>
        </w:rPr>
        <w:t>anti-mouse CD11b-PE (BioLegend, Cat#: 101208, Clone: M1/70, 1:100)</w:t>
      </w:r>
    </w:p>
    <w:p w14:paraId="2A0F22BD" w14:textId="77777777" w:rsidR="00836CBC" w:rsidRPr="008F5D36" w:rsidRDefault="00836CBC" w:rsidP="00836CBC">
      <w:pPr>
        <w:ind w:left="440"/>
        <w:rPr>
          <w:sz w:val="21"/>
          <w:szCs w:val="21"/>
        </w:rPr>
      </w:pPr>
      <w:r w:rsidRPr="008F5D36">
        <w:rPr>
          <w:sz w:val="21"/>
          <w:szCs w:val="21"/>
        </w:rPr>
        <w:t>anti-mouse CD11c-PE (BioLegend, Cat#: 117308, Clone: NK48, 1:100)</w:t>
      </w:r>
    </w:p>
    <w:p w14:paraId="21B485D4" w14:textId="77777777" w:rsidR="00836CBC" w:rsidRPr="008F5D36" w:rsidRDefault="00836CBC" w:rsidP="00836CBC">
      <w:pPr>
        <w:ind w:left="440"/>
        <w:rPr>
          <w:sz w:val="21"/>
          <w:szCs w:val="21"/>
        </w:rPr>
      </w:pPr>
      <w:r w:rsidRPr="008F5D36">
        <w:rPr>
          <w:sz w:val="21"/>
          <w:szCs w:val="21"/>
        </w:rPr>
        <w:t>anti-mouse CD19-PE (BioLegend, Cat#: 115507, Clone: 6D5, 1:100)</w:t>
      </w:r>
    </w:p>
    <w:p w14:paraId="257ECF56" w14:textId="77777777" w:rsidR="00836CBC" w:rsidRPr="008F5D36" w:rsidRDefault="00836CBC" w:rsidP="00836CBC">
      <w:pPr>
        <w:ind w:left="440"/>
        <w:rPr>
          <w:sz w:val="21"/>
          <w:szCs w:val="21"/>
        </w:rPr>
      </w:pPr>
      <w:r w:rsidRPr="008F5D36">
        <w:rPr>
          <w:sz w:val="21"/>
          <w:szCs w:val="21"/>
        </w:rPr>
        <w:t>anti-mouse CD25-PE (BioLegend, Cat#: 101904, Clone: 3C7, 1:100)</w:t>
      </w:r>
    </w:p>
    <w:p w14:paraId="0CE4EE5C" w14:textId="77777777" w:rsidR="00836CBC" w:rsidRPr="008F5D36" w:rsidRDefault="00836CBC" w:rsidP="00836CBC">
      <w:pPr>
        <w:ind w:left="440"/>
        <w:rPr>
          <w:sz w:val="21"/>
          <w:szCs w:val="21"/>
        </w:rPr>
      </w:pPr>
      <w:r w:rsidRPr="008F5D36">
        <w:rPr>
          <w:sz w:val="21"/>
          <w:szCs w:val="21"/>
        </w:rPr>
        <w:t>anti-mouse CD25-APC (BioLegend, Cat#: 102012, Clone: PE61, 1:100)</w:t>
      </w:r>
    </w:p>
    <w:p w14:paraId="45990A46" w14:textId="77777777" w:rsidR="00836CBC" w:rsidRPr="008F5D36" w:rsidRDefault="00836CBC" w:rsidP="00836CBC">
      <w:pPr>
        <w:ind w:left="440"/>
        <w:rPr>
          <w:sz w:val="21"/>
          <w:szCs w:val="21"/>
        </w:rPr>
      </w:pPr>
      <w:r w:rsidRPr="008F5D36">
        <w:rPr>
          <w:sz w:val="21"/>
          <w:szCs w:val="21"/>
        </w:rPr>
        <w:t>anti-mouse CD44-PE (BioLegend, Cat#: 103004, Clone: 1M7, 1:100)</w:t>
      </w:r>
    </w:p>
    <w:p w14:paraId="1B2C0AE1" w14:textId="77777777" w:rsidR="00836CBC" w:rsidRPr="008F5D36" w:rsidRDefault="00836CBC" w:rsidP="00836CBC">
      <w:pPr>
        <w:ind w:left="440"/>
        <w:rPr>
          <w:sz w:val="21"/>
          <w:szCs w:val="21"/>
        </w:rPr>
      </w:pPr>
      <w:r w:rsidRPr="008F5D36">
        <w:rPr>
          <w:sz w:val="21"/>
          <w:szCs w:val="21"/>
        </w:rPr>
        <w:t>anti-mouse CD45-PE (BioLegend, Cat#: 103106, Clone: 30-F11, 1:100)</w:t>
      </w:r>
    </w:p>
    <w:p w14:paraId="03AA1F5A" w14:textId="77777777" w:rsidR="00836CBC" w:rsidRPr="008F5D36" w:rsidRDefault="00836CBC" w:rsidP="00836CBC">
      <w:pPr>
        <w:ind w:left="440"/>
        <w:rPr>
          <w:sz w:val="21"/>
          <w:szCs w:val="21"/>
        </w:rPr>
      </w:pPr>
      <w:r w:rsidRPr="008F5D36">
        <w:rPr>
          <w:sz w:val="21"/>
          <w:szCs w:val="21"/>
        </w:rPr>
        <w:t>anti-mouse CD45-FITC (BioLegend, Cat#: 103107, Clone: 30-F11, 1:100)</w:t>
      </w:r>
    </w:p>
    <w:p w14:paraId="3081695B" w14:textId="77777777" w:rsidR="00836CBC" w:rsidRPr="008F5D36" w:rsidRDefault="00836CBC" w:rsidP="00836CBC">
      <w:pPr>
        <w:ind w:left="440"/>
        <w:rPr>
          <w:sz w:val="21"/>
          <w:szCs w:val="21"/>
        </w:rPr>
      </w:pPr>
      <w:r w:rsidRPr="008F5D36">
        <w:rPr>
          <w:sz w:val="21"/>
          <w:szCs w:val="21"/>
        </w:rPr>
        <w:t>anti-mouse CD62L-FITC (BioLegend, Cat#: 103406, Clone: MEL-14, 1:100)</w:t>
      </w:r>
    </w:p>
    <w:p w14:paraId="6FB3A198" w14:textId="77777777" w:rsidR="00836CBC" w:rsidRPr="008F5D36" w:rsidRDefault="00836CBC" w:rsidP="00836CBC">
      <w:pPr>
        <w:ind w:left="440"/>
        <w:rPr>
          <w:sz w:val="21"/>
          <w:szCs w:val="21"/>
        </w:rPr>
      </w:pPr>
      <w:r w:rsidRPr="008F5D36">
        <w:rPr>
          <w:sz w:val="21"/>
          <w:szCs w:val="21"/>
        </w:rPr>
        <w:t>anti-mouse CD69-PE (BioLegend, Cat#: 104508, Clone: H1.2F3, 1:100)</w:t>
      </w:r>
    </w:p>
    <w:p w14:paraId="594B46BE" w14:textId="77777777" w:rsidR="00836CBC" w:rsidRPr="008F5D36" w:rsidRDefault="00836CBC" w:rsidP="00836CBC">
      <w:pPr>
        <w:ind w:left="440"/>
        <w:rPr>
          <w:sz w:val="21"/>
          <w:szCs w:val="21"/>
        </w:rPr>
      </w:pPr>
      <w:r w:rsidRPr="008F5D36">
        <w:rPr>
          <w:sz w:val="21"/>
          <w:szCs w:val="21"/>
        </w:rPr>
        <w:lastRenderedPageBreak/>
        <w:t>anti-mouse CD69-FITC (BioLegend, Cat#: 106506, Clone: H1.2F3, 1:100)</w:t>
      </w:r>
    </w:p>
    <w:p w14:paraId="37E5D10C" w14:textId="77777777" w:rsidR="00836CBC" w:rsidRPr="008F5D36" w:rsidRDefault="00836CBC" w:rsidP="00836CBC">
      <w:pPr>
        <w:ind w:left="440"/>
        <w:rPr>
          <w:sz w:val="21"/>
          <w:szCs w:val="21"/>
        </w:rPr>
      </w:pPr>
      <w:r w:rsidRPr="008F5D36">
        <w:rPr>
          <w:sz w:val="21"/>
          <w:szCs w:val="21"/>
        </w:rPr>
        <w:t>anti-mouse CD80-APC (BioLegend, Cat#: 104713, Clone: 16-10A1, 1:100)</w:t>
      </w:r>
    </w:p>
    <w:p w14:paraId="06919407" w14:textId="77777777" w:rsidR="00836CBC" w:rsidRPr="008F5D36" w:rsidRDefault="00836CBC" w:rsidP="00836CBC">
      <w:pPr>
        <w:ind w:left="440"/>
        <w:rPr>
          <w:sz w:val="21"/>
          <w:szCs w:val="21"/>
        </w:rPr>
      </w:pPr>
      <w:r w:rsidRPr="008F5D36">
        <w:rPr>
          <w:sz w:val="21"/>
          <w:szCs w:val="21"/>
        </w:rPr>
        <w:t>anti-mouse CD45R-PerCP (BioLegend, Cat#: 103234, Clone: RA3-6B2, 1:100)</w:t>
      </w:r>
    </w:p>
    <w:p w14:paraId="19E87BC7" w14:textId="77777777" w:rsidR="00836CBC" w:rsidRPr="008F5D36" w:rsidRDefault="00836CBC" w:rsidP="00836CBC">
      <w:pPr>
        <w:ind w:left="440"/>
        <w:rPr>
          <w:sz w:val="21"/>
          <w:szCs w:val="21"/>
        </w:rPr>
      </w:pPr>
      <w:r w:rsidRPr="008F5D36">
        <w:rPr>
          <w:sz w:val="21"/>
          <w:szCs w:val="21"/>
        </w:rPr>
        <w:t>anti-mouse KI67 – PE (BioLegend, Cat#: 6524048, Clone: 16A8, 1:100)</w:t>
      </w:r>
    </w:p>
    <w:p w14:paraId="06E153B8" w14:textId="77777777" w:rsidR="00836CBC" w:rsidRPr="008F5D36" w:rsidRDefault="00836CBC" w:rsidP="00836CBC">
      <w:pPr>
        <w:ind w:left="440"/>
        <w:rPr>
          <w:sz w:val="21"/>
          <w:szCs w:val="21"/>
        </w:rPr>
      </w:pPr>
      <w:r w:rsidRPr="008F5D36">
        <w:rPr>
          <w:sz w:val="21"/>
          <w:szCs w:val="21"/>
        </w:rPr>
        <w:t>anti-mouse IL-17A-FITC (BioLegend, Cat#: 506908, Clone: TC11-18H10.1, 1:100)</w:t>
      </w:r>
    </w:p>
    <w:p w14:paraId="0D5565D5" w14:textId="77777777" w:rsidR="00836CBC" w:rsidRPr="008F5D36" w:rsidRDefault="00836CBC" w:rsidP="00836CBC">
      <w:pPr>
        <w:ind w:left="440"/>
        <w:rPr>
          <w:sz w:val="21"/>
          <w:szCs w:val="21"/>
        </w:rPr>
      </w:pPr>
      <w:r w:rsidRPr="008F5D36">
        <w:rPr>
          <w:sz w:val="21"/>
          <w:szCs w:val="21"/>
        </w:rPr>
        <w:t>anti-mouse I-Ab-APC (BioLegend, Cat#: 116418, Clone: af6-120.1, 1:100)</w:t>
      </w:r>
    </w:p>
    <w:p w14:paraId="20304165" w14:textId="77777777" w:rsidR="00836CBC" w:rsidRPr="008F5D36" w:rsidRDefault="00836CBC" w:rsidP="00836CBC">
      <w:pPr>
        <w:ind w:left="440"/>
        <w:rPr>
          <w:sz w:val="21"/>
          <w:szCs w:val="21"/>
        </w:rPr>
      </w:pPr>
      <w:r w:rsidRPr="008F5D36">
        <w:rPr>
          <w:sz w:val="21"/>
          <w:szCs w:val="21"/>
        </w:rPr>
        <w:t>anti-mouse INF-γ-FITC (BioLegend, Cat#: 505806, Clone: XMG1.2, 1:100)</w:t>
      </w:r>
    </w:p>
    <w:p w14:paraId="76498F30" w14:textId="77777777" w:rsidR="00836CBC" w:rsidRPr="008F5D36" w:rsidRDefault="00836CBC" w:rsidP="00836CBC">
      <w:pPr>
        <w:ind w:left="440"/>
        <w:rPr>
          <w:sz w:val="21"/>
          <w:szCs w:val="21"/>
        </w:rPr>
      </w:pPr>
      <w:r w:rsidRPr="008F5D36">
        <w:rPr>
          <w:sz w:val="21"/>
          <w:szCs w:val="21"/>
        </w:rPr>
        <w:t>anti-mouse IL-4-PE (BioLegend, Cat#: 504104, Clone: 11B11, 1:100)</w:t>
      </w:r>
    </w:p>
    <w:p w14:paraId="7F0719EC" w14:textId="77777777" w:rsidR="00836CBC" w:rsidRPr="008F5D36" w:rsidRDefault="00836CBC" w:rsidP="00836CBC">
      <w:pPr>
        <w:ind w:left="440"/>
        <w:rPr>
          <w:sz w:val="21"/>
          <w:szCs w:val="21"/>
        </w:rPr>
      </w:pPr>
      <w:r w:rsidRPr="008F5D36">
        <w:rPr>
          <w:sz w:val="21"/>
          <w:szCs w:val="21"/>
        </w:rPr>
        <w:t>anti-mouse CD86-APC (BioLegend, Cat#: 105031, Clone: GL-1, 1:100)</w:t>
      </w:r>
    </w:p>
    <w:p w14:paraId="4E7A6BBE" w14:textId="77777777" w:rsidR="00836CBC" w:rsidRPr="008F5D36" w:rsidRDefault="00836CBC" w:rsidP="00836CBC">
      <w:pPr>
        <w:ind w:left="440"/>
        <w:rPr>
          <w:sz w:val="21"/>
          <w:szCs w:val="21"/>
        </w:rPr>
      </w:pPr>
      <w:r w:rsidRPr="008F5D36">
        <w:rPr>
          <w:sz w:val="21"/>
          <w:szCs w:val="21"/>
        </w:rPr>
        <w:t>anti-mouse CD8-APC (BioLegend, Cat#: 100712, Clone: 53-6.7, 1:100)</w:t>
      </w:r>
    </w:p>
    <w:p w14:paraId="49843F59" w14:textId="77777777" w:rsidR="00836CBC" w:rsidRPr="008F5D36" w:rsidRDefault="00836CBC" w:rsidP="00836CBC">
      <w:pPr>
        <w:ind w:left="440"/>
        <w:rPr>
          <w:sz w:val="21"/>
          <w:szCs w:val="21"/>
        </w:rPr>
      </w:pPr>
      <w:r w:rsidRPr="008F5D36">
        <w:rPr>
          <w:sz w:val="21"/>
          <w:szCs w:val="21"/>
        </w:rPr>
        <w:t>anti-mouse Foxp3-FITC (BioLegend, Cat#: 126406, Clone: MF14, 1:100)</w:t>
      </w:r>
    </w:p>
    <w:p w14:paraId="717F25AD" w14:textId="77777777" w:rsidR="00836CBC" w:rsidRPr="008F5D36" w:rsidRDefault="00836CBC" w:rsidP="00836CBC">
      <w:pPr>
        <w:ind w:left="440"/>
        <w:rPr>
          <w:sz w:val="21"/>
          <w:szCs w:val="21"/>
        </w:rPr>
      </w:pPr>
      <w:r w:rsidRPr="008F5D36">
        <w:rPr>
          <w:sz w:val="21"/>
          <w:szCs w:val="21"/>
        </w:rPr>
        <w:t>anti- human CD69-PE (BioLegend, Cat#: 985202, Clone: FN50, 1:100)</w:t>
      </w:r>
    </w:p>
    <w:p w14:paraId="35D550B7" w14:textId="77777777" w:rsidR="00836CBC" w:rsidRPr="008F5D36" w:rsidRDefault="00836CBC" w:rsidP="00836CBC">
      <w:pPr>
        <w:ind w:left="440"/>
        <w:rPr>
          <w:sz w:val="21"/>
          <w:szCs w:val="21"/>
        </w:rPr>
      </w:pPr>
      <w:r w:rsidRPr="008F5D36">
        <w:rPr>
          <w:sz w:val="21"/>
          <w:szCs w:val="21"/>
        </w:rPr>
        <w:t>anti-mouse F4/80-FITC (BioLegend, Cat#: 1233108, Clone: BM8, 1:100)</w:t>
      </w:r>
    </w:p>
    <w:p w14:paraId="5386417D" w14:textId="77777777" w:rsidR="00836CBC" w:rsidRPr="008F5D36" w:rsidRDefault="00836CBC" w:rsidP="00836CBC">
      <w:pPr>
        <w:ind w:left="440"/>
        <w:rPr>
          <w:sz w:val="21"/>
          <w:szCs w:val="21"/>
        </w:rPr>
      </w:pPr>
      <w:r w:rsidRPr="008F5D36">
        <w:rPr>
          <w:sz w:val="21"/>
          <w:szCs w:val="21"/>
        </w:rPr>
        <w:t>anti-mouse CD11b-PE (BioLegend, Cat#: 101208, Clone: M1/70, 1:100)</w:t>
      </w:r>
    </w:p>
    <w:p w14:paraId="608B3D69" w14:textId="77777777" w:rsidR="00836CBC" w:rsidRPr="008F5D36" w:rsidRDefault="00836CBC" w:rsidP="00836CBC">
      <w:pPr>
        <w:ind w:left="440"/>
        <w:rPr>
          <w:sz w:val="21"/>
          <w:szCs w:val="21"/>
        </w:rPr>
      </w:pPr>
      <w:r w:rsidRPr="008F5D36">
        <w:rPr>
          <w:sz w:val="21"/>
          <w:szCs w:val="21"/>
        </w:rPr>
        <w:t>anti-mouse CD44-PE (BioLegend, Cat#: 117308, Clone: NK48, 1:100)</w:t>
      </w:r>
    </w:p>
    <w:p w14:paraId="58BFDFA7" w14:textId="77777777" w:rsidR="00836CBC" w:rsidRPr="008F5D36" w:rsidRDefault="00836CBC" w:rsidP="00836CBC">
      <w:pPr>
        <w:ind w:left="440"/>
        <w:rPr>
          <w:sz w:val="21"/>
          <w:szCs w:val="21"/>
        </w:rPr>
      </w:pPr>
      <w:r w:rsidRPr="008F5D36">
        <w:rPr>
          <w:sz w:val="21"/>
          <w:szCs w:val="21"/>
        </w:rPr>
        <w:t>anti-mouse CD9-PE (BioLegend, Cat#: 115507, Clone: 6D5, 1:100)</w:t>
      </w:r>
    </w:p>
    <w:p w14:paraId="53F3E2D5" w14:textId="77777777" w:rsidR="00836CBC" w:rsidRPr="008F5D36" w:rsidRDefault="00836CBC" w:rsidP="00836CBC">
      <w:pPr>
        <w:ind w:left="440"/>
        <w:rPr>
          <w:sz w:val="21"/>
          <w:szCs w:val="21"/>
        </w:rPr>
      </w:pPr>
      <w:r w:rsidRPr="008F5D36">
        <w:rPr>
          <w:sz w:val="21"/>
          <w:szCs w:val="21"/>
        </w:rPr>
        <w:t>anti-mouse CD25-PE (BioLegend, Cat#: 101904, Clone: 3C7, 1:100)</w:t>
      </w:r>
    </w:p>
    <w:p w14:paraId="4E51E510" w14:textId="77777777" w:rsidR="00836CBC" w:rsidRPr="008F5D36" w:rsidRDefault="00836CBC" w:rsidP="00836CBC">
      <w:pPr>
        <w:ind w:left="440"/>
        <w:rPr>
          <w:sz w:val="21"/>
          <w:szCs w:val="21"/>
        </w:rPr>
      </w:pPr>
      <w:r w:rsidRPr="008F5D36">
        <w:rPr>
          <w:sz w:val="21"/>
          <w:szCs w:val="21"/>
        </w:rPr>
        <w:t>anti-mouse CD26-APC (BioLegend, Cat#: 102012, Clone: PE61, 1:100)</w:t>
      </w:r>
    </w:p>
    <w:p w14:paraId="36CD6EEE" w14:textId="77777777" w:rsidR="00836CBC" w:rsidRPr="008F5D36" w:rsidRDefault="00836CBC" w:rsidP="00836CBC">
      <w:pPr>
        <w:ind w:left="440"/>
        <w:rPr>
          <w:sz w:val="21"/>
          <w:szCs w:val="21"/>
        </w:rPr>
      </w:pPr>
      <w:r w:rsidRPr="008F5D36">
        <w:rPr>
          <w:sz w:val="21"/>
          <w:szCs w:val="21"/>
        </w:rPr>
        <w:t>anti-mouse CD44-PE (BioLegend, Cat#: 103004, Clone: 1M7, 1:100)</w:t>
      </w:r>
    </w:p>
    <w:p w14:paraId="02256B52" w14:textId="77777777" w:rsidR="00836CBC" w:rsidRPr="008F5D36" w:rsidRDefault="00836CBC" w:rsidP="00836CBC">
      <w:pPr>
        <w:ind w:left="440"/>
        <w:rPr>
          <w:sz w:val="21"/>
          <w:szCs w:val="21"/>
        </w:rPr>
      </w:pPr>
      <w:r w:rsidRPr="008F5D36">
        <w:rPr>
          <w:sz w:val="21"/>
          <w:szCs w:val="21"/>
        </w:rPr>
        <w:t>anti-mouse CD25-FITC (BioLegend, Cat#: 103107, Clone: 30-F11, 1:100)</w:t>
      </w:r>
    </w:p>
    <w:p w14:paraId="7092C782" w14:textId="77777777" w:rsidR="00836CBC" w:rsidRPr="008F5D36" w:rsidRDefault="00836CBC" w:rsidP="00836CBC">
      <w:pPr>
        <w:ind w:firstLineChars="200" w:firstLine="420"/>
        <w:rPr>
          <w:rFonts w:eastAsia="楷体"/>
          <w:sz w:val="21"/>
          <w:szCs w:val="21"/>
        </w:rPr>
      </w:pPr>
      <w:r w:rsidRPr="008F5D36">
        <w:rPr>
          <w:rFonts w:eastAsia="楷体"/>
          <w:sz w:val="21"/>
          <w:szCs w:val="21"/>
        </w:rPr>
        <w:t>anti‐VSIG2 (1:500; OTI2D8, Thermo Fisher Scientific)</w:t>
      </w:r>
    </w:p>
    <w:p w14:paraId="49FCB233" w14:textId="77777777" w:rsidR="00836CBC" w:rsidRPr="008F5D36" w:rsidRDefault="00836CBC" w:rsidP="00836CBC">
      <w:pPr>
        <w:ind w:firstLineChars="150" w:firstLine="315"/>
        <w:rPr>
          <w:rFonts w:eastAsia="楷体"/>
          <w:sz w:val="21"/>
          <w:szCs w:val="21"/>
        </w:rPr>
      </w:pPr>
      <w:r w:rsidRPr="008F5D36">
        <w:rPr>
          <w:rFonts w:eastAsia="楷体"/>
          <w:sz w:val="21"/>
          <w:szCs w:val="21"/>
        </w:rPr>
        <w:t xml:space="preserve"> anti‐Phospho-STAT1 (Ser727) (1:500; YA149, Medchemexpress)</w:t>
      </w:r>
    </w:p>
    <w:p w14:paraId="7E4D358D" w14:textId="77777777" w:rsidR="00836CBC" w:rsidRPr="008F5D36" w:rsidRDefault="00836CBC" w:rsidP="00836CBC">
      <w:pPr>
        <w:ind w:firstLineChars="150" w:firstLine="315"/>
        <w:rPr>
          <w:rFonts w:eastAsia="楷体"/>
          <w:sz w:val="21"/>
          <w:szCs w:val="21"/>
        </w:rPr>
      </w:pPr>
      <w:r w:rsidRPr="008F5D36">
        <w:rPr>
          <w:rFonts w:eastAsia="楷体"/>
          <w:sz w:val="21"/>
          <w:szCs w:val="21"/>
        </w:rPr>
        <w:t xml:space="preserve"> anti‐STAT1 (1:500; YA059, Medchemexpress)</w:t>
      </w:r>
    </w:p>
    <w:p w14:paraId="730C590E" w14:textId="77777777" w:rsidR="00836CBC" w:rsidRPr="008F5D36" w:rsidRDefault="00836CBC" w:rsidP="00836CBC">
      <w:pPr>
        <w:ind w:firstLineChars="150" w:firstLine="315"/>
        <w:rPr>
          <w:rFonts w:eastAsia="楷体"/>
          <w:sz w:val="21"/>
          <w:szCs w:val="21"/>
        </w:rPr>
      </w:pPr>
      <w:r w:rsidRPr="008F5D36">
        <w:rPr>
          <w:rFonts w:eastAsia="楷体"/>
          <w:sz w:val="21"/>
          <w:szCs w:val="21"/>
        </w:rPr>
        <w:t xml:space="preserve"> anti‐GBP2 (1:500; 11854-1-AP, Proteintech)</w:t>
      </w:r>
    </w:p>
    <w:p w14:paraId="3BC17196" w14:textId="77777777" w:rsidR="00836CBC" w:rsidRPr="00614F7A" w:rsidRDefault="00836CBC" w:rsidP="00836CBC">
      <w:pPr>
        <w:ind w:firstLineChars="150" w:firstLine="315"/>
        <w:rPr>
          <w:rFonts w:eastAsia="楷体"/>
          <w:sz w:val="21"/>
          <w:szCs w:val="21"/>
        </w:rPr>
      </w:pPr>
      <w:r w:rsidRPr="00614F7A">
        <w:rPr>
          <w:rFonts w:eastAsia="楷体"/>
          <w:sz w:val="21"/>
          <w:szCs w:val="21"/>
        </w:rPr>
        <w:t>anti‐Nectin2 (1:500; HA751416, Huabio)</w:t>
      </w:r>
    </w:p>
    <w:p w14:paraId="072F58F1" w14:textId="77777777" w:rsidR="00836CBC" w:rsidRPr="00614F7A" w:rsidRDefault="00836CBC" w:rsidP="00836CBC">
      <w:pPr>
        <w:ind w:firstLineChars="150" w:firstLine="315"/>
        <w:rPr>
          <w:rFonts w:eastAsia="楷体"/>
          <w:sz w:val="21"/>
          <w:szCs w:val="21"/>
        </w:rPr>
      </w:pPr>
      <w:r w:rsidRPr="00614F7A">
        <w:rPr>
          <w:rFonts w:eastAsia="楷体"/>
          <w:sz w:val="21"/>
          <w:szCs w:val="21"/>
        </w:rPr>
        <w:t>anti‐Nectin2 (1:500; HA723346, Huabio)</w:t>
      </w:r>
    </w:p>
    <w:p w14:paraId="3E73DA09" w14:textId="77777777" w:rsidR="00836CBC" w:rsidRPr="00614F7A" w:rsidRDefault="00836CBC" w:rsidP="00836CBC">
      <w:pPr>
        <w:ind w:firstLineChars="150" w:firstLine="315"/>
        <w:rPr>
          <w:rFonts w:eastAsia="楷体"/>
          <w:sz w:val="21"/>
          <w:szCs w:val="21"/>
        </w:rPr>
      </w:pPr>
      <w:r w:rsidRPr="00614F7A">
        <w:rPr>
          <w:rFonts w:eastAsia="楷体"/>
          <w:sz w:val="21"/>
          <w:szCs w:val="21"/>
        </w:rPr>
        <w:t>anti‐Nectin2 (1:500; JG39-64, Huabio)</w:t>
      </w:r>
    </w:p>
    <w:p w14:paraId="7D8065DB" w14:textId="77777777" w:rsidR="00836CBC" w:rsidRPr="008F5D36" w:rsidRDefault="00836CBC" w:rsidP="00836CBC">
      <w:pPr>
        <w:ind w:firstLineChars="150" w:firstLine="315"/>
        <w:rPr>
          <w:rFonts w:eastAsia="楷体"/>
          <w:sz w:val="21"/>
          <w:szCs w:val="21"/>
        </w:rPr>
      </w:pPr>
      <w:r w:rsidRPr="008F5D36">
        <w:rPr>
          <w:rFonts w:eastAsia="楷体"/>
          <w:sz w:val="21"/>
          <w:szCs w:val="21"/>
        </w:rPr>
        <w:t xml:space="preserve"> anti‐IRF1 (1:500; ET1602-28, Huabio)</w:t>
      </w:r>
    </w:p>
    <w:p w14:paraId="41D0738D" w14:textId="77777777" w:rsidR="00836CBC" w:rsidRPr="008F5D36" w:rsidRDefault="00836CBC" w:rsidP="00836CBC">
      <w:pPr>
        <w:ind w:firstLineChars="150" w:firstLine="315"/>
        <w:rPr>
          <w:rFonts w:eastAsia="楷体"/>
          <w:sz w:val="21"/>
          <w:szCs w:val="21"/>
        </w:rPr>
      </w:pPr>
      <w:r w:rsidRPr="008F5D36">
        <w:rPr>
          <w:rFonts w:eastAsia="楷体"/>
          <w:sz w:val="21"/>
          <w:szCs w:val="21"/>
        </w:rPr>
        <w:t xml:space="preserve"> anti‐NF‐κB p65 (1:500; HA721307, Huabio)</w:t>
      </w:r>
    </w:p>
    <w:p w14:paraId="74EDBEC3" w14:textId="77777777" w:rsidR="00836CBC" w:rsidRPr="008F5D36" w:rsidRDefault="00836CBC" w:rsidP="00836CBC">
      <w:pPr>
        <w:ind w:firstLineChars="150" w:firstLine="315"/>
        <w:rPr>
          <w:rFonts w:eastAsia="楷体"/>
          <w:sz w:val="21"/>
          <w:szCs w:val="21"/>
        </w:rPr>
      </w:pPr>
      <w:r w:rsidRPr="008F5D36">
        <w:rPr>
          <w:rFonts w:eastAsia="楷体"/>
          <w:sz w:val="21"/>
          <w:szCs w:val="21"/>
        </w:rPr>
        <w:t xml:space="preserve"> anti‐CD69(1:500; HA500073, Huabio)</w:t>
      </w:r>
    </w:p>
    <w:p w14:paraId="5FBC372C" w14:textId="77777777" w:rsidR="00836CBC" w:rsidRPr="008F5D36" w:rsidRDefault="00836CBC" w:rsidP="00836CBC">
      <w:pPr>
        <w:pBdr>
          <w:bottom w:val="single" w:sz="4" w:space="1" w:color="auto"/>
        </w:pBdr>
        <w:ind w:firstLineChars="150" w:firstLine="315"/>
        <w:rPr>
          <w:sz w:val="21"/>
          <w:szCs w:val="21"/>
        </w:rPr>
      </w:pPr>
      <w:r w:rsidRPr="008F5D36">
        <w:rPr>
          <w:rFonts w:eastAsia="楷体"/>
          <w:sz w:val="21"/>
          <w:szCs w:val="21"/>
        </w:rPr>
        <w:t xml:space="preserve"> anti‐GAPDH (1:500; 60004-1-Ig, Proteintech)</w:t>
      </w:r>
    </w:p>
    <w:p w14:paraId="529D8865" w14:textId="77777777" w:rsidR="00836CBC" w:rsidRPr="008F5D36" w:rsidRDefault="00836CBC" w:rsidP="00836CBC">
      <w:pPr>
        <w:rPr>
          <w:sz w:val="21"/>
          <w:szCs w:val="21"/>
        </w:rPr>
      </w:pPr>
    </w:p>
    <w:p w14:paraId="00867CBD" w14:textId="77777777" w:rsidR="00836CBC" w:rsidRPr="008F5D36" w:rsidRDefault="00836CBC" w:rsidP="00836CBC">
      <w:pPr>
        <w:rPr>
          <w:sz w:val="21"/>
          <w:szCs w:val="21"/>
        </w:rPr>
      </w:pPr>
    </w:p>
    <w:bookmarkEnd w:id="8"/>
    <w:p w14:paraId="426BFD4E" w14:textId="77777777" w:rsidR="00836CBC" w:rsidRPr="008F5D36" w:rsidRDefault="00836CBC" w:rsidP="00836CBC">
      <w:pPr>
        <w:pStyle w:val="Default"/>
        <w:jc w:val="both"/>
        <w:rPr>
          <w:sz w:val="21"/>
          <w:szCs w:val="21"/>
        </w:rPr>
      </w:pPr>
    </w:p>
    <w:p w14:paraId="43E17E57" w14:textId="77777777" w:rsidR="00836CBC" w:rsidRPr="004F6126" w:rsidRDefault="00836CBC" w:rsidP="00836CBC">
      <w:pPr>
        <w:pStyle w:val="SMHeading"/>
        <w:jc w:val="both"/>
      </w:pPr>
      <w:r>
        <w:t>Table S</w:t>
      </w:r>
      <w:r>
        <w:rPr>
          <w:rFonts w:hint="eastAsia"/>
          <w:lang w:eastAsia="zh-CN"/>
        </w:rPr>
        <w:t>3</w:t>
      </w:r>
      <w:r>
        <w:t>.</w:t>
      </w:r>
      <w:r w:rsidRPr="004F6126">
        <w:t xml:space="preserve"> Primer sequences of RT-PCR and qRT-PCR for mVSIG2</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2529"/>
        <w:gridCol w:w="4394"/>
      </w:tblGrid>
      <w:tr w:rsidR="00836CBC" w:rsidRPr="00052A0D" w14:paraId="4913BA71" w14:textId="77777777" w:rsidTr="00814EA1">
        <w:trPr>
          <w:trHeight w:val="109"/>
          <w:jc w:val="center"/>
        </w:trPr>
        <w:tc>
          <w:tcPr>
            <w:tcW w:w="1582" w:type="dxa"/>
          </w:tcPr>
          <w:p w14:paraId="3CB8AF37" w14:textId="77777777" w:rsidR="00836CBC" w:rsidRPr="00052A0D" w:rsidRDefault="00836CBC" w:rsidP="00814EA1">
            <w:pPr>
              <w:pStyle w:val="Default"/>
              <w:jc w:val="both"/>
              <w:rPr>
                <w:sz w:val="21"/>
                <w:szCs w:val="21"/>
              </w:rPr>
            </w:pPr>
            <w:r w:rsidRPr="00052A0D">
              <w:rPr>
                <w:sz w:val="21"/>
                <w:szCs w:val="21"/>
              </w:rPr>
              <w:t>Gene symbol</w:t>
            </w:r>
          </w:p>
        </w:tc>
        <w:tc>
          <w:tcPr>
            <w:tcW w:w="2529" w:type="dxa"/>
          </w:tcPr>
          <w:p w14:paraId="1426A221" w14:textId="77777777" w:rsidR="00836CBC" w:rsidRPr="00052A0D" w:rsidRDefault="00836CBC" w:rsidP="00814EA1">
            <w:pPr>
              <w:pStyle w:val="Default"/>
              <w:jc w:val="both"/>
              <w:rPr>
                <w:sz w:val="21"/>
                <w:szCs w:val="21"/>
              </w:rPr>
            </w:pPr>
            <w:r w:rsidRPr="00052A0D">
              <w:rPr>
                <w:sz w:val="21"/>
                <w:szCs w:val="21"/>
              </w:rPr>
              <w:t xml:space="preserve"> Primer name </w:t>
            </w:r>
          </w:p>
        </w:tc>
        <w:tc>
          <w:tcPr>
            <w:tcW w:w="4394" w:type="dxa"/>
          </w:tcPr>
          <w:p w14:paraId="29269AF7" w14:textId="77777777" w:rsidR="00836CBC" w:rsidRPr="00052A0D" w:rsidRDefault="00836CBC" w:rsidP="00814EA1">
            <w:pPr>
              <w:pStyle w:val="Default"/>
              <w:jc w:val="both"/>
              <w:rPr>
                <w:sz w:val="21"/>
                <w:szCs w:val="21"/>
              </w:rPr>
            </w:pPr>
            <w:r w:rsidRPr="00052A0D">
              <w:rPr>
                <w:sz w:val="21"/>
                <w:szCs w:val="21"/>
              </w:rPr>
              <w:t xml:space="preserve">Primer sequence </w:t>
            </w:r>
          </w:p>
        </w:tc>
      </w:tr>
      <w:tr w:rsidR="00836CBC" w:rsidRPr="00052A0D" w14:paraId="601744D6" w14:textId="77777777" w:rsidTr="00814EA1">
        <w:trPr>
          <w:trHeight w:val="109"/>
          <w:jc w:val="center"/>
        </w:trPr>
        <w:tc>
          <w:tcPr>
            <w:tcW w:w="1582" w:type="dxa"/>
            <w:vMerge w:val="restart"/>
            <w:vAlign w:val="center"/>
          </w:tcPr>
          <w:p w14:paraId="14E44A2F" w14:textId="77777777" w:rsidR="00836CBC" w:rsidRPr="00052A0D" w:rsidRDefault="00836CBC" w:rsidP="00814EA1">
            <w:pPr>
              <w:pStyle w:val="Default"/>
              <w:jc w:val="both"/>
              <w:rPr>
                <w:sz w:val="21"/>
                <w:szCs w:val="21"/>
              </w:rPr>
            </w:pPr>
            <w:r w:rsidRPr="00052A0D">
              <w:rPr>
                <w:sz w:val="21"/>
                <w:szCs w:val="21"/>
              </w:rPr>
              <w:t>VSIG2</w:t>
            </w:r>
          </w:p>
        </w:tc>
        <w:tc>
          <w:tcPr>
            <w:tcW w:w="2529" w:type="dxa"/>
          </w:tcPr>
          <w:p w14:paraId="14FEAB58" w14:textId="77777777" w:rsidR="00836CBC" w:rsidRPr="00052A0D" w:rsidRDefault="00836CBC" w:rsidP="00814EA1">
            <w:pPr>
              <w:pStyle w:val="Default"/>
              <w:jc w:val="both"/>
              <w:rPr>
                <w:sz w:val="21"/>
                <w:szCs w:val="21"/>
              </w:rPr>
            </w:pPr>
            <w:r w:rsidRPr="00052A0D">
              <w:rPr>
                <w:sz w:val="21"/>
                <w:szCs w:val="21"/>
              </w:rPr>
              <w:t xml:space="preserve">RT-PCR forward </w:t>
            </w:r>
          </w:p>
        </w:tc>
        <w:tc>
          <w:tcPr>
            <w:tcW w:w="4394" w:type="dxa"/>
          </w:tcPr>
          <w:p w14:paraId="09000046" w14:textId="77777777" w:rsidR="00836CBC" w:rsidRPr="00052A0D" w:rsidRDefault="00836CBC" w:rsidP="00814EA1">
            <w:pPr>
              <w:pStyle w:val="Default"/>
              <w:jc w:val="both"/>
              <w:rPr>
                <w:sz w:val="21"/>
                <w:szCs w:val="21"/>
              </w:rPr>
            </w:pPr>
            <w:r w:rsidRPr="00052A0D">
              <w:rPr>
                <w:sz w:val="21"/>
                <w:szCs w:val="21"/>
              </w:rPr>
              <w:t>TTCTCCAGCCCAACACAAGG</w:t>
            </w:r>
          </w:p>
        </w:tc>
      </w:tr>
      <w:tr w:rsidR="00836CBC" w:rsidRPr="00052A0D" w14:paraId="1C133C22" w14:textId="77777777" w:rsidTr="00814EA1">
        <w:trPr>
          <w:trHeight w:val="109"/>
          <w:jc w:val="center"/>
        </w:trPr>
        <w:tc>
          <w:tcPr>
            <w:tcW w:w="1582" w:type="dxa"/>
            <w:vMerge/>
            <w:vAlign w:val="center"/>
          </w:tcPr>
          <w:p w14:paraId="77B8A38D" w14:textId="77777777" w:rsidR="00836CBC" w:rsidRPr="00052A0D" w:rsidRDefault="00836CBC" w:rsidP="00814EA1">
            <w:pPr>
              <w:pStyle w:val="Default"/>
              <w:jc w:val="both"/>
              <w:rPr>
                <w:sz w:val="21"/>
                <w:szCs w:val="21"/>
              </w:rPr>
            </w:pPr>
          </w:p>
        </w:tc>
        <w:tc>
          <w:tcPr>
            <w:tcW w:w="2529" w:type="dxa"/>
          </w:tcPr>
          <w:p w14:paraId="016741F3" w14:textId="77777777" w:rsidR="00836CBC" w:rsidRPr="00052A0D" w:rsidRDefault="00836CBC" w:rsidP="00814EA1">
            <w:pPr>
              <w:pStyle w:val="Default"/>
              <w:jc w:val="both"/>
              <w:rPr>
                <w:sz w:val="21"/>
                <w:szCs w:val="21"/>
              </w:rPr>
            </w:pPr>
            <w:r w:rsidRPr="00052A0D">
              <w:rPr>
                <w:sz w:val="21"/>
                <w:szCs w:val="21"/>
              </w:rPr>
              <w:t xml:space="preserve">RT-PCR reverse </w:t>
            </w:r>
          </w:p>
        </w:tc>
        <w:tc>
          <w:tcPr>
            <w:tcW w:w="4394" w:type="dxa"/>
          </w:tcPr>
          <w:p w14:paraId="7159C624" w14:textId="77777777" w:rsidR="00836CBC" w:rsidRPr="00052A0D" w:rsidRDefault="00836CBC" w:rsidP="00814EA1">
            <w:pPr>
              <w:pStyle w:val="Default"/>
              <w:jc w:val="both"/>
              <w:rPr>
                <w:sz w:val="21"/>
                <w:szCs w:val="21"/>
              </w:rPr>
            </w:pPr>
            <w:r w:rsidRPr="00052A0D">
              <w:rPr>
                <w:sz w:val="21"/>
                <w:szCs w:val="21"/>
              </w:rPr>
              <w:t xml:space="preserve">TTGGTGAAGTACAGAACGGGC </w:t>
            </w:r>
          </w:p>
        </w:tc>
      </w:tr>
      <w:tr w:rsidR="00836CBC" w:rsidRPr="00052A0D" w14:paraId="1B618EB0" w14:textId="77777777" w:rsidTr="00814EA1">
        <w:trPr>
          <w:trHeight w:val="109"/>
          <w:jc w:val="center"/>
        </w:trPr>
        <w:tc>
          <w:tcPr>
            <w:tcW w:w="1582" w:type="dxa"/>
            <w:vMerge/>
            <w:vAlign w:val="center"/>
          </w:tcPr>
          <w:p w14:paraId="28F69655" w14:textId="77777777" w:rsidR="00836CBC" w:rsidRPr="00052A0D" w:rsidRDefault="00836CBC" w:rsidP="00814EA1">
            <w:pPr>
              <w:pStyle w:val="Default"/>
              <w:jc w:val="both"/>
              <w:rPr>
                <w:sz w:val="21"/>
                <w:szCs w:val="21"/>
              </w:rPr>
            </w:pPr>
          </w:p>
        </w:tc>
        <w:tc>
          <w:tcPr>
            <w:tcW w:w="2529" w:type="dxa"/>
          </w:tcPr>
          <w:p w14:paraId="16F1F447"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Pr>
          <w:p w14:paraId="5B350083" w14:textId="77777777" w:rsidR="00836CBC" w:rsidRPr="00052A0D" w:rsidRDefault="00836CBC" w:rsidP="00814EA1">
            <w:pPr>
              <w:pStyle w:val="Default"/>
              <w:jc w:val="both"/>
              <w:rPr>
                <w:sz w:val="21"/>
                <w:szCs w:val="21"/>
              </w:rPr>
            </w:pPr>
            <w:r w:rsidRPr="00052A0D">
              <w:rPr>
                <w:sz w:val="21"/>
                <w:szCs w:val="21"/>
              </w:rPr>
              <w:t>GGCGACAACTTTGCCTTGGAGT</w:t>
            </w:r>
          </w:p>
        </w:tc>
      </w:tr>
      <w:tr w:rsidR="00836CBC" w:rsidRPr="00052A0D" w14:paraId="4FCB8B55" w14:textId="77777777" w:rsidTr="00814EA1">
        <w:trPr>
          <w:trHeight w:val="109"/>
          <w:jc w:val="center"/>
        </w:trPr>
        <w:tc>
          <w:tcPr>
            <w:tcW w:w="1582" w:type="dxa"/>
            <w:vMerge/>
            <w:vAlign w:val="center"/>
          </w:tcPr>
          <w:p w14:paraId="08ABBB66" w14:textId="77777777" w:rsidR="00836CBC" w:rsidRPr="00052A0D" w:rsidRDefault="00836CBC" w:rsidP="00814EA1">
            <w:pPr>
              <w:pStyle w:val="Default"/>
              <w:jc w:val="both"/>
              <w:rPr>
                <w:sz w:val="21"/>
                <w:szCs w:val="21"/>
              </w:rPr>
            </w:pPr>
          </w:p>
        </w:tc>
        <w:tc>
          <w:tcPr>
            <w:tcW w:w="2529" w:type="dxa"/>
          </w:tcPr>
          <w:p w14:paraId="3F40FA24"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Pr>
          <w:p w14:paraId="3AC918DC" w14:textId="77777777" w:rsidR="00836CBC" w:rsidRPr="00052A0D" w:rsidRDefault="00836CBC" w:rsidP="00814EA1">
            <w:pPr>
              <w:pStyle w:val="Default"/>
              <w:jc w:val="both"/>
              <w:rPr>
                <w:sz w:val="21"/>
                <w:szCs w:val="21"/>
              </w:rPr>
            </w:pPr>
            <w:r w:rsidRPr="00052A0D">
              <w:rPr>
                <w:sz w:val="21"/>
                <w:szCs w:val="21"/>
              </w:rPr>
              <w:t>CCGATCTGCTTTAGAGCCAGTG</w:t>
            </w:r>
          </w:p>
        </w:tc>
      </w:tr>
      <w:tr w:rsidR="00836CBC" w:rsidRPr="00052A0D" w14:paraId="16FEE6A6" w14:textId="77777777" w:rsidTr="00814EA1">
        <w:trPr>
          <w:trHeight w:val="109"/>
          <w:jc w:val="center"/>
        </w:trPr>
        <w:tc>
          <w:tcPr>
            <w:tcW w:w="1582" w:type="dxa"/>
            <w:vMerge w:val="restart"/>
            <w:vAlign w:val="center"/>
          </w:tcPr>
          <w:p w14:paraId="4EAD2CCC" w14:textId="77777777" w:rsidR="00836CBC" w:rsidRPr="00052A0D" w:rsidRDefault="00836CBC" w:rsidP="00814EA1">
            <w:pPr>
              <w:pStyle w:val="Default"/>
              <w:jc w:val="both"/>
              <w:rPr>
                <w:sz w:val="21"/>
                <w:szCs w:val="21"/>
              </w:rPr>
            </w:pPr>
            <w:r w:rsidRPr="00052A0D">
              <w:rPr>
                <w:sz w:val="21"/>
                <w:szCs w:val="21"/>
              </w:rPr>
              <w:t>TNF-α</w:t>
            </w:r>
          </w:p>
        </w:tc>
        <w:tc>
          <w:tcPr>
            <w:tcW w:w="2529" w:type="dxa"/>
          </w:tcPr>
          <w:p w14:paraId="649C5DAE"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Pr>
          <w:p w14:paraId="5DC2D8AA" w14:textId="77777777" w:rsidR="00836CBC" w:rsidRPr="00052A0D" w:rsidRDefault="00836CBC" w:rsidP="00814EA1">
            <w:pPr>
              <w:pStyle w:val="Default"/>
              <w:jc w:val="both"/>
              <w:rPr>
                <w:sz w:val="21"/>
                <w:szCs w:val="21"/>
              </w:rPr>
            </w:pPr>
            <w:r w:rsidRPr="00052A0D">
              <w:rPr>
                <w:sz w:val="21"/>
                <w:szCs w:val="21"/>
              </w:rPr>
              <w:t>GGTGCCTATGTCTCAGCCTCTT</w:t>
            </w:r>
          </w:p>
        </w:tc>
      </w:tr>
      <w:tr w:rsidR="00836CBC" w:rsidRPr="00052A0D" w14:paraId="5AB2C9D0" w14:textId="77777777" w:rsidTr="00814EA1">
        <w:trPr>
          <w:trHeight w:val="109"/>
          <w:jc w:val="center"/>
        </w:trPr>
        <w:tc>
          <w:tcPr>
            <w:tcW w:w="1582" w:type="dxa"/>
            <w:vMerge/>
            <w:vAlign w:val="center"/>
          </w:tcPr>
          <w:p w14:paraId="4BE32F91" w14:textId="77777777" w:rsidR="00836CBC" w:rsidRPr="00052A0D" w:rsidRDefault="00836CBC" w:rsidP="00814EA1">
            <w:pPr>
              <w:pStyle w:val="Default"/>
              <w:jc w:val="both"/>
              <w:rPr>
                <w:sz w:val="21"/>
                <w:szCs w:val="21"/>
              </w:rPr>
            </w:pPr>
          </w:p>
        </w:tc>
        <w:tc>
          <w:tcPr>
            <w:tcW w:w="2529" w:type="dxa"/>
          </w:tcPr>
          <w:p w14:paraId="65A4AF88"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Pr>
          <w:p w14:paraId="79EED6C9" w14:textId="77777777" w:rsidR="00836CBC" w:rsidRPr="00052A0D" w:rsidRDefault="00836CBC" w:rsidP="00814EA1">
            <w:pPr>
              <w:pStyle w:val="Default"/>
              <w:jc w:val="both"/>
              <w:rPr>
                <w:sz w:val="21"/>
                <w:szCs w:val="21"/>
              </w:rPr>
            </w:pPr>
            <w:r w:rsidRPr="00052A0D">
              <w:rPr>
                <w:sz w:val="21"/>
                <w:szCs w:val="21"/>
              </w:rPr>
              <w:t>GCCATAGAACTGATGAGAGGGAG</w:t>
            </w:r>
          </w:p>
        </w:tc>
      </w:tr>
      <w:tr w:rsidR="00836CBC" w:rsidRPr="00052A0D" w14:paraId="0A42F4AB" w14:textId="77777777" w:rsidTr="00814EA1">
        <w:trPr>
          <w:trHeight w:val="109"/>
          <w:jc w:val="center"/>
        </w:trPr>
        <w:tc>
          <w:tcPr>
            <w:tcW w:w="1582" w:type="dxa"/>
            <w:vMerge w:val="restart"/>
            <w:vAlign w:val="center"/>
          </w:tcPr>
          <w:p w14:paraId="17F526E1" w14:textId="77777777" w:rsidR="00836CBC" w:rsidRPr="00052A0D" w:rsidRDefault="00836CBC" w:rsidP="00814EA1">
            <w:pPr>
              <w:pStyle w:val="Default"/>
              <w:jc w:val="both"/>
              <w:rPr>
                <w:sz w:val="21"/>
                <w:szCs w:val="21"/>
              </w:rPr>
            </w:pPr>
            <w:r w:rsidRPr="00052A0D">
              <w:rPr>
                <w:sz w:val="21"/>
                <w:szCs w:val="21"/>
              </w:rPr>
              <w:t>IRF1</w:t>
            </w:r>
          </w:p>
        </w:tc>
        <w:tc>
          <w:tcPr>
            <w:tcW w:w="2529" w:type="dxa"/>
          </w:tcPr>
          <w:p w14:paraId="32E131F2"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Pr>
          <w:p w14:paraId="0445F133" w14:textId="77777777" w:rsidR="00836CBC" w:rsidRPr="00052A0D" w:rsidRDefault="00836CBC" w:rsidP="00814EA1">
            <w:pPr>
              <w:pStyle w:val="Default"/>
              <w:jc w:val="both"/>
              <w:rPr>
                <w:sz w:val="21"/>
                <w:szCs w:val="21"/>
              </w:rPr>
            </w:pPr>
            <w:r w:rsidRPr="00052A0D">
              <w:rPr>
                <w:sz w:val="21"/>
                <w:szCs w:val="21"/>
              </w:rPr>
              <w:t>TCCAAGTCCAGCCGAGACACTA</w:t>
            </w:r>
          </w:p>
        </w:tc>
      </w:tr>
      <w:tr w:rsidR="00836CBC" w:rsidRPr="00052A0D" w14:paraId="0D047FA3" w14:textId="77777777" w:rsidTr="00814EA1">
        <w:trPr>
          <w:trHeight w:val="109"/>
          <w:jc w:val="center"/>
        </w:trPr>
        <w:tc>
          <w:tcPr>
            <w:tcW w:w="1582" w:type="dxa"/>
            <w:vMerge/>
            <w:vAlign w:val="center"/>
          </w:tcPr>
          <w:p w14:paraId="45B0EE02" w14:textId="77777777" w:rsidR="00836CBC" w:rsidRPr="00052A0D" w:rsidRDefault="00836CBC" w:rsidP="00814EA1">
            <w:pPr>
              <w:pStyle w:val="Default"/>
              <w:jc w:val="both"/>
              <w:rPr>
                <w:sz w:val="21"/>
                <w:szCs w:val="21"/>
              </w:rPr>
            </w:pPr>
          </w:p>
        </w:tc>
        <w:tc>
          <w:tcPr>
            <w:tcW w:w="2529" w:type="dxa"/>
          </w:tcPr>
          <w:p w14:paraId="2FA78ACF"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Pr>
          <w:p w14:paraId="4984F6FF" w14:textId="77777777" w:rsidR="00836CBC" w:rsidRPr="00052A0D" w:rsidRDefault="00836CBC" w:rsidP="00814EA1">
            <w:pPr>
              <w:pStyle w:val="Default"/>
              <w:jc w:val="both"/>
              <w:rPr>
                <w:sz w:val="21"/>
                <w:szCs w:val="21"/>
              </w:rPr>
            </w:pPr>
            <w:r w:rsidRPr="00052A0D">
              <w:rPr>
                <w:sz w:val="21"/>
                <w:szCs w:val="21"/>
              </w:rPr>
              <w:t>ACTGCTGTGGTCATCAGGTAGG</w:t>
            </w:r>
          </w:p>
        </w:tc>
      </w:tr>
      <w:tr w:rsidR="00836CBC" w:rsidRPr="00052A0D" w14:paraId="73864943" w14:textId="77777777" w:rsidTr="00814EA1">
        <w:trPr>
          <w:trHeight w:val="109"/>
          <w:jc w:val="center"/>
        </w:trPr>
        <w:tc>
          <w:tcPr>
            <w:tcW w:w="1582" w:type="dxa"/>
            <w:vMerge w:val="restart"/>
            <w:vAlign w:val="center"/>
          </w:tcPr>
          <w:p w14:paraId="00A15261" w14:textId="77777777" w:rsidR="00836CBC" w:rsidRPr="00052A0D" w:rsidRDefault="00836CBC" w:rsidP="00814EA1">
            <w:pPr>
              <w:pStyle w:val="Default"/>
              <w:jc w:val="both"/>
              <w:rPr>
                <w:sz w:val="21"/>
                <w:szCs w:val="21"/>
              </w:rPr>
            </w:pPr>
            <w:r w:rsidRPr="00052A0D">
              <w:rPr>
                <w:sz w:val="21"/>
                <w:szCs w:val="21"/>
              </w:rPr>
              <w:t>GBP2</w:t>
            </w:r>
          </w:p>
        </w:tc>
        <w:tc>
          <w:tcPr>
            <w:tcW w:w="2529" w:type="dxa"/>
          </w:tcPr>
          <w:p w14:paraId="47E215A0"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Pr>
          <w:p w14:paraId="4764726B" w14:textId="77777777" w:rsidR="00836CBC" w:rsidRPr="00052A0D" w:rsidRDefault="00836CBC" w:rsidP="00814EA1">
            <w:pPr>
              <w:pStyle w:val="Default"/>
              <w:jc w:val="both"/>
              <w:rPr>
                <w:sz w:val="21"/>
                <w:szCs w:val="21"/>
              </w:rPr>
            </w:pPr>
            <w:r w:rsidRPr="00052A0D">
              <w:rPr>
                <w:sz w:val="21"/>
                <w:szCs w:val="21"/>
              </w:rPr>
              <w:t>AGATGCCCACAGAAACCCTCCA</w:t>
            </w:r>
          </w:p>
        </w:tc>
      </w:tr>
      <w:tr w:rsidR="00836CBC" w:rsidRPr="00052A0D" w14:paraId="4AAF8D50" w14:textId="77777777" w:rsidTr="00814EA1">
        <w:trPr>
          <w:trHeight w:val="109"/>
          <w:jc w:val="center"/>
        </w:trPr>
        <w:tc>
          <w:tcPr>
            <w:tcW w:w="1582" w:type="dxa"/>
            <w:vMerge/>
            <w:vAlign w:val="center"/>
          </w:tcPr>
          <w:p w14:paraId="01B579BE" w14:textId="77777777" w:rsidR="00836CBC" w:rsidRPr="00052A0D" w:rsidRDefault="00836CBC" w:rsidP="00814EA1">
            <w:pPr>
              <w:pStyle w:val="Default"/>
              <w:jc w:val="both"/>
              <w:rPr>
                <w:sz w:val="21"/>
                <w:szCs w:val="21"/>
              </w:rPr>
            </w:pPr>
          </w:p>
        </w:tc>
        <w:tc>
          <w:tcPr>
            <w:tcW w:w="2529" w:type="dxa"/>
          </w:tcPr>
          <w:p w14:paraId="2A0C1ECE"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Pr>
          <w:p w14:paraId="2E0681D5" w14:textId="77777777" w:rsidR="00836CBC" w:rsidRPr="00052A0D" w:rsidRDefault="00836CBC" w:rsidP="00814EA1">
            <w:pPr>
              <w:pStyle w:val="Default"/>
              <w:jc w:val="both"/>
              <w:rPr>
                <w:sz w:val="21"/>
                <w:szCs w:val="21"/>
              </w:rPr>
            </w:pPr>
            <w:r w:rsidRPr="00052A0D">
              <w:rPr>
                <w:sz w:val="21"/>
                <w:szCs w:val="21"/>
              </w:rPr>
              <w:t>AAGGCATCTCGCTTGGCTACCA</w:t>
            </w:r>
          </w:p>
        </w:tc>
      </w:tr>
      <w:tr w:rsidR="00836CBC" w:rsidRPr="00052A0D" w14:paraId="2DB18E78" w14:textId="77777777" w:rsidTr="00814EA1">
        <w:trPr>
          <w:trHeight w:val="109"/>
          <w:jc w:val="center"/>
        </w:trPr>
        <w:tc>
          <w:tcPr>
            <w:tcW w:w="1582" w:type="dxa"/>
            <w:vMerge w:val="restart"/>
            <w:vAlign w:val="center"/>
          </w:tcPr>
          <w:p w14:paraId="4BCD1419" w14:textId="77777777" w:rsidR="00836CBC" w:rsidRPr="00052A0D" w:rsidRDefault="00836CBC" w:rsidP="00814EA1">
            <w:pPr>
              <w:pStyle w:val="Default"/>
              <w:jc w:val="both"/>
              <w:rPr>
                <w:sz w:val="21"/>
                <w:szCs w:val="21"/>
              </w:rPr>
            </w:pPr>
            <w:r w:rsidRPr="00052A0D">
              <w:rPr>
                <w:sz w:val="21"/>
                <w:szCs w:val="21"/>
              </w:rPr>
              <w:t>IFNG</w:t>
            </w:r>
          </w:p>
        </w:tc>
        <w:tc>
          <w:tcPr>
            <w:tcW w:w="2529" w:type="dxa"/>
          </w:tcPr>
          <w:p w14:paraId="1588DB5A"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Pr>
          <w:p w14:paraId="3E53BE1F" w14:textId="77777777" w:rsidR="00836CBC" w:rsidRPr="00052A0D" w:rsidRDefault="00836CBC" w:rsidP="00814EA1">
            <w:pPr>
              <w:pStyle w:val="Default"/>
              <w:jc w:val="both"/>
              <w:rPr>
                <w:sz w:val="21"/>
                <w:szCs w:val="21"/>
              </w:rPr>
            </w:pPr>
            <w:r w:rsidRPr="00052A0D">
              <w:rPr>
                <w:sz w:val="21"/>
                <w:szCs w:val="21"/>
              </w:rPr>
              <w:t>CAGCAACAGCAAGGCGAAAAAGG</w:t>
            </w:r>
          </w:p>
        </w:tc>
      </w:tr>
      <w:tr w:rsidR="00836CBC" w:rsidRPr="00052A0D" w14:paraId="37989820" w14:textId="77777777" w:rsidTr="00814EA1">
        <w:trPr>
          <w:trHeight w:val="109"/>
          <w:jc w:val="center"/>
        </w:trPr>
        <w:tc>
          <w:tcPr>
            <w:tcW w:w="1582" w:type="dxa"/>
            <w:vMerge/>
            <w:tcBorders>
              <w:bottom w:val="single" w:sz="4" w:space="0" w:color="auto"/>
            </w:tcBorders>
            <w:vAlign w:val="center"/>
          </w:tcPr>
          <w:p w14:paraId="0FB357F4" w14:textId="77777777" w:rsidR="00836CBC" w:rsidRPr="00052A0D" w:rsidRDefault="00836CBC" w:rsidP="00814EA1">
            <w:pPr>
              <w:pStyle w:val="Default"/>
              <w:jc w:val="both"/>
              <w:rPr>
                <w:sz w:val="21"/>
                <w:szCs w:val="21"/>
              </w:rPr>
            </w:pPr>
          </w:p>
        </w:tc>
        <w:tc>
          <w:tcPr>
            <w:tcW w:w="2529" w:type="dxa"/>
            <w:tcBorders>
              <w:top w:val="single" w:sz="4" w:space="0" w:color="auto"/>
              <w:bottom w:val="single" w:sz="4" w:space="0" w:color="auto"/>
              <w:right w:val="single" w:sz="4" w:space="0" w:color="auto"/>
            </w:tcBorders>
          </w:tcPr>
          <w:p w14:paraId="6E41F49E"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tcPr>
          <w:p w14:paraId="73524E73" w14:textId="77777777" w:rsidR="00836CBC" w:rsidRPr="00052A0D" w:rsidRDefault="00836CBC" w:rsidP="00814EA1">
            <w:pPr>
              <w:pStyle w:val="Default"/>
              <w:jc w:val="both"/>
              <w:rPr>
                <w:sz w:val="21"/>
                <w:szCs w:val="21"/>
              </w:rPr>
            </w:pPr>
            <w:r w:rsidRPr="00052A0D">
              <w:rPr>
                <w:sz w:val="21"/>
                <w:szCs w:val="21"/>
              </w:rPr>
              <w:t>TTTCCGCTTCCTGAGGCTGGAT</w:t>
            </w:r>
          </w:p>
        </w:tc>
      </w:tr>
      <w:tr w:rsidR="00836CBC" w:rsidRPr="00052A0D" w14:paraId="4E50C613" w14:textId="77777777" w:rsidTr="00814EA1">
        <w:trPr>
          <w:trHeight w:val="109"/>
          <w:jc w:val="center"/>
        </w:trPr>
        <w:tc>
          <w:tcPr>
            <w:tcW w:w="1582" w:type="dxa"/>
            <w:vMerge w:val="restart"/>
            <w:tcBorders>
              <w:top w:val="single" w:sz="4" w:space="0" w:color="auto"/>
              <w:left w:val="single" w:sz="4" w:space="0" w:color="auto"/>
              <w:right w:val="single" w:sz="4" w:space="0" w:color="auto"/>
            </w:tcBorders>
            <w:vAlign w:val="center"/>
          </w:tcPr>
          <w:p w14:paraId="7410D153" w14:textId="77777777" w:rsidR="00836CBC" w:rsidRPr="00052A0D" w:rsidRDefault="00836CBC" w:rsidP="00814EA1">
            <w:pPr>
              <w:pStyle w:val="Default"/>
              <w:jc w:val="both"/>
              <w:rPr>
                <w:sz w:val="21"/>
                <w:szCs w:val="21"/>
              </w:rPr>
            </w:pPr>
            <w:r w:rsidRPr="00052A0D">
              <w:rPr>
                <w:sz w:val="21"/>
                <w:szCs w:val="21"/>
              </w:rPr>
              <w:t>P15</w:t>
            </w:r>
          </w:p>
        </w:tc>
        <w:tc>
          <w:tcPr>
            <w:tcW w:w="2529" w:type="dxa"/>
            <w:tcBorders>
              <w:top w:val="single" w:sz="4" w:space="0" w:color="auto"/>
              <w:left w:val="single" w:sz="4" w:space="0" w:color="auto"/>
              <w:bottom w:val="single" w:sz="4" w:space="0" w:color="auto"/>
              <w:right w:val="single" w:sz="4" w:space="0" w:color="auto"/>
            </w:tcBorders>
          </w:tcPr>
          <w:p w14:paraId="443B44DA"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Borders>
              <w:top w:val="single" w:sz="4" w:space="0" w:color="auto"/>
              <w:left w:val="single" w:sz="4" w:space="0" w:color="auto"/>
              <w:bottom w:val="single" w:sz="4" w:space="0" w:color="auto"/>
              <w:right w:val="single" w:sz="4" w:space="0" w:color="auto"/>
            </w:tcBorders>
          </w:tcPr>
          <w:p w14:paraId="30CD4805" w14:textId="77777777" w:rsidR="00836CBC" w:rsidRPr="00052A0D" w:rsidRDefault="00836CBC" w:rsidP="00814EA1">
            <w:pPr>
              <w:pStyle w:val="Default"/>
              <w:jc w:val="both"/>
              <w:rPr>
                <w:sz w:val="21"/>
                <w:szCs w:val="21"/>
              </w:rPr>
            </w:pPr>
            <w:r w:rsidRPr="00052A0D">
              <w:rPr>
                <w:sz w:val="21"/>
                <w:szCs w:val="21"/>
              </w:rPr>
              <w:t>CCCTGCCACCCTTACCAGA</w:t>
            </w:r>
          </w:p>
        </w:tc>
      </w:tr>
      <w:tr w:rsidR="00836CBC" w:rsidRPr="00052A0D" w14:paraId="5E3EA3A0" w14:textId="77777777" w:rsidTr="00814EA1">
        <w:trPr>
          <w:trHeight w:val="109"/>
          <w:jc w:val="center"/>
        </w:trPr>
        <w:tc>
          <w:tcPr>
            <w:tcW w:w="1582" w:type="dxa"/>
            <w:vMerge/>
            <w:tcBorders>
              <w:left w:val="single" w:sz="4" w:space="0" w:color="auto"/>
              <w:bottom w:val="single" w:sz="4" w:space="0" w:color="auto"/>
              <w:right w:val="single" w:sz="4" w:space="0" w:color="auto"/>
            </w:tcBorders>
            <w:vAlign w:val="center"/>
          </w:tcPr>
          <w:p w14:paraId="0BCBB414" w14:textId="77777777" w:rsidR="00836CBC" w:rsidRPr="00052A0D" w:rsidRDefault="00836CBC" w:rsidP="00814EA1">
            <w:pPr>
              <w:pStyle w:val="Default"/>
              <w:jc w:val="both"/>
              <w:rPr>
                <w:sz w:val="21"/>
                <w:szCs w:val="21"/>
              </w:rPr>
            </w:pPr>
          </w:p>
        </w:tc>
        <w:tc>
          <w:tcPr>
            <w:tcW w:w="2529" w:type="dxa"/>
            <w:tcBorders>
              <w:top w:val="single" w:sz="4" w:space="0" w:color="auto"/>
              <w:left w:val="single" w:sz="4" w:space="0" w:color="auto"/>
              <w:bottom w:val="single" w:sz="4" w:space="0" w:color="auto"/>
              <w:right w:val="single" w:sz="4" w:space="0" w:color="auto"/>
            </w:tcBorders>
          </w:tcPr>
          <w:p w14:paraId="20C80955"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tcPr>
          <w:p w14:paraId="351ABFD8" w14:textId="77777777" w:rsidR="00836CBC" w:rsidRPr="00052A0D" w:rsidRDefault="00836CBC" w:rsidP="00814EA1">
            <w:pPr>
              <w:pStyle w:val="Default"/>
              <w:jc w:val="both"/>
              <w:rPr>
                <w:sz w:val="21"/>
                <w:szCs w:val="21"/>
              </w:rPr>
            </w:pPr>
            <w:r w:rsidRPr="00052A0D">
              <w:rPr>
                <w:sz w:val="21"/>
                <w:szCs w:val="21"/>
              </w:rPr>
              <w:t>CAGATACCTCGCAATGTCACG</w:t>
            </w:r>
          </w:p>
        </w:tc>
      </w:tr>
      <w:tr w:rsidR="00836CBC" w:rsidRPr="00052A0D" w14:paraId="1B0B4528" w14:textId="77777777" w:rsidTr="00814EA1">
        <w:trPr>
          <w:trHeight w:val="109"/>
          <w:jc w:val="center"/>
        </w:trPr>
        <w:tc>
          <w:tcPr>
            <w:tcW w:w="1582" w:type="dxa"/>
            <w:vMerge w:val="restart"/>
            <w:tcBorders>
              <w:top w:val="single" w:sz="4" w:space="0" w:color="auto"/>
              <w:left w:val="single" w:sz="4" w:space="0" w:color="auto"/>
              <w:right w:val="single" w:sz="4" w:space="0" w:color="auto"/>
            </w:tcBorders>
            <w:vAlign w:val="center"/>
          </w:tcPr>
          <w:p w14:paraId="24180905" w14:textId="77777777" w:rsidR="00836CBC" w:rsidRPr="00052A0D" w:rsidRDefault="00836CBC" w:rsidP="00814EA1">
            <w:pPr>
              <w:pStyle w:val="Default"/>
              <w:jc w:val="both"/>
              <w:rPr>
                <w:sz w:val="21"/>
                <w:szCs w:val="21"/>
              </w:rPr>
            </w:pPr>
            <w:r w:rsidRPr="00052A0D">
              <w:rPr>
                <w:sz w:val="21"/>
                <w:szCs w:val="21"/>
              </w:rPr>
              <w:t>P16</w:t>
            </w:r>
          </w:p>
        </w:tc>
        <w:tc>
          <w:tcPr>
            <w:tcW w:w="2529" w:type="dxa"/>
            <w:tcBorders>
              <w:top w:val="single" w:sz="4" w:space="0" w:color="auto"/>
              <w:left w:val="single" w:sz="4" w:space="0" w:color="auto"/>
              <w:bottom w:val="single" w:sz="4" w:space="0" w:color="auto"/>
              <w:right w:val="single" w:sz="4" w:space="0" w:color="auto"/>
            </w:tcBorders>
          </w:tcPr>
          <w:p w14:paraId="491EBAC4"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Borders>
              <w:top w:val="single" w:sz="4" w:space="0" w:color="auto"/>
              <w:left w:val="single" w:sz="4" w:space="0" w:color="auto"/>
              <w:bottom w:val="single" w:sz="4" w:space="0" w:color="auto"/>
              <w:right w:val="single" w:sz="4" w:space="0" w:color="auto"/>
            </w:tcBorders>
          </w:tcPr>
          <w:p w14:paraId="3AEFC2A7" w14:textId="77777777" w:rsidR="00836CBC" w:rsidRPr="00052A0D" w:rsidRDefault="00836CBC" w:rsidP="00814EA1">
            <w:pPr>
              <w:pStyle w:val="Default"/>
              <w:jc w:val="both"/>
              <w:rPr>
                <w:sz w:val="21"/>
                <w:szCs w:val="21"/>
              </w:rPr>
            </w:pPr>
            <w:r w:rsidRPr="00052A0D">
              <w:rPr>
                <w:sz w:val="21"/>
                <w:szCs w:val="21"/>
              </w:rPr>
              <w:t>CGAACTCTTTCGGTCGTACCC</w:t>
            </w:r>
          </w:p>
        </w:tc>
      </w:tr>
      <w:tr w:rsidR="00836CBC" w:rsidRPr="00052A0D" w14:paraId="2633BCAB" w14:textId="77777777" w:rsidTr="00814EA1">
        <w:trPr>
          <w:trHeight w:val="109"/>
          <w:jc w:val="center"/>
        </w:trPr>
        <w:tc>
          <w:tcPr>
            <w:tcW w:w="1582" w:type="dxa"/>
            <w:vMerge/>
            <w:tcBorders>
              <w:left w:val="single" w:sz="4" w:space="0" w:color="auto"/>
              <w:bottom w:val="single" w:sz="4" w:space="0" w:color="auto"/>
              <w:right w:val="single" w:sz="4" w:space="0" w:color="auto"/>
            </w:tcBorders>
            <w:vAlign w:val="center"/>
          </w:tcPr>
          <w:p w14:paraId="1A68C3C2" w14:textId="77777777" w:rsidR="00836CBC" w:rsidRPr="00052A0D" w:rsidRDefault="00836CBC" w:rsidP="00814EA1">
            <w:pPr>
              <w:pStyle w:val="Default"/>
              <w:jc w:val="both"/>
              <w:rPr>
                <w:sz w:val="21"/>
                <w:szCs w:val="21"/>
              </w:rPr>
            </w:pPr>
          </w:p>
        </w:tc>
        <w:tc>
          <w:tcPr>
            <w:tcW w:w="2529" w:type="dxa"/>
            <w:tcBorders>
              <w:top w:val="single" w:sz="4" w:space="0" w:color="auto"/>
              <w:left w:val="single" w:sz="4" w:space="0" w:color="auto"/>
              <w:bottom w:val="single" w:sz="4" w:space="0" w:color="auto"/>
              <w:right w:val="single" w:sz="4" w:space="0" w:color="auto"/>
            </w:tcBorders>
          </w:tcPr>
          <w:p w14:paraId="402AB41B"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tcPr>
          <w:p w14:paraId="414C465A" w14:textId="77777777" w:rsidR="00836CBC" w:rsidRPr="00052A0D" w:rsidRDefault="00836CBC" w:rsidP="00814EA1">
            <w:pPr>
              <w:pStyle w:val="Default"/>
              <w:jc w:val="both"/>
              <w:rPr>
                <w:sz w:val="21"/>
                <w:szCs w:val="21"/>
              </w:rPr>
            </w:pPr>
            <w:r w:rsidRPr="00052A0D">
              <w:rPr>
                <w:sz w:val="21"/>
                <w:szCs w:val="21"/>
              </w:rPr>
              <w:t>CGAATCTGCACCGTAGTTGAGC</w:t>
            </w:r>
          </w:p>
        </w:tc>
      </w:tr>
      <w:tr w:rsidR="00836CBC" w:rsidRPr="00052A0D" w14:paraId="1A528BCE" w14:textId="77777777" w:rsidTr="00814EA1">
        <w:trPr>
          <w:trHeight w:val="109"/>
          <w:jc w:val="center"/>
        </w:trPr>
        <w:tc>
          <w:tcPr>
            <w:tcW w:w="1582" w:type="dxa"/>
            <w:vMerge w:val="restart"/>
            <w:tcBorders>
              <w:top w:val="single" w:sz="4" w:space="0" w:color="auto"/>
              <w:left w:val="single" w:sz="4" w:space="0" w:color="auto"/>
              <w:right w:val="single" w:sz="4" w:space="0" w:color="auto"/>
            </w:tcBorders>
            <w:vAlign w:val="center"/>
          </w:tcPr>
          <w:p w14:paraId="29D9BB06" w14:textId="77777777" w:rsidR="00836CBC" w:rsidRPr="00052A0D" w:rsidRDefault="00836CBC" w:rsidP="00814EA1">
            <w:pPr>
              <w:pStyle w:val="Default"/>
              <w:jc w:val="both"/>
              <w:rPr>
                <w:sz w:val="21"/>
                <w:szCs w:val="21"/>
              </w:rPr>
            </w:pPr>
            <w:r w:rsidRPr="00052A0D">
              <w:rPr>
                <w:sz w:val="21"/>
                <w:szCs w:val="21"/>
              </w:rPr>
              <w:t>P18</w:t>
            </w:r>
          </w:p>
        </w:tc>
        <w:tc>
          <w:tcPr>
            <w:tcW w:w="2529" w:type="dxa"/>
            <w:tcBorders>
              <w:top w:val="single" w:sz="4" w:space="0" w:color="auto"/>
              <w:left w:val="single" w:sz="4" w:space="0" w:color="auto"/>
              <w:bottom w:val="single" w:sz="4" w:space="0" w:color="auto"/>
              <w:right w:val="single" w:sz="4" w:space="0" w:color="auto"/>
            </w:tcBorders>
          </w:tcPr>
          <w:p w14:paraId="20E892EC"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Borders>
              <w:top w:val="single" w:sz="4" w:space="0" w:color="auto"/>
              <w:left w:val="single" w:sz="4" w:space="0" w:color="auto"/>
              <w:bottom w:val="single" w:sz="4" w:space="0" w:color="auto"/>
              <w:right w:val="single" w:sz="4" w:space="0" w:color="auto"/>
            </w:tcBorders>
          </w:tcPr>
          <w:p w14:paraId="155934FD" w14:textId="77777777" w:rsidR="00836CBC" w:rsidRPr="00052A0D" w:rsidRDefault="00836CBC" w:rsidP="00814EA1">
            <w:pPr>
              <w:pStyle w:val="Default"/>
              <w:jc w:val="both"/>
              <w:rPr>
                <w:sz w:val="21"/>
                <w:szCs w:val="21"/>
              </w:rPr>
            </w:pPr>
            <w:r w:rsidRPr="00052A0D">
              <w:rPr>
                <w:sz w:val="21"/>
                <w:szCs w:val="21"/>
              </w:rPr>
              <w:t>CCTTGGGGGAACGAGTTGG</w:t>
            </w:r>
          </w:p>
        </w:tc>
      </w:tr>
      <w:tr w:rsidR="00836CBC" w:rsidRPr="00052A0D" w14:paraId="0EF3B5D1" w14:textId="77777777" w:rsidTr="00814EA1">
        <w:trPr>
          <w:trHeight w:val="109"/>
          <w:jc w:val="center"/>
        </w:trPr>
        <w:tc>
          <w:tcPr>
            <w:tcW w:w="1582" w:type="dxa"/>
            <w:vMerge/>
            <w:tcBorders>
              <w:left w:val="single" w:sz="4" w:space="0" w:color="auto"/>
              <w:bottom w:val="single" w:sz="4" w:space="0" w:color="auto"/>
              <w:right w:val="single" w:sz="4" w:space="0" w:color="auto"/>
            </w:tcBorders>
            <w:vAlign w:val="center"/>
          </w:tcPr>
          <w:p w14:paraId="6BCA12A8" w14:textId="77777777" w:rsidR="00836CBC" w:rsidRPr="00052A0D" w:rsidRDefault="00836CBC" w:rsidP="00814EA1">
            <w:pPr>
              <w:pStyle w:val="Default"/>
              <w:jc w:val="both"/>
              <w:rPr>
                <w:sz w:val="21"/>
                <w:szCs w:val="21"/>
              </w:rPr>
            </w:pPr>
          </w:p>
        </w:tc>
        <w:tc>
          <w:tcPr>
            <w:tcW w:w="2529" w:type="dxa"/>
            <w:tcBorders>
              <w:top w:val="single" w:sz="4" w:space="0" w:color="auto"/>
              <w:left w:val="single" w:sz="4" w:space="0" w:color="auto"/>
              <w:bottom w:val="single" w:sz="4" w:space="0" w:color="auto"/>
              <w:right w:val="single" w:sz="4" w:space="0" w:color="auto"/>
            </w:tcBorders>
          </w:tcPr>
          <w:p w14:paraId="423AB968"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tcPr>
          <w:p w14:paraId="61E7A6B7" w14:textId="77777777" w:rsidR="00836CBC" w:rsidRPr="00052A0D" w:rsidRDefault="00836CBC" w:rsidP="00814EA1">
            <w:pPr>
              <w:pStyle w:val="Default"/>
              <w:jc w:val="both"/>
              <w:rPr>
                <w:sz w:val="21"/>
                <w:szCs w:val="21"/>
              </w:rPr>
            </w:pPr>
            <w:r w:rsidRPr="00052A0D">
              <w:rPr>
                <w:sz w:val="21"/>
                <w:szCs w:val="21"/>
              </w:rPr>
              <w:t>AAATTGGGATTAGCACCTCTGAG</w:t>
            </w:r>
          </w:p>
        </w:tc>
      </w:tr>
      <w:tr w:rsidR="00836CBC" w:rsidRPr="00052A0D" w14:paraId="4BF57195" w14:textId="77777777" w:rsidTr="00814EA1">
        <w:trPr>
          <w:trHeight w:val="109"/>
          <w:jc w:val="center"/>
        </w:trPr>
        <w:tc>
          <w:tcPr>
            <w:tcW w:w="1582" w:type="dxa"/>
            <w:vMerge w:val="restart"/>
            <w:tcBorders>
              <w:top w:val="single" w:sz="4" w:space="0" w:color="auto"/>
              <w:left w:val="single" w:sz="4" w:space="0" w:color="auto"/>
              <w:right w:val="single" w:sz="4" w:space="0" w:color="auto"/>
            </w:tcBorders>
            <w:vAlign w:val="center"/>
          </w:tcPr>
          <w:p w14:paraId="3692C5A7" w14:textId="77777777" w:rsidR="00836CBC" w:rsidRPr="00052A0D" w:rsidRDefault="00836CBC" w:rsidP="00814EA1">
            <w:pPr>
              <w:pStyle w:val="Default"/>
              <w:jc w:val="both"/>
              <w:rPr>
                <w:sz w:val="21"/>
                <w:szCs w:val="21"/>
              </w:rPr>
            </w:pPr>
            <w:r w:rsidRPr="00052A0D">
              <w:rPr>
                <w:sz w:val="21"/>
                <w:szCs w:val="21"/>
              </w:rPr>
              <w:t>P19</w:t>
            </w:r>
          </w:p>
        </w:tc>
        <w:tc>
          <w:tcPr>
            <w:tcW w:w="2529" w:type="dxa"/>
            <w:tcBorders>
              <w:top w:val="single" w:sz="4" w:space="0" w:color="auto"/>
              <w:left w:val="single" w:sz="4" w:space="0" w:color="auto"/>
              <w:bottom w:val="single" w:sz="4" w:space="0" w:color="auto"/>
              <w:right w:val="single" w:sz="4" w:space="0" w:color="auto"/>
            </w:tcBorders>
          </w:tcPr>
          <w:p w14:paraId="37B57062"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Borders>
              <w:top w:val="single" w:sz="4" w:space="0" w:color="auto"/>
              <w:left w:val="single" w:sz="4" w:space="0" w:color="auto"/>
              <w:bottom w:val="single" w:sz="4" w:space="0" w:color="auto"/>
              <w:right w:val="single" w:sz="4" w:space="0" w:color="auto"/>
            </w:tcBorders>
          </w:tcPr>
          <w:p w14:paraId="46A53BD7" w14:textId="77777777" w:rsidR="00836CBC" w:rsidRPr="00052A0D" w:rsidRDefault="00836CBC" w:rsidP="00814EA1">
            <w:pPr>
              <w:pStyle w:val="Default"/>
              <w:jc w:val="both"/>
              <w:rPr>
                <w:sz w:val="21"/>
                <w:szCs w:val="21"/>
              </w:rPr>
            </w:pPr>
            <w:r w:rsidRPr="00052A0D">
              <w:rPr>
                <w:sz w:val="21"/>
                <w:szCs w:val="21"/>
              </w:rPr>
              <w:t>CTGAACCGCTTTGGCAAGAC</w:t>
            </w:r>
          </w:p>
        </w:tc>
      </w:tr>
      <w:tr w:rsidR="00836CBC" w:rsidRPr="00052A0D" w14:paraId="63177B9F" w14:textId="77777777" w:rsidTr="00814EA1">
        <w:trPr>
          <w:trHeight w:val="109"/>
          <w:jc w:val="center"/>
        </w:trPr>
        <w:tc>
          <w:tcPr>
            <w:tcW w:w="1582" w:type="dxa"/>
            <w:vMerge/>
            <w:tcBorders>
              <w:left w:val="single" w:sz="4" w:space="0" w:color="auto"/>
              <w:bottom w:val="single" w:sz="4" w:space="0" w:color="auto"/>
              <w:right w:val="single" w:sz="4" w:space="0" w:color="auto"/>
            </w:tcBorders>
            <w:vAlign w:val="center"/>
          </w:tcPr>
          <w:p w14:paraId="2213501A" w14:textId="77777777" w:rsidR="00836CBC" w:rsidRPr="00052A0D" w:rsidRDefault="00836CBC" w:rsidP="00814EA1">
            <w:pPr>
              <w:pStyle w:val="Default"/>
              <w:jc w:val="both"/>
              <w:rPr>
                <w:sz w:val="21"/>
                <w:szCs w:val="21"/>
              </w:rPr>
            </w:pPr>
          </w:p>
        </w:tc>
        <w:tc>
          <w:tcPr>
            <w:tcW w:w="2529" w:type="dxa"/>
            <w:tcBorders>
              <w:top w:val="single" w:sz="4" w:space="0" w:color="auto"/>
              <w:left w:val="single" w:sz="4" w:space="0" w:color="auto"/>
              <w:bottom w:val="single" w:sz="4" w:space="0" w:color="auto"/>
              <w:right w:val="single" w:sz="4" w:space="0" w:color="auto"/>
            </w:tcBorders>
          </w:tcPr>
          <w:p w14:paraId="59F4A94B"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tcPr>
          <w:p w14:paraId="1A0F96C3" w14:textId="77777777" w:rsidR="00836CBC" w:rsidRPr="00052A0D" w:rsidRDefault="00836CBC" w:rsidP="00814EA1">
            <w:pPr>
              <w:pStyle w:val="Default"/>
              <w:jc w:val="both"/>
              <w:rPr>
                <w:sz w:val="21"/>
                <w:szCs w:val="21"/>
              </w:rPr>
            </w:pPr>
            <w:r w:rsidRPr="00052A0D">
              <w:rPr>
                <w:sz w:val="21"/>
                <w:szCs w:val="21"/>
              </w:rPr>
              <w:t>GCCCTCTCTTATCGCCAGAT</w:t>
            </w:r>
          </w:p>
        </w:tc>
      </w:tr>
      <w:tr w:rsidR="00836CBC" w:rsidRPr="00052A0D" w14:paraId="77FB0810" w14:textId="77777777" w:rsidTr="00814EA1">
        <w:trPr>
          <w:trHeight w:val="109"/>
          <w:jc w:val="center"/>
        </w:trPr>
        <w:tc>
          <w:tcPr>
            <w:tcW w:w="1582" w:type="dxa"/>
            <w:vMerge w:val="restart"/>
            <w:tcBorders>
              <w:top w:val="single" w:sz="4" w:space="0" w:color="auto"/>
              <w:left w:val="single" w:sz="4" w:space="0" w:color="auto"/>
              <w:right w:val="single" w:sz="4" w:space="0" w:color="auto"/>
            </w:tcBorders>
            <w:vAlign w:val="center"/>
          </w:tcPr>
          <w:p w14:paraId="16EE793A" w14:textId="77777777" w:rsidR="00836CBC" w:rsidRPr="00052A0D" w:rsidRDefault="00836CBC" w:rsidP="00814EA1">
            <w:pPr>
              <w:pStyle w:val="Default"/>
              <w:jc w:val="both"/>
              <w:rPr>
                <w:sz w:val="21"/>
                <w:szCs w:val="21"/>
              </w:rPr>
            </w:pPr>
            <w:r w:rsidRPr="00052A0D">
              <w:rPr>
                <w:sz w:val="21"/>
                <w:szCs w:val="21"/>
              </w:rPr>
              <w:t>P21</w:t>
            </w:r>
          </w:p>
        </w:tc>
        <w:tc>
          <w:tcPr>
            <w:tcW w:w="2529" w:type="dxa"/>
            <w:tcBorders>
              <w:top w:val="single" w:sz="4" w:space="0" w:color="auto"/>
              <w:left w:val="single" w:sz="4" w:space="0" w:color="auto"/>
              <w:bottom w:val="single" w:sz="4" w:space="0" w:color="auto"/>
              <w:right w:val="single" w:sz="4" w:space="0" w:color="auto"/>
            </w:tcBorders>
          </w:tcPr>
          <w:p w14:paraId="55AD6037"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Borders>
              <w:top w:val="single" w:sz="4" w:space="0" w:color="auto"/>
              <w:left w:val="single" w:sz="4" w:space="0" w:color="auto"/>
              <w:bottom w:val="single" w:sz="4" w:space="0" w:color="auto"/>
              <w:right w:val="single" w:sz="4" w:space="0" w:color="auto"/>
            </w:tcBorders>
            <w:vAlign w:val="bottom"/>
          </w:tcPr>
          <w:p w14:paraId="7750F605" w14:textId="77777777" w:rsidR="00836CBC" w:rsidRPr="00052A0D" w:rsidRDefault="00836CBC" w:rsidP="00814EA1">
            <w:pPr>
              <w:pStyle w:val="Default"/>
              <w:jc w:val="both"/>
              <w:rPr>
                <w:sz w:val="21"/>
                <w:szCs w:val="21"/>
              </w:rPr>
            </w:pPr>
            <w:r w:rsidRPr="00052A0D">
              <w:rPr>
                <w:sz w:val="21"/>
                <w:szCs w:val="21"/>
              </w:rPr>
              <w:t>CCTGGTGATGTCCGACCTG</w:t>
            </w:r>
          </w:p>
        </w:tc>
      </w:tr>
      <w:tr w:rsidR="00836CBC" w:rsidRPr="00052A0D" w14:paraId="37573ED5" w14:textId="77777777" w:rsidTr="00814EA1">
        <w:trPr>
          <w:trHeight w:val="109"/>
          <w:jc w:val="center"/>
        </w:trPr>
        <w:tc>
          <w:tcPr>
            <w:tcW w:w="1582" w:type="dxa"/>
            <w:vMerge/>
            <w:tcBorders>
              <w:left w:val="single" w:sz="4" w:space="0" w:color="auto"/>
              <w:bottom w:val="single" w:sz="4" w:space="0" w:color="auto"/>
              <w:right w:val="single" w:sz="4" w:space="0" w:color="auto"/>
            </w:tcBorders>
            <w:vAlign w:val="center"/>
          </w:tcPr>
          <w:p w14:paraId="74713D87" w14:textId="77777777" w:rsidR="00836CBC" w:rsidRPr="00052A0D" w:rsidRDefault="00836CBC" w:rsidP="00814EA1">
            <w:pPr>
              <w:pStyle w:val="Default"/>
              <w:jc w:val="both"/>
              <w:rPr>
                <w:sz w:val="21"/>
                <w:szCs w:val="21"/>
              </w:rPr>
            </w:pPr>
          </w:p>
        </w:tc>
        <w:tc>
          <w:tcPr>
            <w:tcW w:w="2529" w:type="dxa"/>
            <w:tcBorders>
              <w:top w:val="single" w:sz="4" w:space="0" w:color="auto"/>
              <w:left w:val="single" w:sz="4" w:space="0" w:color="auto"/>
              <w:bottom w:val="single" w:sz="4" w:space="0" w:color="auto"/>
              <w:right w:val="single" w:sz="4" w:space="0" w:color="auto"/>
            </w:tcBorders>
          </w:tcPr>
          <w:p w14:paraId="37525DA7"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vAlign w:val="bottom"/>
          </w:tcPr>
          <w:p w14:paraId="6DDFA203" w14:textId="77777777" w:rsidR="00836CBC" w:rsidRPr="00052A0D" w:rsidRDefault="00836CBC" w:rsidP="00814EA1">
            <w:pPr>
              <w:pStyle w:val="Default"/>
              <w:jc w:val="both"/>
              <w:rPr>
                <w:sz w:val="21"/>
                <w:szCs w:val="21"/>
              </w:rPr>
            </w:pPr>
            <w:r w:rsidRPr="00052A0D">
              <w:rPr>
                <w:sz w:val="21"/>
                <w:szCs w:val="21"/>
              </w:rPr>
              <w:t>CCATGAGCGCATCGCAATC</w:t>
            </w:r>
          </w:p>
        </w:tc>
      </w:tr>
      <w:tr w:rsidR="00836CBC" w:rsidRPr="00052A0D" w14:paraId="4CE9D81E" w14:textId="77777777" w:rsidTr="00814EA1">
        <w:trPr>
          <w:trHeight w:val="109"/>
          <w:jc w:val="center"/>
        </w:trPr>
        <w:tc>
          <w:tcPr>
            <w:tcW w:w="1582" w:type="dxa"/>
            <w:vMerge w:val="restart"/>
            <w:tcBorders>
              <w:top w:val="single" w:sz="4" w:space="0" w:color="auto"/>
              <w:left w:val="single" w:sz="4" w:space="0" w:color="auto"/>
              <w:right w:val="single" w:sz="4" w:space="0" w:color="auto"/>
            </w:tcBorders>
            <w:vAlign w:val="center"/>
          </w:tcPr>
          <w:p w14:paraId="29124108" w14:textId="77777777" w:rsidR="00836CBC" w:rsidRPr="00052A0D" w:rsidRDefault="00836CBC" w:rsidP="00814EA1">
            <w:pPr>
              <w:pStyle w:val="Default"/>
              <w:jc w:val="both"/>
              <w:rPr>
                <w:sz w:val="21"/>
                <w:szCs w:val="21"/>
              </w:rPr>
            </w:pPr>
            <w:r w:rsidRPr="00052A0D">
              <w:rPr>
                <w:sz w:val="21"/>
                <w:szCs w:val="21"/>
              </w:rPr>
              <w:t>P27</w:t>
            </w:r>
          </w:p>
        </w:tc>
        <w:tc>
          <w:tcPr>
            <w:tcW w:w="2529" w:type="dxa"/>
            <w:tcBorders>
              <w:top w:val="single" w:sz="4" w:space="0" w:color="auto"/>
              <w:left w:val="single" w:sz="4" w:space="0" w:color="auto"/>
              <w:bottom w:val="single" w:sz="4" w:space="0" w:color="auto"/>
              <w:right w:val="single" w:sz="4" w:space="0" w:color="auto"/>
            </w:tcBorders>
          </w:tcPr>
          <w:p w14:paraId="3C55869B"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Borders>
              <w:top w:val="single" w:sz="4" w:space="0" w:color="auto"/>
              <w:left w:val="single" w:sz="4" w:space="0" w:color="auto"/>
              <w:bottom w:val="single" w:sz="4" w:space="0" w:color="auto"/>
              <w:right w:val="single" w:sz="4" w:space="0" w:color="auto"/>
            </w:tcBorders>
            <w:vAlign w:val="bottom"/>
          </w:tcPr>
          <w:p w14:paraId="3819B2B7" w14:textId="77777777" w:rsidR="00836CBC" w:rsidRPr="00052A0D" w:rsidRDefault="00836CBC" w:rsidP="00814EA1">
            <w:pPr>
              <w:pStyle w:val="Default"/>
              <w:jc w:val="both"/>
              <w:rPr>
                <w:sz w:val="21"/>
                <w:szCs w:val="21"/>
              </w:rPr>
            </w:pPr>
            <w:r w:rsidRPr="00052A0D">
              <w:rPr>
                <w:sz w:val="21"/>
                <w:szCs w:val="21"/>
              </w:rPr>
              <w:t>GGGCAGATACGAGTGGCAG</w:t>
            </w:r>
          </w:p>
        </w:tc>
      </w:tr>
      <w:tr w:rsidR="00836CBC" w:rsidRPr="00052A0D" w14:paraId="1152C376" w14:textId="77777777" w:rsidTr="00814EA1">
        <w:trPr>
          <w:trHeight w:val="109"/>
          <w:jc w:val="center"/>
        </w:trPr>
        <w:tc>
          <w:tcPr>
            <w:tcW w:w="1582" w:type="dxa"/>
            <w:vMerge/>
            <w:tcBorders>
              <w:left w:val="single" w:sz="4" w:space="0" w:color="auto"/>
              <w:bottom w:val="single" w:sz="4" w:space="0" w:color="auto"/>
              <w:right w:val="single" w:sz="4" w:space="0" w:color="auto"/>
            </w:tcBorders>
            <w:vAlign w:val="center"/>
          </w:tcPr>
          <w:p w14:paraId="4214D53C" w14:textId="77777777" w:rsidR="00836CBC" w:rsidRPr="00052A0D" w:rsidRDefault="00836CBC" w:rsidP="00814EA1">
            <w:pPr>
              <w:pStyle w:val="Default"/>
              <w:jc w:val="both"/>
              <w:rPr>
                <w:sz w:val="21"/>
                <w:szCs w:val="21"/>
              </w:rPr>
            </w:pPr>
          </w:p>
        </w:tc>
        <w:tc>
          <w:tcPr>
            <w:tcW w:w="2529" w:type="dxa"/>
            <w:tcBorders>
              <w:top w:val="single" w:sz="4" w:space="0" w:color="auto"/>
              <w:left w:val="single" w:sz="4" w:space="0" w:color="auto"/>
              <w:bottom w:val="single" w:sz="4" w:space="0" w:color="auto"/>
              <w:right w:val="single" w:sz="4" w:space="0" w:color="auto"/>
            </w:tcBorders>
          </w:tcPr>
          <w:p w14:paraId="34452C93"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vAlign w:val="bottom"/>
          </w:tcPr>
          <w:p w14:paraId="5CCBCBB5" w14:textId="77777777" w:rsidR="00836CBC" w:rsidRPr="00052A0D" w:rsidRDefault="00836CBC" w:rsidP="00814EA1">
            <w:pPr>
              <w:pStyle w:val="Default"/>
              <w:jc w:val="both"/>
              <w:rPr>
                <w:sz w:val="21"/>
                <w:szCs w:val="21"/>
              </w:rPr>
            </w:pPr>
            <w:r w:rsidRPr="00052A0D">
              <w:rPr>
                <w:sz w:val="21"/>
                <w:szCs w:val="21"/>
              </w:rPr>
              <w:t>TGAGACCCAATTAAAGGCACC</w:t>
            </w:r>
          </w:p>
        </w:tc>
      </w:tr>
      <w:tr w:rsidR="00836CBC" w:rsidRPr="00052A0D" w14:paraId="6D3C274B" w14:textId="77777777" w:rsidTr="00814EA1">
        <w:trPr>
          <w:trHeight w:val="109"/>
          <w:jc w:val="center"/>
        </w:trPr>
        <w:tc>
          <w:tcPr>
            <w:tcW w:w="1582" w:type="dxa"/>
            <w:vMerge w:val="restart"/>
            <w:tcBorders>
              <w:top w:val="single" w:sz="4" w:space="0" w:color="auto"/>
              <w:left w:val="single" w:sz="4" w:space="0" w:color="auto"/>
              <w:right w:val="single" w:sz="4" w:space="0" w:color="auto"/>
            </w:tcBorders>
            <w:vAlign w:val="center"/>
          </w:tcPr>
          <w:p w14:paraId="2F213E24" w14:textId="77777777" w:rsidR="00836CBC" w:rsidRPr="00052A0D" w:rsidRDefault="00836CBC" w:rsidP="00814EA1">
            <w:pPr>
              <w:pStyle w:val="Default"/>
              <w:jc w:val="both"/>
              <w:rPr>
                <w:sz w:val="21"/>
                <w:szCs w:val="21"/>
              </w:rPr>
            </w:pPr>
            <w:r w:rsidRPr="00052A0D">
              <w:rPr>
                <w:sz w:val="21"/>
                <w:szCs w:val="21"/>
              </w:rPr>
              <w:t>P57</w:t>
            </w:r>
          </w:p>
        </w:tc>
        <w:tc>
          <w:tcPr>
            <w:tcW w:w="2529" w:type="dxa"/>
            <w:tcBorders>
              <w:top w:val="single" w:sz="4" w:space="0" w:color="auto"/>
              <w:left w:val="single" w:sz="4" w:space="0" w:color="auto"/>
              <w:bottom w:val="single" w:sz="4" w:space="0" w:color="auto"/>
              <w:right w:val="single" w:sz="4" w:space="0" w:color="auto"/>
            </w:tcBorders>
          </w:tcPr>
          <w:p w14:paraId="2959AE5E"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Borders>
              <w:top w:val="single" w:sz="4" w:space="0" w:color="auto"/>
              <w:left w:val="single" w:sz="4" w:space="0" w:color="auto"/>
              <w:bottom w:val="single" w:sz="4" w:space="0" w:color="auto"/>
              <w:right w:val="single" w:sz="4" w:space="0" w:color="auto"/>
            </w:tcBorders>
            <w:vAlign w:val="bottom"/>
          </w:tcPr>
          <w:p w14:paraId="708303F8" w14:textId="77777777" w:rsidR="00836CBC" w:rsidRPr="00052A0D" w:rsidRDefault="00836CBC" w:rsidP="00814EA1">
            <w:pPr>
              <w:pStyle w:val="Default"/>
              <w:jc w:val="both"/>
              <w:rPr>
                <w:sz w:val="21"/>
                <w:szCs w:val="21"/>
              </w:rPr>
            </w:pPr>
            <w:r w:rsidRPr="00052A0D">
              <w:rPr>
                <w:sz w:val="21"/>
                <w:szCs w:val="21"/>
              </w:rPr>
              <w:t>CGAGGAGCAGGACGAGAATC</w:t>
            </w:r>
          </w:p>
        </w:tc>
      </w:tr>
      <w:tr w:rsidR="00836CBC" w:rsidRPr="00052A0D" w14:paraId="6E8DAE97" w14:textId="77777777" w:rsidTr="00814EA1">
        <w:trPr>
          <w:trHeight w:val="109"/>
          <w:jc w:val="center"/>
        </w:trPr>
        <w:tc>
          <w:tcPr>
            <w:tcW w:w="1582" w:type="dxa"/>
            <w:vMerge/>
            <w:tcBorders>
              <w:left w:val="single" w:sz="4" w:space="0" w:color="auto"/>
              <w:bottom w:val="single" w:sz="4" w:space="0" w:color="auto"/>
              <w:right w:val="single" w:sz="4" w:space="0" w:color="auto"/>
            </w:tcBorders>
            <w:vAlign w:val="center"/>
          </w:tcPr>
          <w:p w14:paraId="37BC5F28" w14:textId="77777777" w:rsidR="00836CBC" w:rsidRPr="00052A0D" w:rsidRDefault="00836CBC" w:rsidP="00814EA1">
            <w:pPr>
              <w:pStyle w:val="Default"/>
              <w:jc w:val="both"/>
              <w:rPr>
                <w:sz w:val="21"/>
                <w:szCs w:val="21"/>
              </w:rPr>
            </w:pPr>
          </w:p>
        </w:tc>
        <w:tc>
          <w:tcPr>
            <w:tcW w:w="2529" w:type="dxa"/>
            <w:tcBorders>
              <w:top w:val="single" w:sz="4" w:space="0" w:color="auto"/>
              <w:left w:val="single" w:sz="4" w:space="0" w:color="auto"/>
              <w:bottom w:val="single" w:sz="4" w:space="0" w:color="auto"/>
              <w:right w:val="single" w:sz="4" w:space="0" w:color="auto"/>
            </w:tcBorders>
          </w:tcPr>
          <w:p w14:paraId="509B658F"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vAlign w:val="bottom"/>
          </w:tcPr>
          <w:p w14:paraId="74940B98" w14:textId="77777777" w:rsidR="00836CBC" w:rsidRPr="00052A0D" w:rsidRDefault="00836CBC" w:rsidP="00814EA1">
            <w:pPr>
              <w:pStyle w:val="Default"/>
              <w:jc w:val="both"/>
              <w:rPr>
                <w:sz w:val="21"/>
                <w:szCs w:val="21"/>
              </w:rPr>
            </w:pPr>
            <w:r w:rsidRPr="00052A0D">
              <w:rPr>
                <w:sz w:val="21"/>
                <w:szCs w:val="21"/>
              </w:rPr>
              <w:t>GAAGAAGTCGTTCGCATTGGC</w:t>
            </w:r>
          </w:p>
        </w:tc>
      </w:tr>
      <w:tr w:rsidR="00836CBC" w:rsidRPr="00052A0D" w14:paraId="462FF39F" w14:textId="77777777" w:rsidTr="00814EA1">
        <w:trPr>
          <w:trHeight w:val="109"/>
          <w:jc w:val="center"/>
        </w:trPr>
        <w:tc>
          <w:tcPr>
            <w:tcW w:w="1582" w:type="dxa"/>
            <w:vMerge w:val="restart"/>
            <w:tcBorders>
              <w:top w:val="single" w:sz="4" w:space="0" w:color="auto"/>
              <w:left w:val="single" w:sz="4" w:space="0" w:color="auto"/>
              <w:bottom w:val="single" w:sz="4" w:space="0" w:color="auto"/>
              <w:right w:val="single" w:sz="4" w:space="0" w:color="auto"/>
            </w:tcBorders>
            <w:vAlign w:val="center"/>
          </w:tcPr>
          <w:p w14:paraId="4C6FD81B" w14:textId="77777777" w:rsidR="00836CBC" w:rsidRPr="00052A0D" w:rsidRDefault="00836CBC" w:rsidP="00814EA1">
            <w:pPr>
              <w:pStyle w:val="Default"/>
              <w:jc w:val="both"/>
              <w:rPr>
                <w:sz w:val="21"/>
                <w:szCs w:val="21"/>
              </w:rPr>
            </w:pPr>
            <w:r w:rsidRPr="00052A0D">
              <w:rPr>
                <w:sz w:val="21"/>
                <w:szCs w:val="21"/>
              </w:rPr>
              <w:t>GAPDH</w:t>
            </w:r>
          </w:p>
        </w:tc>
        <w:tc>
          <w:tcPr>
            <w:tcW w:w="2529" w:type="dxa"/>
            <w:tcBorders>
              <w:top w:val="single" w:sz="4" w:space="0" w:color="auto"/>
              <w:left w:val="single" w:sz="4" w:space="0" w:color="auto"/>
              <w:bottom w:val="single" w:sz="4" w:space="0" w:color="auto"/>
              <w:right w:val="single" w:sz="4" w:space="0" w:color="auto"/>
            </w:tcBorders>
          </w:tcPr>
          <w:p w14:paraId="79C26A62" w14:textId="77777777" w:rsidR="00836CBC" w:rsidRPr="00052A0D" w:rsidRDefault="00836CBC" w:rsidP="00814EA1">
            <w:pPr>
              <w:pStyle w:val="Default"/>
              <w:jc w:val="both"/>
              <w:rPr>
                <w:sz w:val="21"/>
                <w:szCs w:val="21"/>
              </w:rPr>
            </w:pPr>
            <w:r w:rsidRPr="00052A0D">
              <w:rPr>
                <w:sz w:val="21"/>
                <w:szCs w:val="21"/>
              </w:rPr>
              <w:t xml:space="preserve">qRT-PCR forward </w:t>
            </w:r>
          </w:p>
        </w:tc>
        <w:tc>
          <w:tcPr>
            <w:tcW w:w="4394" w:type="dxa"/>
            <w:tcBorders>
              <w:top w:val="single" w:sz="4" w:space="0" w:color="auto"/>
              <w:left w:val="single" w:sz="4" w:space="0" w:color="auto"/>
              <w:bottom w:val="single" w:sz="4" w:space="0" w:color="auto"/>
              <w:right w:val="single" w:sz="4" w:space="0" w:color="auto"/>
            </w:tcBorders>
          </w:tcPr>
          <w:p w14:paraId="327824FE" w14:textId="77777777" w:rsidR="00836CBC" w:rsidRPr="00052A0D" w:rsidRDefault="00836CBC" w:rsidP="00814EA1">
            <w:pPr>
              <w:pStyle w:val="Default"/>
              <w:jc w:val="both"/>
              <w:rPr>
                <w:sz w:val="21"/>
                <w:szCs w:val="21"/>
              </w:rPr>
            </w:pPr>
            <w:r w:rsidRPr="00052A0D">
              <w:rPr>
                <w:sz w:val="21"/>
                <w:szCs w:val="21"/>
              </w:rPr>
              <w:t>CATCACTGCCACCCAGAAGACTG</w:t>
            </w:r>
          </w:p>
        </w:tc>
      </w:tr>
      <w:tr w:rsidR="00836CBC" w:rsidRPr="00052A0D" w14:paraId="26EAA7B7" w14:textId="77777777" w:rsidTr="00814EA1">
        <w:trPr>
          <w:trHeight w:val="79"/>
          <w:jc w:val="center"/>
        </w:trPr>
        <w:tc>
          <w:tcPr>
            <w:tcW w:w="1582" w:type="dxa"/>
            <w:vMerge/>
            <w:tcBorders>
              <w:left w:val="single" w:sz="4" w:space="0" w:color="auto"/>
              <w:bottom w:val="single" w:sz="4" w:space="0" w:color="auto"/>
              <w:right w:val="single" w:sz="4" w:space="0" w:color="auto"/>
            </w:tcBorders>
          </w:tcPr>
          <w:p w14:paraId="38A20250" w14:textId="77777777" w:rsidR="00836CBC" w:rsidRPr="00052A0D" w:rsidRDefault="00836CBC" w:rsidP="00814EA1">
            <w:pPr>
              <w:pStyle w:val="Default"/>
              <w:jc w:val="both"/>
              <w:rPr>
                <w:sz w:val="21"/>
                <w:szCs w:val="21"/>
              </w:rPr>
            </w:pPr>
          </w:p>
        </w:tc>
        <w:tc>
          <w:tcPr>
            <w:tcW w:w="2529" w:type="dxa"/>
            <w:tcBorders>
              <w:top w:val="single" w:sz="4" w:space="0" w:color="auto"/>
              <w:left w:val="single" w:sz="4" w:space="0" w:color="auto"/>
              <w:bottom w:val="single" w:sz="4" w:space="0" w:color="auto"/>
              <w:right w:val="single" w:sz="4" w:space="0" w:color="auto"/>
            </w:tcBorders>
          </w:tcPr>
          <w:p w14:paraId="3A3F91F4" w14:textId="77777777" w:rsidR="00836CBC" w:rsidRPr="00052A0D" w:rsidRDefault="00836CBC" w:rsidP="00814EA1">
            <w:pPr>
              <w:pStyle w:val="Default"/>
              <w:jc w:val="both"/>
              <w:rPr>
                <w:sz w:val="21"/>
                <w:szCs w:val="21"/>
              </w:rPr>
            </w:pPr>
            <w:r w:rsidRPr="00052A0D">
              <w:rPr>
                <w:sz w:val="21"/>
                <w:szCs w:val="21"/>
              </w:rPr>
              <w:t xml:space="preserve">qRT-PCR reverse </w:t>
            </w:r>
          </w:p>
        </w:tc>
        <w:tc>
          <w:tcPr>
            <w:tcW w:w="4394" w:type="dxa"/>
            <w:tcBorders>
              <w:top w:val="single" w:sz="4" w:space="0" w:color="auto"/>
              <w:left w:val="single" w:sz="4" w:space="0" w:color="auto"/>
              <w:bottom w:val="single" w:sz="4" w:space="0" w:color="auto"/>
              <w:right w:val="single" w:sz="4" w:space="0" w:color="auto"/>
            </w:tcBorders>
          </w:tcPr>
          <w:p w14:paraId="33CEFDC8" w14:textId="77777777" w:rsidR="00836CBC" w:rsidRPr="00052A0D" w:rsidRDefault="00836CBC" w:rsidP="00814EA1">
            <w:pPr>
              <w:pStyle w:val="Default"/>
              <w:jc w:val="both"/>
              <w:rPr>
                <w:sz w:val="21"/>
                <w:szCs w:val="21"/>
              </w:rPr>
            </w:pPr>
            <w:r w:rsidRPr="00052A0D">
              <w:rPr>
                <w:sz w:val="21"/>
                <w:szCs w:val="21"/>
              </w:rPr>
              <w:t>ATGCCAGTGAGCTTCCCGTTCAG</w:t>
            </w:r>
          </w:p>
        </w:tc>
      </w:tr>
    </w:tbl>
    <w:p w14:paraId="1330EAF4" w14:textId="77777777" w:rsidR="00836CBC" w:rsidRPr="004F6126" w:rsidRDefault="00836CBC" w:rsidP="00836CBC">
      <w:pPr>
        <w:pStyle w:val="SMHeading"/>
        <w:jc w:val="both"/>
      </w:pPr>
      <w:r w:rsidRPr="004F6126">
        <w:t>Table S</w:t>
      </w:r>
      <w:r>
        <w:rPr>
          <w:rFonts w:hint="eastAsia"/>
          <w:lang w:eastAsia="zh-CN"/>
        </w:rPr>
        <w:t>4</w:t>
      </w:r>
      <w:r w:rsidRPr="004F6126">
        <w:t>. Protein profiling of pull down</w:t>
      </w:r>
    </w:p>
    <w:tbl>
      <w:tblPr>
        <w:tblStyle w:val="11"/>
        <w:tblW w:w="10687" w:type="dxa"/>
        <w:jc w:val="center"/>
        <w:tblLook w:val="04A0" w:firstRow="1" w:lastRow="0" w:firstColumn="1" w:lastColumn="0" w:noHBand="0" w:noVBand="1"/>
      </w:tblPr>
      <w:tblGrid>
        <w:gridCol w:w="1791"/>
        <w:gridCol w:w="1161"/>
        <w:gridCol w:w="794"/>
        <w:gridCol w:w="660"/>
        <w:gridCol w:w="858"/>
        <w:gridCol w:w="683"/>
        <w:gridCol w:w="794"/>
        <w:gridCol w:w="969"/>
        <w:gridCol w:w="969"/>
        <w:gridCol w:w="1004"/>
        <w:gridCol w:w="1004"/>
      </w:tblGrid>
      <w:tr w:rsidR="00836CBC" w:rsidRPr="00C734B9" w14:paraId="79D46A3B" w14:textId="77777777" w:rsidTr="00814EA1">
        <w:trPr>
          <w:cnfStyle w:val="100000000000" w:firstRow="1" w:lastRow="0" w:firstColumn="0" w:lastColumn="0" w:oddVBand="0" w:evenVBand="0" w:oddHBand="0"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56B25374" w14:textId="77777777" w:rsidR="00836CBC" w:rsidRPr="00C734B9" w:rsidRDefault="00836CBC" w:rsidP="00814EA1">
            <w:pPr>
              <w:jc w:val="both"/>
              <w:rPr>
                <w:rFonts w:eastAsia="等线"/>
                <w:color w:val="000000"/>
                <w:szCs w:val="21"/>
              </w:rPr>
            </w:pPr>
            <w:r w:rsidRPr="00C734B9">
              <w:rPr>
                <w:rFonts w:eastAsia="等线"/>
                <w:color w:val="000000"/>
                <w:szCs w:val="21"/>
              </w:rPr>
              <w:t>Protein ID</w:t>
            </w:r>
          </w:p>
        </w:tc>
        <w:tc>
          <w:tcPr>
            <w:tcW w:w="1161" w:type="dxa"/>
            <w:noWrap/>
            <w:vAlign w:val="center"/>
            <w:hideMark/>
          </w:tcPr>
          <w:p w14:paraId="1238678E"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Gene</w:t>
            </w:r>
          </w:p>
        </w:tc>
        <w:tc>
          <w:tcPr>
            <w:tcW w:w="794" w:type="dxa"/>
            <w:noWrap/>
            <w:vAlign w:val="center"/>
            <w:hideMark/>
          </w:tcPr>
          <w:p w14:paraId="18E960F8"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Mw (kDa)</w:t>
            </w:r>
          </w:p>
        </w:tc>
        <w:tc>
          <w:tcPr>
            <w:tcW w:w="1518" w:type="dxa"/>
            <w:gridSpan w:val="2"/>
            <w:noWrap/>
            <w:vAlign w:val="center"/>
            <w:hideMark/>
          </w:tcPr>
          <w:p w14:paraId="4C39CE47"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Unique peptides</w:t>
            </w:r>
          </w:p>
        </w:tc>
        <w:tc>
          <w:tcPr>
            <w:tcW w:w="683" w:type="dxa"/>
            <w:noWrap/>
            <w:vAlign w:val="center"/>
            <w:hideMark/>
          </w:tcPr>
          <w:p w14:paraId="60AB5EDF"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等线"/>
                <w:color w:val="000000"/>
                <w:szCs w:val="21"/>
              </w:rPr>
            </w:pPr>
          </w:p>
        </w:tc>
        <w:tc>
          <w:tcPr>
            <w:tcW w:w="794" w:type="dxa"/>
            <w:noWrap/>
            <w:vAlign w:val="center"/>
            <w:hideMark/>
          </w:tcPr>
          <w:p w14:paraId="29636C20"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iBAQ [%]</w:t>
            </w:r>
          </w:p>
        </w:tc>
        <w:tc>
          <w:tcPr>
            <w:tcW w:w="969" w:type="dxa"/>
            <w:noWrap/>
            <w:vAlign w:val="center"/>
            <w:hideMark/>
          </w:tcPr>
          <w:p w14:paraId="6637DCAB"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等线"/>
                <w:color w:val="000000"/>
                <w:szCs w:val="21"/>
              </w:rPr>
            </w:pPr>
          </w:p>
        </w:tc>
        <w:tc>
          <w:tcPr>
            <w:tcW w:w="969" w:type="dxa"/>
            <w:noWrap/>
            <w:vAlign w:val="center"/>
            <w:hideMark/>
          </w:tcPr>
          <w:p w14:paraId="08196C2F"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Times New Roman"/>
                <w:szCs w:val="21"/>
              </w:rPr>
            </w:pPr>
          </w:p>
        </w:tc>
        <w:tc>
          <w:tcPr>
            <w:tcW w:w="1004" w:type="dxa"/>
            <w:noWrap/>
            <w:vAlign w:val="center"/>
            <w:hideMark/>
          </w:tcPr>
          <w:p w14:paraId="5257F54E"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Con/PD</w:t>
            </w:r>
          </w:p>
        </w:tc>
        <w:tc>
          <w:tcPr>
            <w:tcW w:w="1004" w:type="dxa"/>
            <w:noWrap/>
            <w:vAlign w:val="center"/>
            <w:hideMark/>
          </w:tcPr>
          <w:p w14:paraId="136A8DF3" w14:textId="77777777" w:rsidR="00836CBC" w:rsidRPr="00C734B9" w:rsidRDefault="00836CBC" w:rsidP="00814EA1">
            <w:pPr>
              <w:jc w:val="both"/>
              <w:cnfStyle w:val="100000000000" w:firstRow="1" w:lastRow="0" w:firstColumn="0" w:lastColumn="0" w:oddVBand="0" w:evenVBand="0" w:oddHBand="0" w:evenHBand="0" w:firstRowFirstColumn="0" w:firstRowLastColumn="0" w:lastRowFirstColumn="0" w:lastRowLastColumn="0"/>
              <w:rPr>
                <w:rFonts w:eastAsia="等线"/>
                <w:color w:val="000000"/>
                <w:szCs w:val="21"/>
              </w:rPr>
            </w:pPr>
          </w:p>
        </w:tc>
      </w:tr>
      <w:tr w:rsidR="00836CBC" w:rsidRPr="00C734B9" w14:paraId="430FDBEB"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64FC5A29" w14:textId="77777777" w:rsidR="00836CBC" w:rsidRPr="00C734B9" w:rsidRDefault="00836CBC" w:rsidP="00814EA1">
            <w:pPr>
              <w:jc w:val="both"/>
              <w:rPr>
                <w:rFonts w:eastAsia="Times New Roman"/>
                <w:szCs w:val="21"/>
              </w:rPr>
            </w:pPr>
          </w:p>
        </w:tc>
        <w:tc>
          <w:tcPr>
            <w:tcW w:w="1161" w:type="dxa"/>
            <w:noWrap/>
            <w:vAlign w:val="center"/>
            <w:hideMark/>
          </w:tcPr>
          <w:p w14:paraId="401BB32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Times New Roman"/>
                <w:szCs w:val="21"/>
              </w:rPr>
            </w:pPr>
          </w:p>
        </w:tc>
        <w:tc>
          <w:tcPr>
            <w:tcW w:w="794" w:type="dxa"/>
            <w:noWrap/>
            <w:vAlign w:val="center"/>
            <w:hideMark/>
          </w:tcPr>
          <w:p w14:paraId="01B3E9D6"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Times New Roman"/>
                <w:szCs w:val="21"/>
              </w:rPr>
            </w:pPr>
          </w:p>
        </w:tc>
        <w:tc>
          <w:tcPr>
            <w:tcW w:w="660" w:type="dxa"/>
            <w:noWrap/>
            <w:vAlign w:val="center"/>
            <w:hideMark/>
          </w:tcPr>
          <w:p w14:paraId="6E1E58FB"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Total</w:t>
            </w:r>
          </w:p>
        </w:tc>
        <w:tc>
          <w:tcPr>
            <w:tcW w:w="858" w:type="dxa"/>
            <w:noWrap/>
            <w:vAlign w:val="center"/>
            <w:hideMark/>
          </w:tcPr>
          <w:p w14:paraId="1D4895C4"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Control</w:t>
            </w:r>
          </w:p>
        </w:tc>
        <w:tc>
          <w:tcPr>
            <w:tcW w:w="683" w:type="dxa"/>
            <w:noWrap/>
            <w:vAlign w:val="center"/>
            <w:hideMark/>
          </w:tcPr>
          <w:p w14:paraId="04A63F1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Pull down</w:t>
            </w:r>
          </w:p>
        </w:tc>
        <w:tc>
          <w:tcPr>
            <w:tcW w:w="794" w:type="dxa"/>
            <w:noWrap/>
            <w:vAlign w:val="center"/>
            <w:hideMark/>
          </w:tcPr>
          <w:p w14:paraId="78CE583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Total</w:t>
            </w:r>
          </w:p>
        </w:tc>
        <w:tc>
          <w:tcPr>
            <w:tcW w:w="969" w:type="dxa"/>
            <w:noWrap/>
            <w:vAlign w:val="center"/>
            <w:hideMark/>
          </w:tcPr>
          <w:p w14:paraId="1F1B75E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Control</w:t>
            </w:r>
          </w:p>
        </w:tc>
        <w:tc>
          <w:tcPr>
            <w:tcW w:w="969" w:type="dxa"/>
            <w:noWrap/>
            <w:vAlign w:val="center"/>
            <w:hideMark/>
          </w:tcPr>
          <w:p w14:paraId="7B85CCE4"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Pull down</w:t>
            </w:r>
          </w:p>
        </w:tc>
        <w:tc>
          <w:tcPr>
            <w:tcW w:w="1004" w:type="dxa"/>
            <w:noWrap/>
            <w:vAlign w:val="center"/>
            <w:hideMark/>
          </w:tcPr>
          <w:p w14:paraId="571241B6"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FC</w:t>
            </w:r>
          </w:p>
        </w:tc>
        <w:tc>
          <w:tcPr>
            <w:tcW w:w="1004" w:type="dxa"/>
            <w:noWrap/>
            <w:vAlign w:val="center"/>
            <w:hideMark/>
          </w:tcPr>
          <w:p w14:paraId="726FB8C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log2 FC</w:t>
            </w:r>
          </w:p>
        </w:tc>
      </w:tr>
      <w:tr w:rsidR="00836CBC" w:rsidRPr="00C734B9" w14:paraId="2538E26D"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5274A082"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ATPA_MOUSE</w:t>
            </w:r>
          </w:p>
        </w:tc>
        <w:tc>
          <w:tcPr>
            <w:tcW w:w="1161" w:type="dxa"/>
            <w:noWrap/>
            <w:vAlign w:val="center"/>
            <w:hideMark/>
          </w:tcPr>
          <w:p w14:paraId="5F3E88C5"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Atp5f1a</w:t>
            </w:r>
          </w:p>
        </w:tc>
        <w:tc>
          <w:tcPr>
            <w:tcW w:w="794" w:type="dxa"/>
            <w:noWrap/>
            <w:vAlign w:val="center"/>
            <w:hideMark/>
          </w:tcPr>
          <w:p w14:paraId="7D11DCD5"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59.753</w:t>
            </w:r>
          </w:p>
        </w:tc>
        <w:tc>
          <w:tcPr>
            <w:tcW w:w="660" w:type="dxa"/>
            <w:noWrap/>
            <w:vAlign w:val="center"/>
            <w:hideMark/>
          </w:tcPr>
          <w:p w14:paraId="3151CD78"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42</w:t>
            </w:r>
          </w:p>
        </w:tc>
        <w:tc>
          <w:tcPr>
            <w:tcW w:w="858" w:type="dxa"/>
            <w:noWrap/>
            <w:vAlign w:val="center"/>
            <w:hideMark/>
          </w:tcPr>
          <w:p w14:paraId="2A443243"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18</w:t>
            </w:r>
          </w:p>
        </w:tc>
        <w:tc>
          <w:tcPr>
            <w:tcW w:w="683" w:type="dxa"/>
            <w:noWrap/>
            <w:vAlign w:val="center"/>
            <w:hideMark/>
          </w:tcPr>
          <w:p w14:paraId="1548FAA0"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39</w:t>
            </w:r>
          </w:p>
        </w:tc>
        <w:tc>
          <w:tcPr>
            <w:tcW w:w="794" w:type="dxa"/>
            <w:noWrap/>
            <w:vAlign w:val="center"/>
            <w:hideMark/>
          </w:tcPr>
          <w:p w14:paraId="2BC38E23"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1.4554</w:t>
            </w:r>
          </w:p>
        </w:tc>
        <w:tc>
          <w:tcPr>
            <w:tcW w:w="969" w:type="dxa"/>
            <w:noWrap/>
            <w:vAlign w:val="center"/>
            <w:hideMark/>
          </w:tcPr>
          <w:p w14:paraId="0830AF88"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0.5461%</w:t>
            </w:r>
          </w:p>
        </w:tc>
        <w:tc>
          <w:tcPr>
            <w:tcW w:w="969" w:type="dxa"/>
            <w:noWrap/>
            <w:vAlign w:val="center"/>
            <w:hideMark/>
          </w:tcPr>
          <w:p w14:paraId="4ECAAD93"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1.485%</w:t>
            </w:r>
          </w:p>
        </w:tc>
        <w:tc>
          <w:tcPr>
            <w:tcW w:w="1004" w:type="dxa"/>
            <w:noWrap/>
            <w:vAlign w:val="center"/>
            <w:hideMark/>
          </w:tcPr>
          <w:p w14:paraId="5071D0F2"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79.96812</w:t>
            </w:r>
          </w:p>
        </w:tc>
        <w:tc>
          <w:tcPr>
            <w:tcW w:w="1004" w:type="dxa"/>
            <w:noWrap/>
            <w:vAlign w:val="center"/>
            <w:hideMark/>
          </w:tcPr>
          <w:p w14:paraId="3969A703"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6.321353</w:t>
            </w:r>
          </w:p>
        </w:tc>
      </w:tr>
      <w:tr w:rsidR="00836CBC" w:rsidRPr="00C734B9" w14:paraId="07B95E84"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12533C41"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ENOA_MOUSE</w:t>
            </w:r>
          </w:p>
        </w:tc>
        <w:tc>
          <w:tcPr>
            <w:tcW w:w="1161" w:type="dxa"/>
            <w:noWrap/>
            <w:vAlign w:val="center"/>
            <w:hideMark/>
          </w:tcPr>
          <w:p w14:paraId="1E3B362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Eno1</w:t>
            </w:r>
          </w:p>
        </w:tc>
        <w:tc>
          <w:tcPr>
            <w:tcW w:w="794" w:type="dxa"/>
            <w:noWrap/>
            <w:vAlign w:val="center"/>
            <w:hideMark/>
          </w:tcPr>
          <w:p w14:paraId="6098190E"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47.141</w:t>
            </w:r>
          </w:p>
        </w:tc>
        <w:tc>
          <w:tcPr>
            <w:tcW w:w="660" w:type="dxa"/>
            <w:noWrap/>
            <w:vAlign w:val="center"/>
            <w:hideMark/>
          </w:tcPr>
          <w:p w14:paraId="4606071A"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38</w:t>
            </w:r>
          </w:p>
        </w:tc>
        <w:tc>
          <w:tcPr>
            <w:tcW w:w="858" w:type="dxa"/>
            <w:noWrap/>
            <w:vAlign w:val="center"/>
            <w:hideMark/>
          </w:tcPr>
          <w:p w14:paraId="704B4231"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14</w:t>
            </w:r>
          </w:p>
        </w:tc>
        <w:tc>
          <w:tcPr>
            <w:tcW w:w="683" w:type="dxa"/>
            <w:noWrap/>
            <w:vAlign w:val="center"/>
            <w:hideMark/>
          </w:tcPr>
          <w:p w14:paraId="1237322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34</w:t>
            </w:r>
          </w:p>
        </w:tc>
        <w:tc>
          <w:tcPr>
            <w:tcW w:w="794" w:type="dxa"/>
            <w:noWrap/>
            <w:vAlign w:val="center"/>
            <w:hideMark/>
          </w:tcPr>
          <w:p w14:paraId="6A8C1925"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4.9885</w:t>
            </w:r>
          </w:p>
        </w:tc>
        <w:tc>
          <w:tcPr>
            <w:tcW w:w="969" w:type="dxa"/>
            <w:noWrap/>
            <w:vAlign w:val="center"/>
            <w:hideMark/>
          </w:tcPr>
          <w:p w14:paraId="1BADA0DF"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5.0565%</w:t>
            </w:r>
          </w:p>
        </w:tc>
        <w:tc>
          <w:tcPr>
            <w:tcW w:w="969" w:type="dxa"/>
            <w:noWrap/>
            <w:vAlign w:val="center"/>
            <w:hideMark/>
          </w:tcPr>
          <w:p w14:paraId="6F014B3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4.9818%</w:t>
            </w:r>
          </w:p>
        </w:tc>
        <w:tc>
          <w:tcPr>
            <w:tcW w:w="1004" w:type="dxa"/>
            <w:noWrap/>
            <w:vAlign w:val="center"/>
            <w:hideMark/>
          </w:tcPr>
          <w:p w14:paraId="1FAFBD1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28.97171</w:t>
            </w:r>
          </w:p>
        </w:tc>
        <w:tc>
          <w:tcPr>
            <w:tcW w:w="1004" w:type="dxa"/>
            <w:noWrap/>
            <w:vAlign w:val="center"/>
            <w:hideMark/>
          </w:tcPr>
          <w:p w14:paraId="33F6376F"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4.856573</w:t>
            </w:r>
          </w:p>
        </w:tc>
      </w:tr>
      <w:tr w:rsidR="00836CBC" w:rsidRPr="00C734B9" w14:paraId="349C24D9"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6D6BA27A"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ALDOA_MOUSE</w:t>
            </w:r>
          </w:p>
        </w:tc>
        <w:tc>
          <w:tcPr>
            <w:tcW w:w="1161" w:type="dxa"/>
            <w:noWrap/>
            <w:vAlign w:val="center"/>
            <w:hideMark/>
          </w:tcPr>
          <w:p w14:paraId="554508D2"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Aldoa</w:t>
            </w:r>
          </w:p>
        </w:tc>
        <w:tc>
          <w:tcPr>
            <w:tcW w:w="794" w:type="dxa"/>
            <w:noWrap/>
            <w:vAlign w:val="center"/>
            <w:hideMark/>
          </w:tcPr>
          <w:p w14:paraId="54704CB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39.356</w:t>
            </w:r>
          </w:p>
        </w:tc>
        <w:tc>
          <w:tcPr>
            <w:tcW w:w="660" w:type="dxa"/>
            <w:noWrap/>
            <w:vAlign w:val="center"/>
            <w:hideMark/>
          </w:tcPr>
          <w:p w14:paraId="733BB59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32</w:t>
            </w:r>
          </w:p>
        </w:tc>
        <w:tc>
          <w:tcPr>
            <w:tcW w:w="858" w:type="dxa"/>
            <w:noWrap/>
            <w:vAlign w:val="center"/>
            <w:hideMark/>
          </w:tcPr>
          <w:p w14:paraId="54B222A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14</w:t>
            </w:r>
          </w:p>
        </w:tc>
        <w:tc>
          <w:tcPr>
            <w:tcW w:w="683" w:type="dxa"/>
            <w:noWrap/>
            <w:vAlign w:val="center"/>
            <w:hideMark/>
          </w:tcPr>
          <w:p w14:paraId="50E8D89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31</w:t>
            </w:r>
          </w:p>
        </w:tc>
        <w:tc>
          <w:tcPr>
            <w:tcW w:w="794" w:type="dxa"/>
            <w:noWrap/>
            <w:vAlign w:val="center"/>
            <w:hideMark/>
          </w:tcPr>
          <w:p w14:paraId="0FCA8E0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2.4457</w:t>
            </w:r>
          </w:p>
        </w:tc>
        <w:tc>
          <w:tcPr>
            <w:tcW w:w="969" w:type="dxa"/>
            <w:noWrap/>
            <w:vAlign w:val="center"/>
            <w:hideMark/>
          </w:tcPr>
          <w:p w14:paraId="68B73C3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2.5986%</w:t>
            </w:r>
          </w:p>
        </w:tc>
        <w:tc>
          <w:tcPr>
            <w:tcW w:w="969" w:type="dxa"/>
            <w:noWrap/>
            <w:vAlign w:val="center"/>
            <w:hideMark/>
          </w:tcPr>
          <w:p w14:paraId="588EFBFA"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2.4383%</w:t>
            </w:r>
          </w:p>
        </w:tc>
        <w:tc>
          <w:tcPr>
            <w:tcW w:w="1004" w:type="dxa"/>
            <w:noWrap/>
            <w:vAlign w:val="center"/>
            <w:hideMark/>
          </w:tcPr>
          <w:p w14:paraId="00657D6A"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27.59232</w:t>
            </w:r>
          </w:p>
        </w:tc>
        <w:tc>
          <w:tcPr>
            <w:tcW w:w="1004" w:type="dxa"/>
            <w:noWrap/>
            <w:vAlign w:val="center"/>
            <w:hideMark/>
          </w:tcPr>
          <w:p w14:paraId="50890BF2"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4.786195</w:t>
            </w:r>
          </w:p>
        </w:tc>
      </w:tr>
      <w:tr w:rsidR="00836CBC" w:rsidRPr="00C734B9" w14:paraId="22A4455C"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653E6A34"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GDIB_MOUSE</w:t>
            </w:r>
          </w:p>
        </w:tc>
        <w:tc>
          <w:tcPr>
            <w:tcW w:w="1161" w:type="dxa"/>
            <w:noWrap/>
            <w:vAlign w:val="center"/>
            <w:hideMark/>
          </w:tcPr>
          <w:p w14:paraId="267D30C6"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Gdi2</w:t>
            </w:r>
          </w:p>
        </w:tc>
        <w:tc>
          <w:tcPr>
            <w:tcW w:w="794" w:type="dxa"/>
            <w:noWrap/>
            <w:vAlign w:val="center"/>
            <w:hideMark/>
          </w:tcPr>
          <w:p w14:paraId="2BC4D44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50.537</w:t>
            </w:r>
          </w:p>
        </w:tc>
        <w:tc>
          <w:tcPr>
            <w:tcW w:w="660" w:type="dxa"/>
            <w:noWrap/>
            <w:vAlign w:val="center"/>
            <w:hideMark/>
          </w:tcPr>
          <w:p w14:paraId="3910720C"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36</w:t>
            </w:r>
          </w:p>
        </w:tc>
        <w:tc>
          <w:tcPr>
            <w:tcW w:w="858" w:type="dxa"/>
            <w:noWrap/>
            <w:vAlign w:val="center"/>
            <w:hideMark/>
          </w:tcPr>
          <w:p w14:paraId="46F4106C"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w:t>
            </w:r>
          </w:p>
        </w:tc>
        <w:tc>
          <w:tcPr>
            <w:tcW w:w="683" w:type="dxa"/>
            <w:noWrap/>
            <w:vAlign w:val="center"/>
            <w:hideMark/>
          </w:tcPr>
          <w:p w14:paraId="1C26E5D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36</w:t>
            </w:r>
          </w:p>
        </w:tc>
        <w:tc>
          <w:tcPr>
            <w:tcW w:w="794" w:type="dxa"/>
            <w:noWrap/>
            <w:vAlign w:val="center"/>
            <w:hideMark/>
          </w:tcPr>
          <w:p w14:paraId="1B4B299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0.3871</w:t>
            </w:r>
          </w:p>
        </w:tc>
        <w:tc>
          <w:tcPr>
            <w:tcW w:w="969" w:type="dxa"/>
            <w:noWrap/>
            <w:vAlign w:val="center"/>
            <w:hideMark/>
          </w:tcPr>
          <w:p w14:paraId="2D875535"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0.1288%</w:t>
            </w:r>
          </w:p>
        </w:tc>
        <w:tc>
          <w:tcPr>
            <w:tcW w:w="969" w:type="dxa"/>
            <w:noWrap/>
            <w:vAlign w:val="center"/>
            <w:hideMark/>
          </w:tcPr>
          <w:p w14:paraId="3BDC9371"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0.3955%</w:t>
            </w:r>
          </w:p>
        </w:tc>
        <w:tc>
          <w:tcPr>
            <w:tcW w:w="1004" w:type="dxa"/>
            <w:noWrap/>
            <w:vAlign w:val="center"/>
            <w:hideMark/>
          </w:tcPr>
          <w:p w14:paraId="181130F1"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90.26534</w:t>
            </w:r>
          </w:p>
        </w:tc>
        <w:tc>
          <w:tcPr>
            <w:tcW w:w="1004" w:type="dxa"/>
            <w:noWrap/>
            <w:vAlign w:val="center"/>
            <w:hideMark/>
          </w:tcPr>
          <w:p w14:paraId="668F4DB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6.4961</w:t>
            </w:r>
          </w:p>
        </w:tc>
      </w:tr>
      <w:tr w:rsidR="00836CBC" w:rsidRPr="00C734B9" w14:paraId="036F6A12"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1305ADE5" w14:textId="77777777" w:rsidR="00836CBC" w:rsidRPr="00C734B9" w:rsidRDefault="00836CBC" w:rsidP="00814EA1">
            <w:pPr>
              <w:jc w:val="both"/>
              <w:rPr>
                <w:rFonts w:eastAsia="等线"/>
                <w:b w:val="0"/>
                <w:bCs w:val="0"/>
                <w:color w:val="FF0000"/>
                <w:szCs w:val="21"/>
              </w:rPr>
            </w:pPr>
            <w:r w:rsidRPr="00C734B9">
              <w:rPr>
                <w:rFonts w:eastAsia="等线"/>
                <w:b w:val="0"/>
                <w:bCs w:val="0"/>
                <w:color w:val="FF0000"/>
                <w:szCs w:val="21"/>
              </w:rPr>
              <w:t>NECT2_MOUSE</w:t>
            </w:r>
          </w:p>
        </w:tc>
        <w:tc>
          <w:tcPr>
            <w:tcW w:w="1161" w:type="dxa"/>
            <w:noWrap/>
            <w:vAlign w:val="center"/>
            <w:hideMark/>
          </w:tcPr>
          <w:p w14:paraId="5BECEB01"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Nectin2</w:t>
            </w:r>
          </w:p>
        </w:tc>
        <w:tc>
          <w:tcPr>
            <w:tcW w:w="794" w:type="dxa"/>
            <w:noWrap/>
            <w:vAlign w:val="center"/>
            <w:hideMark/>
          </w:tcPr>
          <w:p w14:paraId="2B0063C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57.318</w:t>
            </w:r>
          </w:p>
        </w:tc>
        <w:tc>
          <w:tcPr>
            <w:tcW w:w="660" w:type="dxa"/>
            <w:noWrap/>
            <w:vAlign w:val="center"/>
            <w:hideMark/>
          </w:tcPr>
          <w:p w14:paraId="490077AC"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35</w:t>
            </w:r>
          </w:p>
        </w:tc>
        <w:tc>
          <w:tcPr>
            <w:tcW w:w="858" w:type="dxa"/>
            <w:noWrap/>
            <w:vAlign w:val="center"/>
            <w:hideMark/>
          </w:tcPr>
          <w:p w14:paraId="31FBEC09"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11</w:t>
            </w:r>
          </w:p>
        </w:tc>
        <w:tc>
          <w:tcPr>
            <w:tcW w:w="683" w:type="dxa"/>
            <w:noWrap/>
            <w:vAlign w:val="center"/>
            <w:hideMark/>
          </w:tcPr>
          <w:p w14:paraId="289AD3FC"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34</w:t>
            </w:r>
          </w:p>
        </w:tc>
        <w:tc>
          <w:tcPr>
            <w:tcW w:w="794" w:type="dxa"/>
            <w:noWrap/>
            <w:vAlign w:val="center"/>
            <w:hideMark/>
          </w:tcPr>
          <w:p w14:paraId="56C345A9"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8.7059</w:t>
            </w:r>
          </w:p>
        </w:tc>
        <w:tc>
          <w:tcPr>
            <w:tcW w:w="969" w:type="dxa"/>
            <w:noWrap/>
            <w:vAlign w:val="center"/>
            <w:hideMark/>
          </w:tcPr>
          <w:p w14:paraId="1C543971"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1.4599%</w:t>
            </w:r>
          </w:p>
        </w:tc>
        <w:tc>
          <w:tcPr>
            <w:tcW w:w="969" w:type="dxa"/>
            <w:noWrap/>
            <w:vAlign w:val="center"/>
            <w:hideMark/>
          </w:tcPr>
          <w:p w14:paraId="662C5DB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8.9447%</w:t>
            </w:r>
          </w:p>
        </w:tc>
        <w:tc>
          <w:tcPr>
            <w:tcW w:w="1004" w:type="dxa"/>
            <w:noWrap/>
            <w:vAlign w:val="center"/>
            <w:hideMark/>
          </w:tcPr>
          <w:p w14:paraId="4F153CF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180.1667</w:t>
            </w:r>
          </w:p>
        </w:tc>
        <w:tc>
          <w:tcPr>
            <w:tcW w:w="1004" w:type="dxa"/>
            <w:noWrap/>
            <w:vAlign w:val="center"/>
            <w:hideMark/>
          </w:tcPr>
          <w:p w14:paraId="7CD145C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FF0000"/>
                <w:szCs w:val="21"/>
              </w:rPr>
            </w:pPr>
            <w:r w:rsidRPr="00C734B9">
              <w:rPr>
                <w:rFonts w:eastAsia="等线"/>
                <w:color w:val="FF0000"/>
                <w:szCs w:val="21"/>
              </w:rPr>
              <w:t>7.493188</w:t>
            </w:r>
          </w:p>
        </w:tc>
      </w:tr>
      <w:tr w:rsidR="00836CBC" w:rsidRPr="00C734B9" w14:paraId="1DDCF278"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6444E89D"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RL4_MOUSE</w:t>
            </w:r>
          </w:p>
        </w:tc>
        <w:tc>
          <w:tcPr>
            <w:tcW w:w="1161" w:type="dxa"/>
            <w:noWrap/>
            <w:vAlign w:val="center"/>
            <w:hideMark/>
          </w:tcPr>
          <w:p w14:paraId="429CB21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Rpl4</w:t>
            </w:r>
          </w:p>
        </w:tc>
        <w:tc>
          <w:tcPr>
            <w:tcW w:w="794" w:type="dxa"/>
            <w:noWrap/>
            <w:vAlign w:val="center"/>
            <w:hideMark/>
          </w:tcPr>
          <w:p w14:paraId="1068FB25"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47.154</w:t>
            </w:r>
          </w:p>
        </w:tc>
        <w:tc>
          <w:tcPr>
            <w:tcW w:w="660" w:type="dxa"/>
            <w:noWrap/>
            <w:vAlign w:val="center"/>
            <w:hideMark/>
          </w:tcPr>
          <w:p w14:paraId="2677654D"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33</w:t>
            </w:r>
          </w:p>
        </w:tc>
        <w:tc>
          <w:tcPr>
            <w:tcW w:w="858" w:type="dxa"/>
            <w:noWrap/>
            <w:vAlign w:val="center"/>
            <w:hideMark/>
          </w:tcPr>
          <w:p w14:paraId="4D7610EA"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6</w:t>
            </w:r>
          </w:p>
        </w:tc>
        <w:tc>
          <w:tcPr>
            <w:tcW w:w="683" w:type="dxa"/>
            <w:noWrap/>
            <w:vAlign w:val="center"/>
            <w:hideMark/>
          </w:tcPr>
          <w:p w14:paraId="4573C7F6"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30</w:t>
            </w:r>
          </w:p>
        </w:tc>
        <w:tc>
          <w:tcPr>
            <w:tcW w:w="794" w:type="dxa"/>
            <w:noWrap/>
            <w:vAlign w:val="center"/>
            <w:hideMark/>
          </w:tcPr>
          <w:p w14:paraId="05CAF1E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0.5658</w:t>
            </w:r>
          </w:p>
        </w:tc>
        <w:tc>
          <w:tcPr>
            <w:tcW w:w="969" w:type="dxa"/>
            <w:noWrap/>
            <w:vAlign w:val="center"/>
            <w:hideMark/>
          </w:tcPr>
          <w:p w14:paraId="55ADD91E"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0.2871%</w:t>
            </w:r>
          </w:p>
        </w:tc>
        <w:tc>
          <w:tcPr>
            <w:tcW w:w="969" w:type="dxa"/>
            <w:noWrap/>
            <w:vAlign w:val="center"/>
            <w:hideMark/>
          </w:tcPr>
          <w:p w14:paraId="096F3D54"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0.5747%</w:t>
            </w:r>
          </w:p>
        </w:tc>
        <w:tc>
          <w:tcPr>
            <w:tcW w:w="1004" w:type="dxa"/>
            <w:noWrap/>
            <w:vAlign w:val="center"/>
            <w:hideMark/>
          </w:tcPr>
          <w:p w14:paraId="0B90627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58.86478</w:t>
            </w:r>
          </w:p>
        </w:tc>
        <w:tc>
          <w:tcPr>
            <w:tcW w:w="1004" w:type="dxa"/>
            <w:noWrap/>
            <w:vAlign w:val="center"/>
            <w:hideMark/>
          </w:tcPr>
          <w:p w14:paraId="3D1D088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5.879333</w:t>
            </w:r>
          </w:p>
        </w:tc>
      </w:tr>
      <w:tr w:rsidR="00836CBC" w:rsidRPr="00C734B9" w14:paraId="7006D484"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404EADC0"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PGK1_MOUSE</w:t>
            </w:r>
          </w:p>
        </w:tc>
        <w:tc>
          <w:tcPr>
            <w:tcW w:w="1161" w:type="dxa"/>
            <w:noWrap/>
            <w:vAlign w:val="center"/>
            <w:hideMark/>
          </w:tcPr>
          <w:p w14:paraId="256C7585"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Pgk1</w:t>
            </w:r>
          </w:p>
        </w:tc>
        <w:tc>
          <w:tcPr>
            <w:tcW w:w="794" w:type="dxa"/>
            <w:noWrap/>
            <w:vAlign w:val="center"/>
            <w:hideMark/>
          </w:tcPr>
          <w:p w14:paraId="4CE52FD4"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44.55</w:t>
            </w:r>
          </w:p>
        </w:tc>
        <w:tc>
          <w:tcPr>
            <w:tcW w:w="660" w:type="dxa"/>
            <w:noWrap/>
            <w:vAlign w:val="center"/>
            <w:hideMark/>
          </w:tcPr>
          <w:p w14:paraId="0F68C0E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29</w:t>
            </w:r>
          </w:p>
        </w:tc>
        <w:tc>
          <w:tcPr>
            <w:tcW w:w="858" w:type="dxa"/>
            <w:noWrap/>
            <w:vAlign w:val="center"/>
            <w:hideMark/>
          </w:tcPr>
          <w:p w14:paraId="40BDB63C"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10</w:t>
            </w:r>
          </w:p>
        </w:tc>
        <w:tc>
          <w:tcPr>
            <w:tcW w:w="683" w:type="dxa"/>
            <w:noWrap/>
            <w:vAlign w:val="center"/>
            <w:hideMark/>
          </w:tcPr>
          <w:p w14:paraId="490504D9"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27</w:t>
            </w:r>
          </w:p>
        </w:tc>
        <w:tc>
          <w:tcPr>
            <w:tcW w:w="794" w:type="dxa"/>
            <w:noWrap/>
            <w:vAlign w:val="center"/>
            <w:hideMark/>
          </w:tcPr>
          <w:p w14:paraId="6097C5A2"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0.8822</w:t>
            </w:r>
          </w:p>
        </w:tc>
        <w:tc>
          <w:tcPr>
            <w:tcW w:w="969" w:type="dxa"/>
            <w:noWrap/>
            <w:vAlign w:val="center"/>
            <w:hideMark/>
          </w:tcPr>
          <w:p w14:paraId="3985B8A9"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0.3128%</w:t>
            </w:r>
          </w:p>
        </w:tc>
        <w:tc>
          <w:tcPr>
            <w:tcW w:w="969" w:type="dxa"/>
            <w:noWrap/>
            <w:vAlign w:val="center"/>
            <w:hideMark/>
          </w:tcPr>
          <w:p w14:paraId="5A09F8F2"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0.9008%</w:t>
            </w:r>
          </w:p>
        </w:tc>
        <w:tc>
          <w:tcPr>
            <w:tcW w:w="1004" w:type="dxa"/>
            <w:noWrap/>
            <w:vAlign w:val="center"/>
            <w:hideMark/>
          </w:tcPr>
          <w:p w14:paraId="4BA035A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84.67599</w:t>
            </w:r>
          </w:p>
        </w:tc>
        <w:tc>
          <w:tcPr>
            <w:tcW w:w="1004" w:type="dxa"/>
            <w:noWrap/>
            <w:vAlign w:val="center"/>
            <w:hideMark/>
          </w:tcPr>
          <w:p w14:paraId="5C381EEA"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6.403881</w:t>
            </w:r>
          </w:p>
        </w:tc>
      </w:tr>
      <w:tr w:rsidR="00836CBC" w:rsidRPr="00C734B9" w14:paraId="79595DEA"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5113C02B"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ANXA2_MOUSE</w:t>
            </w:r>
          </w:p>
        </w:tc>
        <w:tc>
          <w:tcPr>
            <w:tcW w:w="1161" w:type="dxa"/>
            <w:noWrap/>
            <w:vAlign w:val="center"/>
            <w:hideMark/>
          </w:tcPr>
          <w:p w14:paraId="7DC000F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Anxa2</w:t>
            </w:r>
          </w:p>
        </w:tc>
        <w:tc>
          <w:tcPr>
            <w:tcW w:w="794" w:type="dxa"/>
            <w:noWrap/>
            <w:vAlign w:val="center"/>
            <w:hideMark/>
          </w:tcPr>
          <w:p w14:paraId="49F211A5"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38.676</w:t>
            </w:r>
          </w:p>
        </w:tc>
        <w:tc>
          <w:tcPr>
            <w:tcW w:w="660" w:type="dxa"/>
            <w:noWrap/>
            <w:vAlign w:val="center"/>
            <w:hideMark/>
          </w:tcPr>
          <w:p w14:paraId="669BC1FA"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32</w:t>
            </w:r>
          </w:p>
        </w:tc>
        <w:tc>
          <w:tcPr>
            <w:tcW w:w="858" w:type="dxa"/>
            <w:noWrap/>
            <w:vAlign w:val="center"/>
            <w:hideMark/>
          </w:tcPr>
          <w:p w14:paraId="006D884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8</w:t>
            </w:r>
          </w:p>
        </w:tc>
        <w:tc>
          <w:tcPr>
            <w:tcW w:w="683" w:type="dxa"/>
            <w:noWrap/>
            <w:vAlign w:val="center"/>
            <w:hideMark/>
          </w:tcPr>
          <w:p w14:paraId="0511302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30</w:t>
            </w:r>
          </w:p>
        </w:tc>
        <w:tc>
          <w:tcPr>
            <w:tcW w:w="794" w:type="dxa"/>
            <w:noWrap/>
            <w:vAlign w:val="center"/>
            <w:hideMark/>
          </w:tcPr>
          <w:p w14:paraId="7F7142C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0.6356</w:t>
            </w:r>
          </w:p>
        </w:tc>
        <w:tc>
          <w:tcPr>
            <w:tcW w:w="969" w:type="dxa"/>
            <w:noWrap/>
            <w:vAlign w:val="center"/>
            <w:hideMark/>
          </w:tcPr>
          <w:p w14:paraId="371AAB61"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0.4177%</w:t>
            </w:r>
          </w:p>
        </w:tc>
        <w:tc>
          <w:tcPr>
            <w:tcW w:w="969" w:type="dxa"/>
            <w:noWrap/>
            <w:vAlign w:val="center"/>
            <w:hideMark/>
          </w:tcPr>
          <w:p w14:paraId="152D8AEC"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0.6424%</w:t>
            </w:r>
          </w:p>
        </w:tc>
        <w:tc>
          <w:tcPr>
            <w:tcW w:w="1004" w:type="dxa"/>
            <w:noWrap/>
            <w:vAlign w:val="center"/>
            <w:hideMark/>
          </w:tcPr>
          <w:p w14:paraId="0F373BAE"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45.22267</w:t>
            </w:r>
          </w:p>
        </w:tc>
        <w:tc>
          <w:tcPr>
            <w:tcW w:w="1004" w:type="dxa"/>
            <w:noWrap/>
            <w:vAlign w:val="center"/>
            <w:hideMark/>
          </w:tcPr>
          <w:p w14:paraId="54F941AD"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5.498974</w:t>
            </w:r>
          </w:p>
        </w:tc>
      </w:tr>
      <w:tr w:rsidR="00836CBC" w:rsidRPr="00C734B9" w14:paraId="4C0CC417"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7474D291"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LDHA_MOUSE</w:t>
            </w:r>
          </w:p>
        </w:tc>
        <w:tc>
          <w:tcPr>
            <w:tcW w:w="1161" w:type="dxa"/>
            <w:noWrap/>
            <w:vAlign w:val="center"/>
            <w:hideMark/>
          </w:tcPr>
          <w:p w14:paraId="40BEE88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Ldha</w:t>
            </w:r>
          </w:p>
        </w:tc>
        <w:tc>
          <w:tcPr>
            <w:tcW w:w="794" w:type="dxa"/>
            <w:noWrap/>
            <w:vAlign w:val="center"/>
            <w:hideMark/>
          </w:tcPr>
          <w:p w14:paraId="76EC6E5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36.499</w:t>
            </w:r>
          </w:p>
        </w:tc>
        <w:tc>
          <w:tcPr>
            <w:tcW w:w="660" w:type="dxa"/>
            <w:noWrap/>
            <w:vAlign w:val="center"/>
            <w:hideMark/>
          </w:tcPr>
          <w:p w14:paraId="675303B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28</w:t>
            </w:r>
          </w:p>
        </w:tc>
        <w:tc>
          <w:tcPr>
            <w:tcW w:w="858" w:type="dxa"/>
            <w:noWrap/>
            <w:vAlign w:val="center"/>
            <w:hideMark/>
          </w:tcPr>
          <w:p w14:paraId="76C3193D"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5</w:t>
            </w:r>
          </w:p>
        </w:tc>
        <w:tc>
          <w:tcPr>
            <w:tcW w:w="683" w:type="dxa"/>
            <w:noWrap/>
            <w:vAlign w:val="center"/>
            <w:hideMark/>
          </w:tcPr>
          <w:p w14:paraId="35AC201D"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27</w:t>
            </w:r>
          </w:p>
        </w:tc>
        <w:tc>
          <w:tcPr>
            <w:tcW w:w="794" w:type="dxa"/>
            <w:noWrap/>
            <w:vAlign w:val="center"/>
            <w:hideMark/>
          </w:tcPr>
          <w:p w14:paraId="2758C231"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3.3298</w:t>
            </w:r>
          </w:p>
        </w:tc>
        <w:tc>
          <w:tcPr>
            <w:tcW w:w="969" w:type="dxa"/>
            <w:noWrap/>
            <w:vAlign w:val="center"/>
            <w:hideMark/>
          </w:tcPr>
          <w:p w14:paraId="131E9A7C"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1.3496%</w:t>
            </w:r>
          </w:p>
        </w:tc>
        <w:tc>
          <w:tcPr>
            <w:tcW w:w="969" w:type="dxa"/>
            <w:noWrap/>
            <w:vAlign w:val="center"/>
            <w:hideMark/>
          </w:tcPr>
          <w:p w14:paraId="181941D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3.3941%</w:t>
            </w:r>
          </w:p>
        </w:tc>
        <w:tc>
          <w:tcPr>
            <w:tcW w:w="1004" w:type="dxa"/>
            <w:noWrap/>
            <w:vAlign w:val="center"/>
            <w:hideMark/>
          </w:tcPr>
          <w:p w14:paraId="1C00ABA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73.95446</w:t>
            </w:r>
          </w:p>
        </w:tc>
        <w:tc>
          <w:tcPr>
            <w:tcW w:w="1004" w:type="dxa"/>
            <w:noWrap/>
            <w:vAlign w:val="center"/>
            <w:hideMark/>
          </w:tcPr>
          <w:p w14:paraId="60C6F75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6.208565</w:t>
            </w:r>
          </w:p>
        </w:tc>
      </w:tr>
      <w:tr w:rsidR="00836CBC" w:rsidRPr="00C734B9" w14:paraId="352D5B91"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20CB7243"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G3P_MOUSE</w:t>
            </w:r>
          </w:p>
        </w:tc>
        <w:tc>
          <w:tcPr>
            <w:tcW w:w="1161" w:type="dxa"/>
            <w:noWrap/>
            <w:vAlign w:val="center"/>
            <w:hideMark/>
          </w:tcPr>
          <w:p w14:paraId="37EB27E4"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Gapdh</w:t>
            </w:r>
          </w:p>
        </w:tc>
        <w:tc>
          <w:tcPr>
            <w:tcW w:w="794" w:type="dxa"/>
            <w:noWrap/>
            <w:vAlign w:val="center"/>
            <w:hideMark/>
          </w:tcPr>
          <w:p w14:paraId="53662E78"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35.81</w:t>
            </w:r>
          </w:p>
        </w:tc>
        <w:tc>
          <w:tcPr>
            <w:tcW w:w="660" w:type="dxa"/>
            <w:noWrap/>
            <w:vAlign w:val="center"/>
            <w:hideMark/>
          </w:tcPr>
          <w:p w14:paraId="121186DE"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30</w:t>
            </w:r>
          </w:p>
        </w:tc>
        <w:tc>
          <w:tcPr>
            <w:tcW w:w="858" w:type="dxa"/>
            <w:noWrap/>
            <w:vAlign w:val="center"/>
            <w:hideMark/>
          </w:tcPr>
          <w:p w14:paraId="456F9AE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12</w:t>
            </w:r>
          </w:p>
        </w:tc>
        <w:tc>
          <w:tcPr>
            <w:tcW w:w="683" w:type="dxa"/>
            <w:noWrap/>
            <w:vAlign w:val="center"/>
            <w:hideMark/>
          </w:tcPr>
          <w:p w14:paraId="6595BEB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27</w:t>
            </w:r>
          </w:p>
        </w:tc>
        <w:tc>
          <w:tcPr>
            <w:tcW w:w="794" w:type="dxa"/>
            <w:noWrap/>
            <w:vAlign w:val="center"/>
            <w:hideMark/>
          </w:tcPr>
          <w:p w14:paraId="3CC19066"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2.9841</w:t>
            </w:r>
          </w:p>
        </w:tc>
        <w:tc>
          <w:tcPr>
            <w:tcW w:w="969" w:type="dxa"/>
            <w:noWrap/>
            <w:vAlign w:val="center"/>
            <w:hideMark/>
          </w:tcPr>
          <w:p w14:paraId="68CD7BCF"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1.5344%</w:t>
            </w:r>
          </w:p>
        </w:tc>
        <w:tc>
          <w:tcPr>
            <w:tcW w:w="969" w:type="dxa"/>
            <w:noWrap/>
            <w:vAlign w:val="center"/>
            <w:hideMark/>
          </w:tcPr>
          <w:p w14:paraId="2E139D7A"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3.0308%</w:t>
            </w:r>
          </w:p>
        </w:tc>
        <w:tc>
          <w:tcPr>
            <w:tcW w:w="1004" w:type="dxa"/>
            <w:noWrap/>
            <w:vAlign w:val="center"/>
            <w:hideMark/>
          </w:tcPr>
          <w:p w14:paraId="418D0CAA"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58.08489</w:t>
            </w:r>
          </w:p>
        </w:tc>
        <w:tc>
          <w:tcPr>
            <w:tcW w:w="1004" w:type="dxa"/>
            <w:noWrap/>
            <w:vAlign w:val="center"/>
            <w:hideMark/>
          </w:tcPr>
          <w:p w14:paraId="5B2BAA3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5.860091</w:t>
            </w:r>
          </w:p>
        </w:tc>
      </w:tr>
      <w:tr w:rsidR="00836CBC" w:rsidRPr="00C734B9" w14:paraId="67505566"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281E98E0"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ROA2_MOUSE</w:t>
            </w:r>
          </w:p>
        </w:tc>
        <w:tc>
          <w:tcPr>
            <w:tcW w:w="1161" w:type="dxa"/>
            <w:noWrap/>
            <w:vAlign w:val="center"/>
            <w:hideMark/>
          </w:tcPr>
          <w:p w14:paraId="38DBA2FD"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Hnrnpa2b1</w:t>
            </w:r>
          </w:p>
        </w:tc>
        <w:tc>
          <w:tcPr>
            <w:tcW w:w="794" w:type="dxa"/>
            <w:noWrap/>
            <w:vAlign w:val="center"/>
            <w:hideMark/>
          </w:tcPr>
          <w:p w14:paraId="5D08A70A"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37.403</w:t>
            </w:r>
          </w:p>
        </w:tc>
        <w:tc>
          <w:tcPr>
            <w:tcW w:w="660" w:type="dxa"/>
            <w:noWrap/>
            <w:vAlign w:val="center"/>
            <w:hideMark/>
          </w:tcPr>
          <w:p w14:paraId="2FFD1063"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28</w:t>
            </w:r>
          </w:p>
        </w:tc>
        <w:tc>
          <w:tcPr>
            <w:tcW w:w="858" w:type="dxa"/>
            <w:noWrap/>
            <w:vAlign w:val="center"/>
            <w:hideMark/>
          </w:tcPr>
          <w:p w14:paraId="1A6A7312"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10</w:t>
            </w:r>
          </w:p>
        </w:tc>
        <w:tc>
          <w:tcPr>
            <w:tcW w:w="683" w:type="dxa"/>
            <w:noWrap/>
            <w:vAlign w:val="center"/>
            <w:hideMark/>
          </w:tcPr>
          <w:p w14:paraId="00CD297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22</w:t>
            </w:r>
          </w:p>
        </w:tc>
        <w:tc>
          <w:tcPr>
            <w:tcW w:w="794" w:type="dxa"/>
            <w:noWrap/>
            <w:vAlign w:val="center"/>
            <w:hideMark/>
          </w:tcPr>
          <w:p w14:paraId="59BDAA34"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0.2544</w:t>
            </w:r>
          </w:p>
        </w:tc>
        <w:tc>
          <w:tcPr>
            <w:tcW w:w="969" w:type="dxa"/>
            <w:noWrap/>
            <w:vAlign w:val="center"/>
            <w:hideMark/>
          </w:tcPr>
          <w:p w14:paraId="5C376827"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0.4819%</w:t>
            </w:r>
          </w:p>
        </w:tc>
        <w:tc>
          <w:tcPr>
            <w:tcW w:w="969" w:type="dxa"/>
            <w:noWrap/>
            <w:vAlign w:val="center"/>
            <w:hideMark/>
          </w:tcPr>
          <w:p w14:paraId="54A38E9D"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0.2464%</w:t>
            </w:r>
          </w:p>
        </w:tc>
        <w:tc>
          <w:tcPr>
            <w:tcW w:w="1004" w:type="dxa"/>
            <w:noWrap/>
            <w:vAlign w:val="center"/>
            <w:hideMark/>
          </w:tcPr>
          <w:p w14:paraId="21A2ECD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15.03678</w:t>
            </w:r>
          </w:p>
        </w:tc>
        <w:tc>
          <w:tcPr>
            <w:tcW w:w="1004" w:type="dxa"/>
            <w:noWrap/>
            <w:vAlign w:val="center"/>
            <w:hideMark/>
          </w:tcPr>
          <w:p w14:paraId="02649261"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3.910424</w:t>
            </w:r>
          </w:p>
        </w:tc>
      </w:tr>
      <w:tr w:rsidR="00836CBC" w:rsidRPr="00C734B9" w14:paraId="71CE6072"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0FE912CF"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SEPT7_MOUSE</w:t>
            </w:r>
          </w:p>
        </w:tc>
        <w:tc>
          <w:tcPr>
            <w:tcW w:w="1161" w:type="dxa"/>
            <w:noWrap/>
            <w:vAlign w:val="center"/>
            <w:hideMark/>
          </w:tcPr>
          <w:p w14:paraId="7B835721"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Septin7</w:t>
            </w:r>
          </w:p>
        </w:tc>
        <w:tc>
          <w:tcPr>
            <w:tcW w:w="794" w:type="dxa"/>
            <w:noWrap/>
            <w:vAlign w:val="center"/>
            <w:hideMark/>
          </w:tcPr>
          <w:p w14:paraId="78B27536"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50.55</w:t>
            </w:r>
          </w:p>
        </w:tc>
        <w:tc>
          <w:tcPr>
            <w:tcW w:w="660" w:type="dxa"/>
            <w:noWrap/>
            <w:vAlign w:val="center"/>
            <w:hideMark/>
          </w:tcPr>
          <w:p w14:paraId="71478BEE"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27</w:t>
            </w:r>
          </w:p>
        </w:tc>
        <w:tc>
          <w:tcPr>
            <w:tcW w:w="858" w:type="dxa"/>
            <w:noWrap/>
            <w:vAlign w:val="center"/>
            <w:hideMark/>
          </w:tcPr>
          <w:p w14:paraId="60D0184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w:t>
            </w:r>
          </w:p>
        </w:tc>
        <w:tc>
          <w:tcPr>
            <w:tcW w:w="683" w:type="dxa"/>
            <w:noWrap/>
            <w:vAlign w:val="center"/>
            <w:hideMark/>
          </w:tcPr>
          <w:p w14:paraId="2A404E8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26</w:t>
            </w:r>
          </w:p>
        </w:tc>
        <w:tc>
          <w:tcPr>
            <w:tcW w:w="794" w:type="dxa"/>
            <w:noWrap/>
            <w:vAlign w:val="center"/>
            <w:hideMark/>
          </w:tcPr>
          <w:p w14:paraId="0010AE9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0.2002</w:t>
            </w:r>
          </w:p>
        </w:tc>
        <w:tc>
          <w:tcPr>
            <w:tcW w:w="969" w:type="dxa"/>
            <w:noWrap/>
            <w:vAlign w:val="center"/>
            <w:hideMark/>
          </w:tcPr>
          <w:p w14:paraId="1B0696C6"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0.1212%</w:t>
            </w:r>
          </w:p>
        </w:tc>
        <w:tc>
          <w:tcPr>
            <w:tcW w:w="969" w:type="dxa"/>
            <w:noWrap/>
            <w:vAlign w:val="center"/>
            <w:hideMark/>
          </w:tcPr>
          <w:p w14:paraId="66D2DB15"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0.2069%</w:t>
            </w:r>
          </w:p>
        </w:tc>
        <w:tc>
          <w:tcPr>
            <w:tcW w:w="1004" w:type="dxa"/>
            <w:noWrap/>
            <w:vAlign w:val="center"/>
            <w:hideMark/>
          </w:tcPr>
          <w:p w14:paraId="422BA21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50.18081</w:t>
            </w:r>
          </w:p>
        </w:tc>
        <w:tc>
          <w:tcPr>
            <w:tcW w:w="1004" w:type="dxa"/>
            <w:noWrap/>
            <w:vAlign w:val="center"/>
            <w:hideMark/>
          </w:tcPr>
          <w:p w14:paraId="1EF6816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5.649064</w:t>
            </w:r>
          </w:p>
        </w:tc>
      </w:tr>
      <w:tr w:rsidR="00836CBC" w:rsidRPr="00C734B9" w14:paraId="0365C90C"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1556D912"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GIMA4_MOUSE</w:t>
            </w:r>
          </w:p>
        </w:tc>
        <w:tc>
          <w:tcPr>
            <w:tcW w:w="1161" w:type="dxa"/>
            <w:noWrap/>
            <w:vAlign w:val="center"/>
            <w:hideMark/>
          </w:tcPr>
          <w:p w14:paraId="3FD2517E"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Gimap4</w:t>
            </w:r>
          </w:p>
        </w:tc>
        <w:tc>
          <w:tcPr>
            <w:tcW w:w="794" w:type="dxa"/>
            <w:noWrap/>
            <w:vAlign w:val="center"/>
            <w:hideMark/>
          </w:tcPr>
          <w:p w14:paraId="028D3355"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38.044</w:t>
            </w:r>
          </w:p>
        </w:tc>
        <w:tc>
          <w:tcPr>
            <w:tcW w:w="660" w:type="dxa"/>
            <w:noWrap/>
            <w:vAlign w:val="center"/>
            <w:hideMark/>
          </w:tcPr>
          <w:p w14:paraId="7DF6EE3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27</w:t>
            </w:r>
          </w:p>
        </w:tc>
        <w:tc>
          <w:tcPr>
            <w:tcW w:w="858" w:type="dxa"/>
            <w:noWrap/>
            <w:vAlign w:val="center"/>
            <w:hideMark/>
          </w:tcPr>
          <w:p w14:paraId="051D7F84"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5</w:t>
            </w:r>
          </w:p>
        </w:tc>
        <w:tc>
          <w:tcPr>
            <w:tcW w:w="683" w:type="dxa"/>
            <w:noWrap/>
            <w:vAlign w:val="center"/>
            <w:hideMark/>
          </w:tcPr>
          <w:p w14:paraId="57B192BD"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23</w:t>
            </w:r>
          </w:p>
        </w:tc>
        <w:tc>
          <w:tcPr>
            <w:tcW w:w="794" w:type="dxa"/>
            <w:noWrap/>
            <w:vAlign w:val="center"/>
            <w:hideMark/>
          </w:tcPr>
          <w:p w14:paraId="525747C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0.2096</w:t>
            </w:r>
          </w:p>
        </w:tc>
        <w:tc>
          <w:tcPr>
            <w:tcW w:w="969" w:type="dxa"/>
            <w:noWrap/>
            <w:vAlign w:val="center"/>
            <w:hideMark/>
          </w:tcPr>
          <w:p w14:paraId="796AA04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0.0974%</w:t>
            </w:r>
          </w:p>
        </w:tc>
        <w:tc>
          <w:tcPr>
            <w:tcW w:w="969" w:type="dxa"/>
            <w:noWrap/>
            <w:vAlign w:val="center"/>
            <w:hideMark/>
          </w:tcPr>
          <w:p w14:paraId="0A94641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0.2132%</w:t>
            </w:r>
          </w:p>
        </w:tc>
        <w:tc>
          <w:tcPr>
            <w:tcW w:w="1004" w:type="dxa"/>
            <w:noWrap/>
            <w:vAlign w:val="center"/>
            <w:hideMark/>
          </w:tcPr>
          <w:p w14:paraId="79D1AAF0"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64.40682</w:t>
            </w:r>
          </w:p>
        </w:tc>
        <w:tc>
          <w:tcPr>
            <w:tcW w:w="1004" w:type="dxa"/>
            <w:noWrap/>
            <w:vAlign w:val="center"/>
            <w:hideMark/>
          </w:tcPr>
          <w:p w14:paraId="7B97A36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6.009141</w:t>
            </w:r>
          </w:p>
        </w:tc>
      </w:tr>
      <w:tr w:rsidR="00836CBC" w:rsidRPr="00C734B9" w14:paraId="3824CDB8"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72DE7E3D"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EF1A1_MOUSE</w:t>
            </w:r>
          </w:p>
        </w:tc>
        <w:tc>
          <w:tcPr>
            <w:tcW w:w="1161" w:type="dxa"/>
            <w:noWrap/>
            <w:vAlign w:val="center"/>
            <w:hideMark/>
          </w:tcPr>
          <w:p w14:paraId="5C9DE2CB"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Eef1a1</w:t>
            </w:r>
          </w:p>
        </w:tc>
        <w:tc>
          <w:tcPr>
            <w:tcW w:w="794" w:type="dxa"/>
            <w:noWrap/>
            <w:vAlign w:val="center"/>
            <w:hideMark/>
          </w:tcPr>
          <w:p w14:paraId="301270AC"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50.114</w:t>
            </w:r>
          </w:p>
        </w:tc>
        <w:tc>
          <w:tcPr>
            <w:tcW w:w="660" w:type="dxa"/>
            <w:noWrap/>
            <w:vAlign w:val="center"/>
            <w:hideMark/>
          </w:tcPr>
          <w:p w14:paraId="4E7931AD"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27</w:t>
            </w:r>
          </w:p>
        </w:tc>
        <w:tc>
          <w:tcPr>
            <w:tcW w:w="858" w:type="dxa"/>
            <w:noWrap/>
            <w:vAlign w:val="center"/>
            <w:hideMark/>
          </w:tcPr>
          <w:p w14:paraId="1A73A6B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10</w:t>
            </w:r>
          </w:p>
        </w:tc>
        <w:tc>
          <w:tcPr>
            <w:tcW w:w="683" w:type="dxa"/>
            <w:noWrap/>
            <w:vAlign w:val="center"/>
            <w:hideMark/>
          </w:tcPr>
          <w:p w14:paraId="61CFB7C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25</w:t>
            </w:r>
          </w:p>
        </w:tc>
        <w:tc>
          <w:tcPr>
            <w:tcW w:w="794" w:type="dxa"/>
            <w:noWrap/>
            <w:vAlign w:val="center"/>
            <w:hideMark/>
          </w:tcPr>
          <w:p w14:paraId="78C9824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2.5637</w:t>
            </w:r>
          </w:p>
        </w:tc>
        <w:tc>
          <w:tcPr>
            <w:tcW w:w="969" w:type="dxa"/>
            <w:noWrap/>
            <w:vAlign w:val="center"/>
            <w:hideMark/>
          </w:tcPr>
          <w:p w14:paraId="6598318A"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1.8964%</w:t>
            </w:r>
          </w:p>
        </w:tc>
        <w:tc>
          <w:tcPr>
            <w:tcW w:w="969" w:type="dxa"/>
            <w:noWrap/>
            <w:vAlign w:val="center"/>
            <w:hideMark/>
          </w:tcPr>
          <w:p w14:paraId="1AB1614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2.5841%</w:t>
            </w:r>
          </w:p>
        </w:tc>
        <w:tc>
          <w:tcPr>
            <w:tcW w:w="1004" w:type="dxa"/>
            <w:noWrap/>
            <w:vAlign w:val="center"/>
            <w:hideMark/>
          </w:tcPr>
          <w:p w14:paraId="21ED10EC"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40.07023</w:t>
            </w:r>
          </w:p>
        </w:tc>
        <w:tc>
          <w:tcPr>
            <w:tcW w:w="1004" w:type="dxa"/>
            <w:noWrap/>
            <w:vAlign w:val="center"/>
            <w:hideMark/>
          </w:tcPr>
          <w:p w14:paraId="1EAEEF7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5.324459</w:t>
            </w:r>
          </w:p>
        </w:tc>
      </w:tr>
      <w:tr w:rsidR="00836CBC" w:rsidRPr="00C734B9" w14:paraId="6024C685"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76F4D57F"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AATM_MOUSE</w:t>
            </w:r>
          </w:p>
        </w:tc>
        <w:tc>
          <w:tcPr>
            <w:tcW w:w="1161" w:type="dxa"/>
            <w:noWrap/>
            <w:vAlign w:val="center"/>
            <w:hideMark/>
          </w:tcPr>
          <w:p w14:paraId="29AF582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Got2</w:t>
            </w:r>
          </w:p>
        </w:tc>
        <w:tc>
          <w:tcPr>
            <w:tcW w:w="794" w:type="dxa"/>
            <w:noWrap/>
            <w:vAlign w:val="center"/>
            <w:hideMark/>
          </w:tcPr>
          <w:p w14:paraId="46D6BE0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47.411</w:t>
            </w:r>
          </w:p>
        </w:tc>
        <w:tc>
          <w:tcPr>
            <w:tcW w:w="660" w:type="dxa"/>
            <w:noWrap/>
            <w:vAlign w:val="center"/>
            <w:hideMark/>
          </w:tcPr>
          <w:p w14:paraId="374583F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27</w:t>
            </w:r>
          </w:p>
        </w:tc>
        <w:tc>
          <w:tcPr>
            <w:tcW w:w="858" w:type="dxa"/>
            <w:noWrap/>
            <w:vAlign w:val="center"/>
            <w:hideMark/>
          </w:tcPr>
          <w:p w14:paraId="00E457A7"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5</w:t>
            </w:r>
          </w:p>
        </w:tc>
        <w:tc>
          <w:tcPr>
            <w:tcW w:w="683" w:type="dxa"/>
            <w:noWrap/>
            <w:vAlign w:val="center"/>
            <w:hideMark/>
          </w:tcPr>
          <w:p w14:paraId="530348A1"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27</w:t>
            </w:r>
          </w:p>
        </w:tc>
        <w:tc>
          <w:tcPr>
            <w:tcW w:w="794" w:type="dxa"/>
            <w:noWrap/>
            <w:vAlign w:val="center"/>
            <w:hideMark/>
          </w:tcPr>
          <w:p w14:paraId="400633B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0.6346</w:t>
            </w:r>
          </w:p>
        </w:tc>
        <w:tc>
          <w:tcPr>
            <w:tcW w:w="969" w:type="dxa"/>
            <w:noWrap/>
            <w:vAlign w:val="center"/>
            <w:hideMark/>
          </w:tcPr>
          <w:p w14:paraId="48FAAFA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0.4605%</w:t>
            </w:r>
          </w:p>
        </w:tc>
        <w:tc>
          <w:tcPr>
            <w:tcW w:w="969" w:type="dxa"/>
            <w:noWrap/>
            <w:vAlign w:val="center"/>
            <w:hideMark/>
          </w:tcPr>
          <w:p w14:paraId="543147AC"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0.64%</w:t>
            </w:r>
          </w:p>
        </w:tc>
        <w:tc>
          <w:tcPr>
            <w:tcW w:w="1004" w:type="dxa"/>
            <w:noWrap/>
            <w:vAlign w:val="center"/>
            <w:hideMark/>
          </w:tcPr>
          <w:p w14:paraId="01977F8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40.87182</w:t>
            </w:r>
          </w:p>
        </w:tc>
        <w:tc>
          <w:tcPr>
            <w:tcW w:w="1004" w:type="dxa"/>
            <w:noWrap/>
            <w:vAlign w:val="center"/>
            <w:hideMark/>
          </w:tcPr>
          <w:p w14:paraId="2C053DE8"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5.353035</w:t>
            </w:r>
          </w:p>
        </w:tc>
      </w:tr>
      <w:tr w:rsidR="00836CBC" w:rsidRPr="00C734B9" w14:paraId="54C1467D"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7DE0CE77"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ARP3_MOUSE</w:t>
            </w:r>
          </w:p>
        </w:tc>
        <w:tc>
          <w:tcPr>
            <w:tcW w:w="1161" w:type="dxa"/>
            <w:noWrap/>
            <w:vAlign w:val="center"/>
            <w:hideMark/>
          </w:tcPr>
          <w:p w14:paraId="345DB43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Actr3</w:t>
            </w:r>
          </w:p>
        </w:tc>
        <w:tc>
          <w:tcPr>
            <w:tcW w:w="794" w:type="dxa"/>
            <w:noWrap/>
            <w:vAlign w:val="center"/>
            <w:hideMark/>
          </w:tcPr>
          <w:p w14:paraId="09D6E3DE"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47.357</w:t>
            </w:r>
          </w:p>
        </w:tc>
        <w:tc>
          <w:tcPr>
            <w:tcW w:w="660" w:type="dxa"/>
            <w:noWrap/>
            <w:vAlign w:val="center"/>
            <w:hideMark/>
          </w:tcPr>
          <w:p w14:paraId="13F07F3D"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26</w:t>
            </w:r>
          </w:p>
        </w:tc>
        <w:tc>
          <w:tcPr>
            <w:tcW w:w="858" w:type="dxa"/>
            <w:noWrap/>
            <w:vAlign w:val="center"/>
            <w:hideMark/>
          </w:tcPr>
          <w:p w14:paraId="0C4DF47F"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5</w:t>
            </w:r>
          </w:p>
        </w:tc>
        <w:tc>
          <w:tcPr>
            <w:tcW w:w="683" w:type="dxa"/>
            <w:noWrap/>
            <w:vAlign w:val="center"/>
            <w:hideMark/>
          </w:tcPr>
          <w:p w14:paraId="25A95B7E"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26</w:t>
            </w:r>
          </w:p>
        </w:tc>
        <w:tc>
          <w:tcPr>
            <w:tcW w:w="794" w:type="dxa"/>
            <w:noWrap/>
            <w:vAlign w:val="center"/>
            <w:hideMark/>
          </w:tcPr>
          <w:p w14:paraId="6D27C2D1"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0.434</w:t>
            </w:r>
          </w:p>
        </w:tc>
        <w:tc>
          <w:tcPr>
            <w:tcW w:w="969" w:type="dxa"/>
            <w:noWrap/>
            <w:vAlign w:val="center"/>
            <w:hideMark/>
          </w:tcPr>
          <w:p w14:paraId="2969C82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0.4408%</w:t>
            </w:r>
          </w:p>
        </w:tc>
        <w:tc>
          <w:tcPr>
            <w:tcW w:w="969" w:type="dxa"/>
            <w:noWrap/>
            <w:vAlign w:val="center"/>
            <w:hideMark/>
          </w:tcPr>
          <w:p w14:paraId="5A3086AA"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0.4334%</w:t>
            </w:r>
          </w:p>
        </w:tc>
        <w:tc>
          <w:tcPr>
            <w:tcW w:w="1004" w:type="dxa"/>
            <w:noWrap/>
            <w:vAlign w:val="center"/>
            <w:hideMark/>
          </w:tcPr>
          <w:p w14:paraId="12AB035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28.913</w:t>
            </w:r>
          </w:p>
        </w:tc>
        <w:tc>
          <w:tcPr>
            <w:tcW w:w="1004" w:type="dxa"/>
            <w:noWrap/>
            <w:vAlign w:val="center"/>
            <w:hideMark/>
          </w:tcPr>
          <w:p w14:paraId="45AB3948"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4.853646</w:t>
            </w:r>
          </w:p>
        </w:tc>
      </w:tr>
      <w:tr w:rsidR="00836CBC" w:rsidRPr="00C734B9" w14:paraId="114856FD"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15BA0041"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lastRenderedPageBreak/>
              <w:t>RUVB2_MOUSE</w:t>
            </w:r>
          </w:p>
        </w:tc>
        <w:tc>
          <w:tcPr>
            <w:tcW w:w="1161" w:type="dxa"/>
            <w:noWrap/>
            <w:vAlign w:val="center"/>
            <w:hideMark/>
          </w:tcPr>
          <w:p w14:paraId="1BA88519"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Ruvbl2</w:t>
            </w:r>
          </w:p>
        </w:tc>
        <w:tc>
          <w:tcPr>
            <w:tcW w:w="794" w:type="dxa"/>
            <w:noWrap/>
            <w:vAlign w:val="center"/>
            <w:hideMark/>
          </w:tcPr>
          <w:p w14:paraId="2B06CE80"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51.112</w:t>
            </w:r>
          </w:p>
        </w:tc>
        <w:tc>
          <w:tcPr>
            <w:tcW w:w="660" w:type="dxa"/>
            <w:noWrap/>
            <w:vAlign w:val="center"/>
            <w:hideMark/>
          </w:tcPr>
          <w:p w14:paraId="3F2CC3BD"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26</w:t>
            </w:r>
          </w:p>
        </w:tc>
        <w:tc>
          <w:tcPr>
            <w:tcW w:w="858" w:type="dxa"/>
            <w:noWrap/>
            <w:vAlign w:val="center"/>
            <w:hideMark/>
          </w:tcPr>
          <w:p w14:paraId="335E0F30"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w:t>
            </w:r>
          </w:p>
        </w:tc>
        <w:tc>
          <w:tcPr>
            <w:tcW w:w="683" w:type="dxa"/>
            <w:noWrap/>
            <w:vAlign w:val="center"/>
            <w:hideMark/>
          </w:tcPr>
          <w:p w14:paraId="3A7982F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25</w:t>
            </w:r>
          </w:p>
        </w:tc>
        <w:tc>
          <w:tcPr>
            <w:tcW w:w="794" w:type="dxa"/>
            <w:noWrap/>
            <w:vAlign w:val="center"/>
            <w:hideMark/>
          </w:tcPr>
          <w:p w14:paraId="62A35351"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0.0916</w:t>
            </w:r>
          </w:p>
        </w:tc>
        <w:tc>
          <w:tcPr>
            <w:tcW w:w="969" w:type="dxa"/>
            <w:noWrap/>
            <w:vAlign w:val="center"/>
            <w:hideMark/>
          </w:tcPr>
          <w:p w14:paraId="2EC02CBC"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0.0213%</w:t>
            </w:r>
          </w:p>
        </w:tc>
        <w:tc>
          <w:tcPr>
            <w:tcW w:w="969" w:type="dxa"/>
            <w:noWrap/>
            <w:vAlign w:val="center"/>
            <w:hideMark/>
          </w:tcPr>
          <w:p w14:paraId="1D80E7C3"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0.0939%</w:t>
            </w:r>
          </w:p>
        </w:tc>
        <w:tc>
          <w:tcPr>
            <w:tcW w:w="1004" w:type="dxa"/>
            <w:noWrap/>
            <w:vAlign w:val="center"/>
            <w:hideMark/>
          </w:tcPr>
          <w:p w14:paraId="7547F7E8"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129.6067</w:t>
            </w:r>
          </w:p>
        </w:tc>
        <w:tc>
          <w:tcPr>
            <w:tcW w:w="1004" w:type="dxa"/>
            <w:noWrap/>
            <w:vAlign w:val="center"/>
            <w:hideMark/>
          </w:tcPr>
          <w:p w14:paraId="64FE77D7"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7.017996</w:t>
            </w:r>
          </w:p>
        </w:tc>
      </w:tr>
      <w:tr w:rsidR="00836CBC" w:rsidRPr="00C734B9" w14:paraId="4E159748"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1F3DE042"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SAHH_MOUSE</w:t>
            </w:r>
          </w:p>
        </w:tc>
        <w:tc>
          <w:tcPr>
            <w:tcW w:w="1161" w:type="dxa"/>
            <w:noWrap/>
            <w:vAlign w:val="center"/>
            <w:hideMark/>
          </w:tcPr>
          <w:p w14:paraId="23D10E3C"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Ahcy</w:t>
            </w:r>
          </w:p>
        </w:tc>
        <w:tc>
          <w:tcPr>
            <w:tcW w:w="794" w:type="dxa"/>
            <w:noWrap/>
            <w:vAlign w:val="center"/>
            <w:hideMark/>
          </w:tcPr>
          <w:p w14:paraId="261BC78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47.688</w:t>
            </w:r>
          </w:p>
        </w:tc>
        <w:tc>
          <w:tcPr>
            <w:tcW w:w="660" w:type="dxa"/>
            <w:noWrap/>
            <w:vAlign w:val="center"/>
            <w:hideMark/>
          </w:tcPr>
          <w:p w14:paraId="12C139B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25</w:t>
            </w:r>
          </w:p>
        </w:tc>
        <w:tc>
          <w:tcPr>
            <w:tcW w:w="858" w:type="dxa"/>
            <w:noWrap/>
            <w:vAlign w:val="center"/>
            <w:hideMark/>
          </w:tcPr>
          <w:p w14:paraId="19CFEE8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3</w:t>
            </w:r>
          </w:p>
        </w:tc>
        <w:tc>
          <w:tcPr>
            <w:tcW w:w="683" w:type="dxa"/>
            <w:noWrap/>
            <w:vAlign w:val="center"/>
            <w:hideMark/>
          </w:tcPr>
          <w:p w14:paraId="58FDC093"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24</w:t>
            </w:r>
          </w:p>
        </w:tc>
        <w:tc>
          <w:tcPr>
            <w:tcW w:w="794" w:type="dxa"/>
            <w:noWrap/>
            <w:vAlign w:val="center"/>
            <w:hideMark/>
          </w:tcPr>
          <w:p w14:paraId="19D1AEF5"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0.3324</w:t>
            </w:r>
          </w:p>
        </w:tc>
        <w:tc>
          <w:tcPr>
            <w:tcW w:w="969" w:type="dxa"/>
            <w:noWrap/>
            <w:vAlign w:val="center"/>
            <w:hideMark/>
          </w:tcPr>
          <w:p w14:paraId="1C31A188"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0.1078%</w:t>
            </w:r>
          </w:p>
        </w:tc>
        <w:tc>
          <w:tcPr>
            <w:tcW w:w="969" w:type="dxa"/>
            <w:noWrap/>
            <w:vAlign w:val="center"/>
            <w:hideMark/>
          </w:tcPr>
          <w:p w14:paraId="370E9E8C"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0.3397%</w:t>
            </w:r>
          </w:p>
        </w:tc>
        <w:tc>
          <w:tcPr>
            <w:tcW w:w="1004" w:type="dxa"/>
            <w:noWrap/>
            <w:vAlign w:val="center"/>
            <w:hideMark/>
          </w:tcPr>
          <w:p w14:paraId="46E526EB"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92.63956</w:t>
            </w:r>
          </w:p>
        </w:tc>
        <w:tc>
          <w:tcPr>
            <w:tcW w:w="1004" w:type="dxa"/>
            <w:noWrap/>
            <w:vAlign w:val="center"/>
            <w:hideMark/>
          </w:tcPr>
          <w:p w14:paraId="6012D8D7"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6.533557</w:t>
            </w:r>
          </w:p>
        </w:tc>
      </w:tr>
      <w:tr w:rsidR="00836CBC" w:rsidRPr="00C734B9" w14:paraId="2200CBB6" w14:textId="77777777" w:rsidTr="00814EA1">
        <w:trPr>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2D598391"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MDHM_MOUSE</w:t>
            </w:r>
          </w:p>
        </w:tc>
        <w:tc>
          <w:tcPr>
            <w:tcW w:w="1161" w:type="dxa"/>
            <w:noWrap/>
            <w:vAlign w:val="center"/>
            <w:hideMark/>
          </w:tcPr>
          <w:p w14:paraId="5E19266B"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Mdh2</w:t>
            </w:r>
          </w:p>
        </w:tc>
        <w:tc>
          <w:tcPr>
            <w:tcW w:w="794" w:type="dxa"/>
            <w:noWrap/>
            <w:vAlign w:val="center"/>
            <w:hideMark/>
          </w:tcPr>
          <w:p w14:paraId="05E3C16C"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35.611</w:t>
            </w:r>
          </w:p>
        </w:tc>
        <w:tc>
          <w:tcPr>
            <w:tcW w:w="660" w:type="dxa"/>
            <w:noWrap/>
            <w:vAlign w:val="center"/>
            <w:hideMark/>
          </w:tcPr>
          <w:p w14:paraId="0D800AF4"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25</w:t>
            </w:r>
          </w:p>
        </w:tc>
        <w:tc>
          <w:tcPr>
            <w:tcW w:w="858" w:type="dxa"/>
            <w:noWrap/>
            <w:vAlign w:val="center"/>
            <w:hideMark/>
          </w:tcPr>
          <w:p w14:paraId="0430E765"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10</w:t>
            </w:r>
          </w:p>
        </w:tc>
        <w:tc>
          <w:tcPr>
            <w:tcW w:w="683" w:type="dxa"/>
            <w:noWrap/>
            <w:vAlign w:val="center"/>
            <w:hideMark/>
          </w:tcPr>
          <w:p w14:paraId="6329BC5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21</w:t>
            </w:r>
          </w:p>
        </w:tc>
        <w:tc>
          <w:tcPr>
            <w:tcW w:w="794" w:type="dxa"/>
            <w:noWrap/>
            <w:vAlign w:val="center"/>
            <w:hideMark/>
          </w:tcPr>
          <w:p w14:paraId="532C6892"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1.4315</w:t>
            </w:r>
          </w:p>
        </w:tc>
        <w:tc>
          <w:tcPr>
            <w:tcW w:w="969" w:type="dxa"/>
            <w:noWrap/>
            <w:vAlign w:val="center"/>
            <w:hideMark/>
          </w:tcPr>
          <w:p w14:paraId="69B47DA2"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0.964%</w:t>
            </w:r>
          </w:p>
        </w:tc>
        <w:tc>
          <w:tcPr>
            <w:tcW w:w="969" w:type="dxa"/>
            <w:noWrap/>
            <w:vAlign w:val="center"/>
            <w:hideMark/>
          </w:tcPr>
          <w:p w14:paraId="4C448C76"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1.4461%</w:t>
            </w:r>
          </w:p>
        </w:tc>
        <w:tc>
          <w:tcPr>
            <w:tcW w:w="1004" w:type="dxa"/>
            <w:noWrap/>
            <w:vAlign w:val="center"/>
            <w:hideMark/>
          </w:tcPr>
          <w:p w14:paraId="7CCD782F"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44.11144</w:t>
            </w:r>
          </w:p>
        </w:tc>
        <w:tc>
          <w:tcPr>
            <w:tcW w:w="1004" w:type="dxa"/>
            <w:noWrap/>
            <w:vAlign w:val="center"/>
            <w:hideMark/>
          </w:tcPr>
          <w:p w14:paraId="7188A3CC" w14:textId="77777777" w:rsidR="00836CBC" w:rsidRPr="00C734B9" w:rsidRDefault="00836CBC" w:rsidP="00814EA1">
            <w:pPr>
              <w:jc w:val="both"/>
              <w:cnfStyle w:val="000000000000" w:firstRow="0" w:lastRow="0" w:firstColumn="0" w:lastColumn="0" w:oddVBand="0" w:evenVBand="0" w:oddHBand="0" w:evenHBand="0" w:firstRowFirstColumn="0" w:firstRowLastColumn="0" w:lastRowFirstColumn="0" w:lastRowLastColumn="0"/>
              <w:rPr>
                <w:rFonts w:eastAsia="等线"/>
                <w:color w:val="000000"/>
                <w:szCs w:val="21"/>
              </w:rPr>
            </w:pPr>
            <w:r w:rsidRPr="00C734B9">
              <w:rPr>
                <w:rFonts w:eastAsia="等线"/>
                <w:color w:val="000000"/>
                <w:szCs w:val="21"/>
              </w:rPr>
              <w:t>5.463081</w:t>
            </w:r>
          </w:p>
        </w:tc>
      </w:tr>
      <w:tr w:rsidR="00836CBC" w:rsidRPr="00C734B9" w14:paraId="218788EE" w14:textId="77777777" w:rsidTr="00814EA1">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791" w:type="dxa"/>
            <w:noWrap/>
            <w:vAlign w:val="center"/>
            <w:hideMark/>
          </w:tcPr>
          <w:p w14:paraId="1393CFAD" w14:textId="77777777" w:rsidR="00836CBC" w:rsidRPr="00C734B9" w:rsidRDefault="00836CBC" w:rsidP="00814EA1">
            <w:pPr>
              <w:jc w:val="both"/>
              <w:rPr>
                <w:rFonts w:eastAsia="等线"/>
                <w:b w:val="0"/>
                <w:bCs w:val="0"/>
                <w:color w:val="000000"/>
                <w:szCs w:val="21"/>
              </w:rPr>
            </w:pPr>
            <w:r w:rsidRPr="00C734B9">
              <w:rPr>
                <w:rFonts w:eastAsia="等线"/>
                <w:b w:val="0"/>
                <w:bCs w:val="0"/>
                <w:color w:val="000000"/>
                <w:szCs w:val="21"/>
              </w:rPr>
              <w:t>PA2G4_MOUSE</w:t>
            </w:r>
          </w:p>
        </w:tc>
        <w:tc>
          <w:tcPr>
            <w:tcW w:w="1161" w:type="dxa"/>
            <w:noWrap/>
            <w:vAlign w:val="center"/>
            <w:hideMark/>
          </w:tcPr>
          <w:p w14:paraId="2892C90F"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Pa2g4</w:t>
            </w:r>
          </w:p>
        </w:tc>
        <w:tc>
          <w:tcPr>
            <w:tcW w:w="794" w:type="dxa"/>
            <w:noWrap/>
            <w:vAlign w:val="center"/>
            <w:hideMark/>
          </w:tcPr>
          <w:p w14:paraId="22381A8B"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43.699</w:t>
            </w:r>
          </w:p>
        </w:tc>
        <w:tc>
          <w:tcPr>
            <w:tcW w:w="660" w:type="dxa"/>
            <w:noWrap/>
            <w:vAlign w:val="center"/>
            <w:hideMark/>
          </w:tcPr>
          <w:p w14:paraId="5D5F1505"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25</w:t>
            </w:r>
          </w:p>
        </w:tc>
        <w:tc>
          <w:tcPr>
            <w:tcW w:w="858" w:type="dxa"/>
            <w:noWrap/>
            <w:vAlign w:val="center"/>
            <w:hideMark/>
          </w:tcPr>
          <w:p w14:paraId="23B6487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w:t>
            </w:r>
          </w:p>
        </w:tc>
        <w:tc>
          <w:tcPr>
            <w:tcW w:w="683" w:type="dxa"/>
            <w:noWrap/>
            <w:vAlign w:val="center"/>
            <w:hideMark/>
          </w:tcPr>
          <w:p w14:paraId="2305F8E9"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23</w:t>
            </w:r>
          </w:p>
        </w:tc>
        <w:tc>
          <w:tcPr>
            <w:tcW w:w="794" w:type="dxa"/>
            <w:noWrap/>
            <w:vAlign w:val="center"/>
            <w:hideMark/>
          </w:tcPr>
          <w:p w14:paraId="372ABEAA"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0.2678</w:t>
            </w:r>
          </w:p>
        </w:tc>
        <w:tc>
          <w:tcPr>
            <w:tcW w:w="969" w:type="dxa"/>
            <w:noWrap/>
            <w:vAlign w:val="center"/>
            <w:hideMark/>
          </w:tcPr>
          <w:p w14:paraId="7DE1463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0.3083%</w:t>
            </w:r>
          </w:p>
        </w:tc>
        <w:tc>
          <w:tcPr>
            <w:tcW w:w="969" w:type="dxa"/>
            <w:noWrap/>
            <w:vAlign w:val="center"/>
            <w:hideMark/>
          </w:tcPr>
          <w:p w14:paraId="464E95C0"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0.2662%</w:t>
            </w:r>
          </w:p>
        </w:tc>
        <w:tc>
          <w:tcPr>
            <w:tcW w:w="1004" w:type="dxa"/>
            <w:noWrap/>
            <w:vAlign w:val="center"/>
            <w:hideMark/>
          </w:tcPr>
          <w:p w14:paraId="4FD3B965"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25.39328</w:t>
            </w:r>
          </w:p>
        </w:tc>
        <w:tc>
          <w:tcPr>
            <w:tcW w:w="1004" w:type="dxa"/>
            <w:noWrap/>
            <w:vAlign w:val="center"/>
            <w:hideMark/>
          </w:tcPr>
          <w:p w14:paraId="087C3EF2" w14:textId="77777777" w:rsidR="00836CBC" w:rsidRPr="00C734B9" w:rsidRDefault="00836CBC" w:rsidP="00814EA1">
            <w:pPr>
              <w:jc w:val="both"/>
              <w:cnfStyle w:val="000000100000" w:firstRow="0" w:lastRow="0" w:firstColumn="0" w:lastColumn="0" w:oddVBand="0" w:evenVBand="0" w:oddHBand="1" w:evenHBand="0" w:firstRowFirstColumn="0" w:firstRowLastColumn="0" w:lastRowFirstColumn="0" w:lastRowLastColumn="0"/>
              <w:rPr>
                <w:rFonts w:eastAsia="等线"/>
                <w:color w:val="000000"/>
                <w:szCs w:val="21"/>
              </w:rPr>
            </w:pPr>
            <w:r w:rsidRPr="00C734B9">
              <w:rPr>
                <w:rFonts w:eastAsia="等线"/>
                <w:color w:val="000000"/>
                <w:szCs w:val="21"/>
              </w:rPr>
              <w:t>4.666375</w:t>
            </w:r>
          </w:p>
        </w:tc>
      </w:tr>
    </w:tbl>
    <w:p w14:paraId="679CE315" w14:textId="77777777" w:rsidR="00836CBC" w:rsidRPr="003A6415" w:rsidRDefault="00836CBC" w:rsidP="00836CBC">
      <w:pPr>
        <w:pStyle w:val="SMcaption"/>
        <w:jc w:val="both"/>
        <w:rPr>
          <w:lang w:eastAsia="zh-CN"/>
        </w:rPr>
      </w:pPr>
      <w:bookmarkStart w:id="9" w:name="_Hlk208584180"/>
    </w:p>
    <w:p w14:paraId="08C0878E" w14:textId="77777777" w:rsidR="00836CBC" w:rsidRPr="004F6126" w:rsidRDefault="00836CBC" w:rsidP="00836CBC">
      <w:pPr>
        <w:pStyle w:val="SMHeading"/>
        <w:jc w:val="both"/>
      </w:pPr>
      <w:r w:rsidRPr="004F6126">
        <w:t>Table S</w:t>
      </w:r>
      <w:r>
        <w:rPr>
          <w:rFonts w:hint="eastAsia"/>
          <w:lang w:eastAsia="zh-CN"/>
        </w:rPr>
        <w:t>5</w:t>
      </w:r>
      <w:r w:rsidRPr="004F6126">
        <w:t>.</w:t>
      </w:r>
      <w:r w:rsidRPr="004F6126">
        <w:rPr>
          <w:rFonts w:hint="eastAsia"/>
        </w:rPr>
        <w:t xml:space="preserve"> </w:t>
      </w:r>
      <w:r w:rsidRPr="004F6126">
        <w:t xml:space="preserve">Lentiviral Sequences for </w:t>
      </w:r>
      <w:r w:rsidRPr="004F6126">
        <w:rPr>
          <w:rFonts w:hint="eastAsia"/>
        </w:rPr>
        <w:t>Nectin2</w:t>
      </w:r>
      <w:r w:rsidRPr="004F6126">
        <w:t xml:space="preserve"> Knockdown</w:t>
      </w:r>
    </w:p>
    <w:tbl>
      <w:tblPr>
        <w:tblStyle w:val="aff3"/>
        <w:tblW w:w="0" w:type="auto"/>
        <w:jc w:val="center"/>
        <w:tblLayout w:type="fixed"/>
        <w:tblLook w:val="04A0" w:firstRow="1" w:lastRow="0" w:firstColumn="1" w:lastColumn="0" w:noHBand="0" w:noVBand="1"/>
      </w:tblPr>
      <w:tblGrid>
        <w:gridCol w:w="1417"/>
        <w:gridCol w:w="1706"/>
        <w:gridCol w:w="4693"/>
        <w:gridCol w:w="504"/>
      </w:tblGrid>
      <w:tr w:rsidR="00836CBC" w:rsidRPr="00C734B9" w14:paraId="472D58C4" w14:textId="77777777" w:rsidTr="00814EA1">
        <w:trPr>
          <w:trHeight w:val="291"/>
          <w:jc w:val="center"/>
        </w:trPr>
        <w:tc>
          <w:tcPr>
            <w:tcW w:w="1417" w:type="dxa"/>
          </w:tcPr>
          <w:p w14:paraId="5D1D0DC7" w14:textId="77777777" w:rsidR="00836CBC" w:rsidRPr="00C734B9" w:rsidRDefault="00836CBC" w:rsidP="00814EA1">
            <w:pPr>
              <w:jc w:val="both"/>
              <w:rPr>
                <w:sz w:val="21"/>
                <w:szCs w:val="21"/>
              </w:rPr>
            </w:pPr>
          </w:p>
        </w:tc>
        <w:tc>
          <w:tcPr>
            <w:tcW w:w="1706" w:type="dxa"/>
          </w:tcPr>
          <w:p w14:paraId="3EA6782A" w14:textId="77777777" w:rsidR="00836CBC" w:rsidRPr="00C734B9" w:rsidRDefault="00836CBC" w:rsidP="00814EA1">
            <w:pPr>
              <w:jc w:val="both"/>
              <w:rPr>
                <w:sz w:val="21"/>
                <w:szCs w:val="21"/>
              </w:rPr>
            </w:pPr>
            <w:r w:rsidRPr="00C734B9">
              <w:rPr>
                <w:sz w:val="21"/>
                <w:szCs w:val="21"/>
              </w:rPr>
              <w:t>Primer name</w:t>
            </w:r>
          </w:p>
        </w:tc>
        <w:tc>
          <w:tcPr>
            <w:tcW w:w="4693" w:type="dxa"/>
          </w:tcPr>
          <w:p w14:paraId="135CBA2D" w14:textId="77777777" w:rsidR="00836CBC" w:rsidRPr="00C734B9" w:rsidRDefault="00836CBC" w:rsidP="00814EA1">
            <w:pPr>
              <w:jc w:val="both"/>
              <w:rPr>
                <w:sz w:val="21"/>
                <w:szCs w:val="21"/>
              </w:rPr>
            </w:pPr>
            <w:r w:rsidRPr="00C734B9">
              <w:rPr>
                <w:sz w:val="21"/>
                <w:szCs w:val="21"/>
              </w:rPr>
              <w:t>（5' to 3'）</w:t>
            </w:r>
          </w:p>
        </w:tc>
        <w:tc>
          <w:tcPr>
            <w:tcW w:w="504" w:type="dxa"/>
          </w:tcPr>
          <w:p w14:paraId="675F1ECC" w14:textId="77777777" w:rsidR="00836CBC" w:rsidRPr="00C734B9" w:rsidRDefault="00836CBC" w:rsidP="00814EA1">
            <w:pPr>
              <w:jc w:val="both"/>
              <w:rPr>
                <w:sz w:val="21"/>
                <w:szCs w:val="21"/>
              </w:rPr>
            </w:pPr>
            <w:r w:rsidRPr="00C734B9">
              <w:rPr>
                <w:sz w:val="21"/>
                <w:szCs w:val="21"/>
              </w:rPr>
              <w:t>nt</w:t>
            </w:r>
          </w:p>
        </w:tc>
      </w:tr>
      <w:tr w:rsidR="00836CBC" w:rsidRPr="00C734B9" w14:paraId="2D030F75" w14:textId="77777777" w:rsidTr="00814EA1">
        <w:trPr>
          <w:trHeight w:val="523"/>
          <w:jc w:val="center"/>
        </w:trPr>
        <w:tc>
          <w:tcPr>
            <w:tcW w:w="1417" w:type="dxa"/>
            <w:vMerge w:val="restart"/>
            <w:vAlign w:val="center"/>
          </w:tcPr>
          <w:p w14:paraId="31B33D2F" w14:textId="77777777" w:rsidR="00836CBC" w:rsidRPr="00C734B9" w:rsidRDefault="00836CBC" w:rsidP="00814EA1">
            <w:pPr>
              <w:jc w:val="both"/>
              <w:rPr>
                <w:sz w:val="21"/>
                <w:szCs w:val="21"/>
              </w:rPr>
            </w:pPr>
            <w:r w:rsidRPr="00C734B9">
              <w:rPr>
                <w:sz w:val="21"/>
                <w:szCs w:val="21"/>
              </w:rPr>
              <w:t>shNectin2#1</w:t>
            </w:r>
          </w:p>
        </w:tc>
        <w:tc>
          <w:tcPr>
            <w:tcW w:w="1706" w:type="dxa"/>
            <w:vAlign w:val="center"/>
          </w:tcPr>
          <w:p w14:paraId="443EEFB8" w14:textId="77777777" w:rsidR="00836CBC" w:rsidRPr="00C734B9" w:rsidRDefault="00836CBC" w:rsidP="00814EA1">
            <w:pPr>
              <w:jc w:val="both"/>
              <w:rPr>
                <w:sz w:val="21"/>
                <w:szCs w:val="21"/>
              </w:rPr>
            </w:pPr>
            <w:r w:rsidRPr="00C734B9">
              <w:rPr>
                <w:sz w:val="21"/>
                <w:szCs w:val="21"/>
              </w:rPr>
              <w:t>shNectin2-1#-F</w:t>
            </w:r>
          </w:p>
        </w:tc>
        <w:tc>
          <w:tcPr>
            <w:tcW w:w="4693" w:type="dxa"/>
          </w:tcPr>
          <w:p w14:paraId="3D7F2FCC" w14:textId="77777777" w:rsidR="00836CBC" w:rsidRPr="00C734B9" w:rsidRDefault="00836CBC" w:rsidP="00814EA1">
            <w:pPr>
              <w:jc w:val="both"/>
              <w:rPr>
                <w:sz w:val="21"/>
                <w:szCs w:val="21"/>
              </w:rPr>
            </w:pPr>
            <w:r w:rsidRPr="00C734B9">
              <w:rPr>
                <w:sz w:val="21"/>
                <w:szCs w:val="21"/>
              </w:rPr>
              <w:t>CCGG</w:t>
            </w:r>
            <w:r w:rsidRPr="00C734B9">
              <w:rPr>
                <w:color w:val="FF0000"/>
                <w:sz w:val="21"/>
                <w:szCs w:val="21"/>
              </w:rPr>
              <w:t>GAAACACTCAGGAGCTAATAA</w:t>
            </w:r>
            <w:r w:rsidRPr="00C734B9">
              <w:rPr>
                <w:sz w:val="21"/>
                <w:szCs w:val="21"/>
              </w:rPr>
              <w:t>CTCGAG</w:t>
            </w:r>
            <w:r w:rsidRPr="00C734B9">
              <w:rPr>
                <w:color w:val="FF0000"/>
                <w:sz w:val="21"/>
                <w:szCs w:val="21"/>
              </w:rPr>
              <w:t>TTATTAGCTCCTGAGTGTTTC</w:t>
            </w:r>
            <w:r w:rsidRPr="00C734B9">
              <w:rPr>
                <w:sz w:val="21"/>
                <w:szCs w:val="21"/>
              </w:rPr>
              <w:t>TTTTTG</w:t>
            </w:r>
          </w:p>
        </w:tc>
        <w:tc>
          <w:tcPr>
            <w:tcW w:w="504" w:type="dxa"/>
          </w:tcPr>
          <w:p w14:paraId="535989AA" w14:textId="77777777" w:rsidR="00836CBC" w:rsidRPr="00C734B9" w:rsidRDefault="00836CBC" w:rsidP="00814EA1">
            <w:pPr>
              <w:jc w:val="both"/>
              <w:rPr>
                <w:sz w:val="21"/>
                <w:szCs w:val="21"/>
              </w:rPr>
            </w:pPr>
            <w:r w:rsidRPr="00C734B9">
              <w:rPr>
                <w:sz w:val="21"/>
                <w:szCs w:val="21"/>
              </w:rPr>
              <w:t>58</w:t>
            </w:r>
          </w:p>
        </w:tc>
      </w:tr>
      <w:tr w:rsidR="00836CBC" w:rsidRPr="00C734B9" w14:paraId="5F8C3410" w14:textId="77777777" w:rsidTr="00814EA1">
        <w:trPr>
          <w:trHeight w:val="157"/>
          <w:jc w:val="center"/>
        </w:trPr>
        <w:tc>
          <w:tcPr>
            <w:tcW w:w="1417" w:type="dxa"/>
            <w:vMerge/>
            <w:vAlign w:val="center"/>
          </w:tcPr>
          <w:p w14:paraId="6974C708" w14:textId="77777777" w:rsidR="00836CBC" w:rsidRPr="00C734B9" w:rsidRDefault="00836CBC" w:rsidP="00814EA1">
            <w:pPr>
              <w:jc w:val="both"/>
              <w:rPr>
                <w:sz w:val="21"/>
                <w:szCs w:val="21"/>
              </w:rPr>
            </w:pPr>
          </w:p>
        </w:tc>
        <w:tc>
          <w:tcPr>
            <w:tcW w:w="1706" w:type="dxa"/>
            <w:vAlign w:val="center"/>
          </w:tcPr>
          <w:p w14:paraId="40045B58" w14:textId="77777777" w:rsidR="00836CBC" w:rsidRPr="00C734B9" w:rsidRDefault="00836CBC" w:rsidP="00814EA1">
            <w:pPr>
              <w:jc w:val="both"/>
              <w:rPr>
                <w:sz w:val="21"/>
                <w:szCs w:val="21"/>
              </w:rPr>
            </w:pPr>
            <w:r w:rsidRPr="00C734B9">
              <w:rPr>
                <w:sz w:val="21"/>
                <w:szCs w:val="21"/>
              </w:rPr>
              <w:t>shNectin2-1#-R</w:t>
            </w:r>
          </w:p>
        </w:tc>
        <w:tc>
          <w:tcPr>
            <w:tcW w:w="4693" w:type="dxa"/>
          </w:tcPr>
          <w:p w14:paraId="023105DB" w14:textId="77777777" w:rsidR="00836CBC" w:rsidRPr="00C734B9" w:rsidRDefault="00836CBC" w:rsidP="00814EA1">
            <w:pPr>
              <w:jc w:val="both"/>
              <w:rPr>
                <w:sz w:val="21"/>
                <w:szCs w:val="21"/>
              </w:rPr>
            </w:pPr>
            <w:r w:rsidRPr="00C734B9">
              <w:rPr>
                <w:sz w:val="21"/>
                <w:szCs w:val="21"/>
              </w:rPr>
              <w:t>AATTCAAAAA</w:t>
            </w:r>
            <w:r w:rsidRPr="00C734B9">
              <w:rPr>
                <w:color w:val="FF0000"/>
                <w:sz w:val="21"/>
                <w:szCs w:val="21"/>
              </w:rPr>
              <w:t>GAAACACTCAGGAGCTAATAA</w:t>
            </w:r>
            <w:r w:rsidRPr="00C734B9">
              <w:rPr>
                <w:sz w:val="21"/>
                <w:szCs w:val="21"/>
              </w:rPr>
              <w:t>CTCGAG</w:t>
            </w:r>
            <w:r w:rsidRPr="00C734B9">
              <w:rPr>
                <w:color w:val="FF0000"/>
                <w:sz w:val="21"/>
                <w:szCs w:val="21"/>
              </w:rPr>
              <w:t>TTATTAGCTCCTGAGTGTTTC</w:t>
            </w:r>
          </w:p>
        </w:tc>
        <w:tc>
          <w:tcPr>
            <w:tcW w:w="504" w:type="dxa"/>
          </w:tcPr>
          <w:p w14:paraId="2DBA4F98" w14:textId="77777777" w:rsidR="00836CBC" w:rsidRPr="00C734B9" w:rsidRDefault="00836CBC" w:rsidP="00814EA1">
            <w:pPr>
              <w:jc w:val="both"/>
              <w:rPr>
                <w:sz w:val="21"/>
                <w:szCs w:val="21"/>
              </w:rPr>
            </w:pPr>
            <w:r w:rsidRPr="00C734B9">
              <w:rPr>
                <w:sz w:val="21"/>
                <w:szCs w:val="21"/>
              </w:rPr>
              <w:t>58</w:t>
            </w:r>
          </w:p>
        </w:tc>
      </w:tr>
      <w:tr w:rsidR="00836CBC" w:rsidRPr="00C734B9" w14:paraId="01837821" w14:textId="77777777" w:rsidTr="00814EA1">
        <w:trPr>
          <w:trHeight w:val="523"/>
          <w:jc w:val="center"/>
        </w:trPr>
        <w:tc>
          <w:tcPr>
            <w:tcW w:w="1417" w:type="dxa"/>
            <w:vMerge w:val="restart"/>
            <w:vAlign w:val="center"/>
          </w:tcPr>
          <w:p w14:paraId="20B64359" w14:textId="77777777" w:rsidR="00836CBC" w:rsidRPr="00C734B9" w:rsidRDefault="00836CBC" w:rsidP="00814EA1">
            <w:pPr>
              <w:jc w:val="both"/>
              <w:rPr>
                <w:sz w:val="21"/>
                <w:szCs w:val="21"/>
              </w:rPr>
            </w:pPr>
            <w:r w:rsidRPr="00C734B9">
              <w:rPr>
                <w:sz w:val="21"/>
                <w:szCs w:val="21"/>
              </w:rPr>
              <w:t>shNectin2#2</w:t>
            </w:r>
          </w:p>
        </w:tc>
        <w:tc>
          <w:tcPr>
            <w:tcW w:w="1706" w:type="dxa"/>
            <w:vAlign w:val="center"/>
          </w:tcPr>
          <w:p w14:paraId="0B4278A3" w14:textId="77777777" w:rsidR="00836CBC" w:rsidRPr="00C734B9" w:rsidRDefault="00836CBC" w:rsidP="00814EA1">
            <w:pPr>
              <w:jc w:val="both"/>
              <w:rPr>
                <w:sz w:val="21"/>
                <w:szCs w:val="21"/>
              </w:rPr>
            </w:pPr>
            <w:r w:rsidRPr="00C734B9">
              <w:rPr>
                <w:sz w:val="21"/>
                <w:szCs w:val="21"/>
              </w:rPr>
              <w:t>shNectin2-2#-F</w:t>
            </w:r>
          </w:p>
        </w:tc>
        <w:tc>
          <w:tcPr>
            <w:tcW w:w="4693" w:type="dxa"/>
          </w:tcPr>
          <w:p w14:paraId="101ACDC0" w14:textId="77777777" w:rsidR="00836CBC" w:rsidRPr="00C734B9" w:rsidRDefault="00836CBC" w:rsidP="00814EA1">
            <w:pPr>
              <w:jc w:val="both"/>
              <w:rPr>
                <w:sz w:val="21"/>
                <w:szCs w:val="21"/>
              </w:rPr>
            </w:pPr>
            <w:r w:rsidRPr="00C734B9">
              <w:rPr>
                <w:sz w:val="21"/>
                <w:szCs w:val="21"/>
              </w:rPr>
              <w:t>CCGG</w:t>
            </w:r>
            <w:r w:rsidRPr="00C734B9">
              <w:rPr>
                <w:color w:val="FF0000"/>
                <w:sz w:val="21"/>
                <w:szCs w:val="21"/>
              </w:rPr>
              <w:t>GGTAGAGGACGAGGGCAATTA</w:t>
            </w:r>
            <w:r w:rsidRPr="00C734B9">
              <w:rPr>
                <w:sz w:val="21"/>
                <w:szCs w:val="21"/>
              </w:rPr>
              <w:t>CTCGAG</w:t>
            </w:r>
            <w:r w:rsidRPr="00C734B9">
              <w:rPr>
                <w:color w:val="FF0000"/>
                <w:sz w:val="21"/>
                <w:szCs w:val="21"/>
              </w:rPr>
              <w:t>TAATTGCCCTCGTCCTCTACC</w:t>
            </w:r>
            <w:r w:rsidRPr="00C734B9">
              <w:rPr>
                <w:sz w:val="21"/>
                <w:szCs w:val="21"/>
              </w:rPr>
              <w:t>TTTTTG</w:t>
            </w:r>
          </w:p>
        </w:tc>
        <w:tc>
          <w:tcPr>
            <w:tcW w:w="504" w:type="dxa"/>
          </w:tcPr>
          <w:p w14:paraId="6F53EBA1" w14:textId="77777777" w:rsidR="00836CBC" w:rsidRPr="00C734B9" w:rsidRDefault="00836CBC" w:rsidP="00814EA1">
            <w:pPr>
              <w:jc w:val="both"/>
              <w:rPr>
                <w:sz w:val="21"/>
                <w:szCs w:val="21"/>
              </w:rPr>
            </w:pPr>
            <w:r w:rsidRPr="00C734B9">
              <w:rPr>
                <w:sz w:val="21"/>
                <w:szCs w:val="21"/>
              </w:rPr>
              <w:t>58</w:t>
            </w:r>
          </w:p>
        </w:tc>
      </w:tr>
      <w:tr w:rsidR="00836CBC" w:rsidRPr="00C734B9" w14:paraId="2D505F36" w14:textId="77777777" w:rsidTr="00814EA1">
        <w:trPr>
          <w:trHeight w:val="157"/>
          <w:jc w:val="center"/>
        </w:trPr>
        <w:tc>
          <w:tcPr>
            <w:tcW w:w="1417" w:type="dxa"/>
            <w:vMerge/>
            <w:vAlign w:val="center"/>
          </w:tcPr>
          <w:p w14:paraId="2BA42830" w14:textId="77777777" w:rsidR="00836CBC" w:rsidRPr="00C734B9" w:rsidRDefault="00836CBC" w:rsidP="00814EA1">
            <w:pPr>
              <w:jc w:val="both"/>
              <w:rPr>
                <w:sz w:val="21"/>
                <w:szCs w:val="21"/>
              </w:rPr>
            </w:pPr>
          </w:p>
        </w:tc>
        <w:tc>
          <w:tcPr>
            <w:tcW w:w="1706" w:type="dxa"/>
            <w:vAlign w:val="center"/>
          </w:tcPr>
          <w:p w14:paraId="53A674A2" w14:textId="77777777" w:rsidR="00836CBC" w:rsidRPr="00C734B9" w:rsidRDefault="00836CBC" w:rsidP="00814EA1">
            <w:pPr>
              <w:jc w:val="both"/>
              <w:rPr>
                <w:sz w:val="21"/>
                <w:szCs w:val="21"/>
              </w:rPr>
            </w:pPr>
            <w:r w:rsidRPr="00C734B9">
              <w:rPr>
                <w:sz w:val="21"/>
                <w:szCs w:val="21"/>
              </w:rPr>
              <w:t>shNectin2-2#-R</w:t>
            </w:r>
          </w:p>
        </w:tc>
        <w:tc>
          <w:tcPr>
            <w:tcW w:w="4693" w:type="dxa"/>
          </w:tcPr>
          <w:p w14:paraId="33D53CDD" w14:textId="77777777" w:rsidR="00836CBC" w:rsidRPr="00C734B9" w:rsidRDefault="00836CBC" w:rsidP="00814EA1">
            <w:pPr>
              <w:jc w:val="both"/>
              <w:rPr>
                <w:sz w:val="21"/>
                <w:szCs w:val="21"/>
              </w:rPr>
            </w:pPr>
            <w:r w:rsidRPr="00C734B9">
              <w:rPr>
                <w:sz w:val="21"/>
                <w:szCs w:val="21"/>
              </w:rPr>
              <w:t>AATTCAAAAA</w:t>
            </w:r>
            <w:r w:rsidRPr="00C734B9">
              <w:rPr>
                <w:color w:val="FF0000"/>
                <w:sz w:val="21"/>
                <w:szCs w:val="21"/>
              </w:rPr>
              <w:t>GGTAGAGGACGAGGGCAATTA</w:t>
            </w:r>
            <w:r w:rsidRPr="00C734B9">
              <w:rPr>
                <w:sz w:val="21"/>
                <w:szCs w:val="21"/>
              </w:rPr>
              <w:t>CTCGAG</w:t>
            </w:r>
            <w:r w:rsidRPr="00C734B9">
              <w:rPr>
                <w:color w:val="FF0000"/>
                <w:sz w:val="21"/>
                <w:szCs w:val="21"/>
              </w:rPr>
              <w:t>TAATTGCCCTCGTCCTCTACC</w:t>
            </w:r>
          </w:p>
        </w:tc>
        <w:tc>
          <w:tcPr>
            <w:tcW w:w="504" w:type="dxa"/>
          </w:tcPr>
          <w:p w14:paraId="168CA987" w14:textId="77777777" w:rsidR="00836CBC" w:rsidRPr="00C734B9" w:rsidRDefault="00836CBC" w:rsidP="00814EA1">
            <w:pPr>
              <w:jc w:val="both"/>
              <w:rPr>
                <w:sz w:val="21"/>
                <w:szCs w:val="21"/>
              </w:rPr>
            </w:pPr>
            <w:r w:rsidRPr="00C734B9">
              <w:rPr>
                <w:sz w:val="21"/>
                <w:szCs w:val="21"/>
              </w:rPr>
              <w:t>58</w:t>
            </w:r>
          </w:p>
        </w:tc>
      </w:tr>
      <w:tr w:rsidR="00836CBC" w:rsidRPr="00C734B9" w14:paraId="640C226D" w14:textId="77777777" w:rsidTr="00814EA1">
        <w:trPr>
          <w:trHeight w:val="523"/>
          <w:jc w:val="center"/>
        </w:trPr>
        <w:tc>
          <w:tcPr>
            <w:tcW w:w="1417" w:type="dxa"/>
            <w:vMerge w:val="restart"/>
            <w:vAlign w:val="center"/>
          </w:tcPr>
          <w:p w14:paraId="7F6152CF" w14:textId="77777777" w:rsidR="00836CBC" w:rsidRPr="00C734B9" w:rsidRDefault="00836CBC" w:rsidP="00814EA1">
            <w:pPr>
              <w:jc w:val="both"/>
              <w:rPr>
                <w:sz w:val="21"/>
                <w:szCs w:val="21"/>
              </w:rPr>
            </w:pPr>
            <w:r w:rsidRPr="00C734B9">
              <w:rPr>
                <w:sz w:val="21"/>
                <w:szCs w:val="21"/>
              </w:rPr>
              <w:t>shNectin2#3</w:t>
            </w:r>
          </w:p>
        </w:tc>
        <w:tc>
          <w:tcPr>
            <w:tcW w:w="1706" w:type="dxa"/>
            <w:vAlign w:val="center"/>
          </w:tcPr>
          <w:p w14:paraId="53B2D83E" w14:textId="77777777" w:rsidR="00836CBC" w:rsidRPr="00C734B9" w:rsidRDefault="00836CBC" w:rsidP="00814EA1">
            <w:pPr>
              <w:jc w:val="both"/>
              <w:rPr>
                <w:sz w:val="21"/>
                <w:szCs w:val="21"/>
              </w:rPr>
            </w:pPr>
            <w:r w:rsidRPr="00C734B9">
              <w:rPr>
                <w:sz w:val="21"/>
                <w:szCs w:val="21"/>
              </w:rPr>
              <w:t>shNectin2-3#-F</w:t>
            </w:r>
          </w:p>
        </w:tc>
        <w:tc>
          <w:tcPr>
            <w:tcW w:w="4693" w:type="dxa"/>
          </w:tcPr>
          <w:p w14:paraId="0F1EA4E8" w14:textId="77777777" w:rsidR="00836CBC" w:rsidRPr="00C734B9" w:rsidRDefault="00836CBC" w:rsidP="00814EA1">
            <w:pPr>
              <w:jc w:val="both"/>
              <w:rPr>
                <w:sz w:val="21"/>
                <w:szCs w:val="21"/>
              </w:rPr>
            </w:pPr>
            <w:r w:rsidRPr="00C734B9">
              <w:rPr>
                <w:sz w:val="21"/>
                <w:szCs w:val="21"/>
              </w:rPr>
              <w:t>CCGG</w:t>
            </w:r>
            <w:r w:rsidRPr="00C734B9">
              <w:rPr>
                <w:color w:val="FF0000"/>
                <w:sz w:val="21"/>
                <w:szCs w:val="21"/>
              </w:rPr>
              <w:t>GAAGCCCAGGAGGTCACAATT</w:t>
            </w:r>
            <w:r w:rsidRPr="00C734B9">
              <w:rPr>
                <w:sz w:val="21"/>
                <w:szCs w:val="21"/>
              </w:rPr>
              <w:t>CTCGAG</w:t>
            </w:r>
            <w:r w:rsidRPr="00C734B9">
              <w:rPr>
                <w:color w:val="FF0000"/>
                <w:sz w:val="21"/>
                <w:szCs w:val="21"/>
              </w:rPr>
              <w:t>AATTGTGACCTCCTGGGCTTC</w:t>
            </w:r>
            <w:r w:rsidRPr="00C734B9">
              <w:rPr>
                <w:sz w:val="21"/>
                <w:szCs w:val="21"/>
              </w:rPr>
              <w:t>TTTTTG</w:t>
            </w:r>
          </w:p>
        </w:tc>
        <w:tc>
          <w:tcPr>
            <w:tcW w:w="504" w:type="dxa"/>
          </w:tcPr>
          <w:p w14:paraId="25A91EB7" w14:textId="77777777" w:rsidR="00836CBC" w:rsidRPr="00C734B9" w:rsidRDefault="00836CBC" w:rsidP="00814EA1">
            <w:pPr>
              <w:jc w:val="both"/>
              <w:rPr>
                <w:sz w:val="21"/>
                <w:szCs w:val="21"/>
              </w:rPr>
            </w:pPr>
            <w:r w:rsidRPr="00C734B9">
              <w:rPr>
                <w:sz w:val="21"/>
                <w:szCs w:val="21"/>
              </w:rPr>
              <w:t>58</w:t>
            </w:r>
          </w:p>
        </w:tc>
      </w:tr>
      <w:tr w:rsidR="00836CBC" w:rsidRPr="00C734B9" w14:paraId="0A2EB559" w14:textId="77777777" w:rsidTr="00814EA1">
        <w:trPr>
          <w:trHeight w:val="157"/>
          <w:jc w:val="center"/>
        </w:trPr>
        <w:tc>
          <w:tcPr>
            <w:tcW w:w="1417" w:type="dxa"/>
            <w:vMerge/>
          </w:tcPr>
          <w:p w14:paraId="4091A888" w14:textId="77777777" w:rsidR="00836CBC" w:rsidRPr="00C734B9" w:rsidRDefault="00836CBC" w:rsidP="00814EA1">
            <w:pPr>
              <w:jc w:val="both"/>
              <w:rPr>
                <w:sz w:val="21"/>
                <w:szCs w:val="21"/>
              </w:rPr>
            </w:pPr>
          </w:p>
        </w:tc>
        <w:tc>
          <w:tcPr>
            <w:tcW w:w="1706" w:type="dxa"/>
            <w:vAlign w:val="center"/>
          </w:tcPr>
          <w:p w14:paraId="2EFB49B1" w14:textId="77777777" w:rsidR="00836CBC" w:rsidRPr="00C734B9" w:rsidRDefault="00836CBC" w:rsidP="00814EA1">
            <w:pPr>
              <w:jc w:val="both"/>
              <w:rPr>
                <w:sz w:val="21"/>
                <w:szCs w:val="21"/>
              </w:rPr>
            </w:pPr>
            <w:r w:rsidRPr="00C734B9">
              <w:rPr>
                <w:sz w:val="21"/>
                <w:szCs w:val="21"/>
              </w:rPr>
              <w:t>shNectin2-3#-R</w:t>
            </w:r>
          </w:p>
        </w:tc>
        <w:tc>
          <w:tcPr>
            <w:tcW w:w="4693" w:type="dxa"/>
          </w:tcPr>
          <w:p w14:paraId="7946CE6F" w14:textId="77777777" w:rsidR="00836CBC" w:rsidRPr="00C734B9" w:rsidRDefault="00836CBC" w:rsidP="00814EA1">
            <w:pPr>
              <w:jc w:val="both"/>
              <w:rPr>
                <w:sz w:val="21"/>
                <w:szCs w:val="21"/>
              </w:rPr>
            </w:pPr>
            <w:r w:rsidRPr="00C734B9">
              <w:rPr>
                <w:sz w:val="21"/>
                <w:szCs w:val="21"/>
              </w:rPr>
              <w:t>AATTCAAAAA</w:t>
            </w:r>
            <w:r w:rsidRPr="00C734B9">
              <w:rPr>
                <w:color w:val="FF0000"/>
                <w:sz w:val="21"/>
                <w:szCs w:val="21"/>
              </w:rPr>
              <w:t>GAAGCCCAGGAGGTCACAATT</w:t>
            </w:r>
            <w:r w:rsidRPr="00C734B9">
              <w:rPr>
                <w:sz w:val="21"/>
                <w:szCs w:val="21"/>
              </w:rPr>
              <w:t>CTCGAG</w:t>
            </w:r>
            <w:r w:rsidRPr="00C734B9">
              <w:rPr>
                <w:color w:val="FF0000"/>
                <w:sz w:val="21"/>
                <w:szCs w:val="21"/>
              </w:rPr>
              <w:t>AATTGTGACCTCCTGGGCTTC</w:t>
            </w:r>
          </w:p>
        </w:tc>
        <w:tc>
          <w:tcPr>
            <w:tcW w:w="504" w:type="dxa"/>
          </w:tcPr>
          <w:p w14:paraId="2C6A6EF0" w14:textId="77777777" w:rsidR="00836CBC" w:rsidRPr="00C734B9" w:rsidRDefault="00836CBC" w:rsidP="00814EA1">
            <w:pPr>
              <w:jc w:val="both"/>
              <w:rPr>
                <w:sz w:val="21"/>
                <w:szCs w:val="21"/>
              </w:rPr>
            </w:pPr>
            <w:r w:rsidRPr="00C734B9">
              <w:rPr>
                <w:sz w:val="21"/>
                <w:szCs w:val="21"/>
              </w:rPr>
              <w:t>58</w:t>
            </w:r>
          </w:p>
        </w:tc>
      </w:tr>
    </w:tbl>
    <w:p w14:paraId="3CEFC7BC" w14:textId="77777777" w:rsidR="00836CBC" w:rsidRPr="008A0A24" w:rsidRDefault="00836CBC" w:rsidP="00836CBC">
      <w:pPr>
        <w:pStyle w:val="SOMContent"/>
        <w:spacing w:before="0"/>
        <w:ind w:left="720"/>
        <w:jc w:val="both"/>
        <w:rPr>
          <w:rFonts w:eastAsiaTheme="minorEastAsia"/>
          <w:lang w:eastAsia="zh-CN"/>
        </w:rPr>
      </w:pPr>
    </w:p>
    <w:p w14:paraId="55CE5E2C" w14:textId="77777777" w:rsidR="00836CBC" w:rsidRPr="003A6415" w:rsidRDefault="00836CBC" w:rsidP="00836CBC">
      <w:pPr>
        <w:pStyle w:val="SMHeading"/>
        <w:jc w:val="both"/>
      </w:pPr>
      <w:r w:rsidRPr="003A6415">
        <w:t>Table S</w:t>
      </w:r>
      <w:bookmarkEnd w:id="9"/>
      <w:r>
        <w:rPr>
          <w:rFonts w:hint="eastAsia"/>
          <w:lang w:eastAsia="zh-CN"/>
        </w:rPr>
        <w:t>6</w:t>
      </w:r>
      <w:r w:rsidRPr="003A6415">
        <w:t>. Lentiviral Sequences for GBP2 Knockdown &amp; GBP2 Overexpression</w:t>
      </w:r>
    </w:p>
    <w:tbl>
      <w:tblPr>
        <w:tblStyle w:val="aff3"/>
        <w:tblW w:w="0" w:type="auto"/>
        <w:jc w:val="center"/>
        <w:tblLook w:val="04A0" w:firstRow="1" w:lastRow="0" w:firstColumn="1" w:lastColumn="0" w:noHBand="0" w:noVBand="1"/>
      </w:tblPr>
      <w:tblGrid>
        <w:gridCol w:w="3211"/>
        <w:gridCol w:w="5085"/>
      </w:tblGrid>
      <w:tr w:rsidR="00836CBC" w:rsidRPr="003A6415" w14:paraId="744FAC90" w14:textId="77777777" w:rsidTr="00814EA1">
        <w:trPr>
          <w:jc w:val="center"/>
        </w:trPr>
        <w:tc>
          <w:tcPr>
            <w:tcW w:w="3544" w:type="dxa"/>
          </w:tcPr>
          <w:p w14:paraId="68FFA6E2" w14:textId="77777777" w:rsidR="00836CBC" w:rsidRPr="003A6415" w:rsidRDefault="00836CBC" w:rsidP="00814EA1">
            <w:pPr>
              <w:jc w:val="both"/>
              <w:rPr>
                <w:rStyle w:val="30"/>
                <w:sz w:val="21"/>
                <w:szCs w:val="21"/>
              </w:rPr>
            </w:pPr>
            <w:r w:rsidRPr="003A6415">
              <w:rPr>
                <w:rStyle w:val="30"/>
                <w:rFonts w:eastAsia="微软雅黑"/>
                <w:sz w:val="21"/>
                <w:szCs w:val="21"/>
              </w:rPr>
              <w:t>Gene name</w:t>
            </w:r>
            <w:r w:rsidRPr="003A6415">
              <w:rPr>
                <w:rStyle w:val="30"/>
                <w:rFonts w:eastAsia="微软雅黑"/>
                <w:sz w:val="21"/>
                <w:szCs w:val="21"/>
              </w:rPr>
              <w:t>：</w:t>
            </w:r>
            <w:r w:rsidRPr="003A6415">
              <w:rPr>
                <w:rStyle w:val="30"/>
                <w:sz w:val="21"/>
                <w:szCs w:val="21"/>
              </w:rPr>
              <w:t>Gbp2</w:t>
            </w:r>
          </w:p>
        </w:tc>
        <w:tc>
          <w:tcPr>
            <w:tcW w:w="5387" w:type="dxa"/>
            <w:vAlign w:val="center"/>
          </w:tcPr>
          <w:p w14:paraId="32B21155" w14:textId="77777777" w:rsidR="00836CBC" w:rsidRPr="003A6415" w:rsidRDefault="00836CBC" w:rsidP="00814EA1">
            <w:pPr>
              <w:jc w:val="both"/>
              <w:rPr>
                <w:rFonts w:eastAsia="微软雅黑"/>
                <w:b/>
                <w:color w:val="000000"/>
                <w:sz w:val="21"/>
                <w:szCs w:val="21"/>
              </w:rPr>
            </w:pPr>
            <w:r w:rsidRPr="003A6415">
              <w:rPr>
                <w:rFonts w:eastAsia="微软雅黑"/>
                <w:b/>
                <w:color w:val="000000"/>
                <w:sz w:val="21"/>
                <w:szCs w:val="21"/>
              </w:rPr>
              <w:t>shGBP2-Target Seq</w:t>
            </w:r>
          </w:p>
        </w:tc>
      </w:tr>
      <w:tr w:rsidR="00836CBC" w:rsidRPr="003A6415" w14:paraId="0F3E4035" w14:textId="77777777" w:rsidTr="00814EA1">
        <w:trPr>
          <w:jc w:val="center"/>
        </w:trPr>
        <w:tc>
          <w:tcPr>
            <w:tcW w:w="8931" w:type="dxa"/>
            <w:gridSpan w:val="2"/>
          </w:tcPr>
          <w:p w14:paraId="2F9C037B" w14:textId="77777777" w:rsidR="00836CBC" w:rsidRPr="003A6415" w:rsidRDefault="00836CBC" w:rsidP="00814EA1">
            <w:pPr>
              <w:jc w:val="both"/>
              <w:rPr>
                <w:rFonts w:eastAsia="微软雅黑"/>
                <w:b/>
                <w:color w:val="000000"/>
                <w:sz w:val="21"/>
                <w:szCs w:val="21"/>
              </w:rPr>
            </w:pPr>
            <w:r w:rsidRPr="003A6415">
              <w:rPr>
                <w:rStyle w:val="30"/>
                <w:rFonts w:eastAsia="微软雅黑"/>
                <w:sz w:val="21"/>
                <w:szCs w:val="21"/>
              </w:rPr>
              <w:t>Carrier name</w:t>
            </w:r>
            <w:r w:rsidRPr="003A6415">
              <w:rPr>
                <w:rStyle w:val="30"/>
                <w:rFonts w:eastAsia="微软雅黑"/>
                <w:sz w:val="21"/>
                <w:szCs w:val="21"/>
              </w:rPr>
              <w:t>：</w:t>
            </w:r>
            <w:r w:rsidRPr="003A6415">
              <w:rPr>
                <w:rStyle w:val="30"/>
                <w:rFonts w:eastAsia="微软雅黑"/>
                <w:sz w:val="21"/>
                <w:szCs w:val="21"/>
              </w:rPr>
              <w:t>GV493</w:t>
            </w:r>
          </w:p>
        </w:tc>
      </w:tr>
      <w:tr w:rsidR="00836CBC" w:rsidRPr="003A6415" w14:paraId="2E5494CA" w14:textId="77777777" w:rsidTr="00814EA1">
        <w:trPr>
          <w:jc w:val="center"/>
        </w:trPr>
        <w:tc>
          <w:tcPr>
            <w:tcW w:w="8931" w:type="dxa"/>
            <w:gridSpan w:val="2"/>
          </w:tcPr>
          <w:p w14:paraId="6231DF68" w14:textId="77777777" w:rsidR="00836CBC" w:rsidRPr="003A6415" w:rsidRDefault="00836CBC" w:rsidP="00814EA1">
            <w:pPr>
              <w:jc w:val="both"/>
              <w:rPr>
                <w:rFonts w:eastAsia="微软雅黑"/>
                <w:bCs/>
                <w:sz w:val="21"/>
                <w:szCs w:val="21"/>
                <w:lang w:val="x-none"/>
              </w:rPr>
            </w:pPr>
            <w:r w:rsidRPr="003A6415">
              <w:rPr>
                <w:rStyle w:val="30"/>
                <w:rFonts w:eastAsia="微软雅黑"/>
                <w:sz w:val="21"/>
                <w:szCs w:val="21"/>
              </w:rPr>
              <w:t>component sequences</w:t>
            </w:r>
            <w:r w:rsidRPr="003A6415">
              <w:rPr>
                <w:rStyle w:val="30"/>
                <w:rFonts w:eastAsia="微软雅黑"/>
                <w:sz w:val="21"/>
                <w:szCs w:val="21"/>
              </w:rPr>
              <w:t>：</w:t>
            </w:r>
            <w:r w:rsidRPr="003A6415">
              <w:rPr>
                <w:rStyle w:val="30"/>
                <w:rFonts w:eastAsia="微软雅黑"/>
                <w:sz w:val="21"/>
                <w:szCs w:val="21"/>
              </w:rPr>
              <w:t>hU6-MCS-CBh-gcGFP-IRES-puromycin</w:t>
            </w:r>
          </w:p>
        </w:tc>
      </w:tr>
      <w:tr w:rsidR="00836CBC" w:rsidRPr="00C734B9" w14:paraId="045B8D3F" w14:textId="77777777" w:rsidTr="00814EA1">
        <w:trPr>
          <w:jc w:val="center"/>
        </w:trPr>
        <w:tc>
          <w:tcPr>
            <w:tcW w:w="3544" w:type="dxa"/>
            <w:vAlign w:val="center"/>
          </w:tcPr>
          <w:p w14:paraId="7DDCD475" w14:textId="77777777" w:rsidR="00836CBC" w:rsidRPr="00C734B9" w:rsidRDefault="00836CBC" w:rsidP="00814EA1">
            <w:pPr>
              <w:jc w:val="both"/>
              <w:rPr>
                <w:rFonts w:eastAsia="微软雅黑"/>
                <w:b/>
                <w:color w:val="000000"/>
                <w:sz w:val="21"/>
                <w:szCs w:val="21"/>
              </w:rPr>
            </w:pPr>
            <w:r w:rsidRPr="00C734B9">
              <w:rPr>
                <w:rFonts w:eastAsia="微软雅黑"/>
                <w:b/>
                <w:color w:val="000000"/>
                <w:sz w:val="21"/>
                <w:szCs w:val="21"/>
              </w:rPr>
              <w:t>NC-</w:t>
            </w:r>
            <w:r w:rsidRPr="00C734B9">
              <w:rPr>
                <w:rFonts w:eastAsia="微软雅黑"/>
                <w:color w:val="000000"/>
                <w:sz w:val="21"/>
                <w:szCs w:val="21"/>
              </w:rPr>
              <w:t>CON313</w:t>
            </w:r>
          </w:p>
        </w:tc>
        <w:tc>
          <w:tcPr>
            <w:tcW w:w="5387" w:type="dxa"/>
            <w:vAlign w:val="center"/>
          </w:tcPr>
          <w:p w14:paraId="1BCF8CDC" w14:textId="77777777" w:rsidR="00836CBC" w:rsidRPr="00C734B9" w:rsidRDefault="00836CBC" w:rsidP="00814EA1">
            <w:pPr>
              <w:jc w:val="both"/>
              <w:rPr>
                <w:rFonts w:eastAsia="微软雅黑"/>
                <w:b/>
                <w:color w:val="000000"/>
                <w:sz w:val="21"/>
                <w:szCs w:val="21"/>
              </w:rPr>
            </w:pPr>
            <w:r w:rsidRPr="00C734B9">
              <w:rPr>
                <w:rFonts w:eastAsia="微软雅黑"/>
                <w:b/>
                <w:color w:val="000000"/>
                <w:sz w:val="21"/>
                <w:szCs w:val="21"/>
              </w:rPr>
              <w:t>TTCTCCGAACGTGTCACGT</w:t>
            </w:r>
          </w:p>
        </w:tc>
      </w:tr>
      <w:tr w:rsidR="00836CBC" w:rsidRPr="00C734B9" w14:paraId="50110068" w14:textId="77777777" w:rsidTr="00814EA1">
        <w:trPr>
          <w:jc w:val="center"/>
        </w:trPr>
        <w:tc>
          <w:tcPr>
            <w:tcW w:w="3544" w:type="dxa"/>
            <w:vAlign w:val="center"/>
          </w:tcPr>
          <w:p w14:paraId="47465BA4" w14:textId="77777777" w:rsidR="00836CBC" w:rsidRPr="00C734B9" w:rsidRDefault="00836CBC" w:rsidP="00814EA1">
            <w:pPr>
              <w:jc w:val="both"/>
              <w:rPr>
                <w:sz w:val="21"/>
                <w:szCs w:val="21"/>
              </w:rPr>
            </w:pPr>
            <w:r w:rsidRPr="00C734B9">
              <w:rPr>
                <w:rFonts w:eastAsia="微软雅黑"/>
                <w:sz w:val="21"/>
                <w:szCs w:val="21"/>
              </w:rPr>
              <w:t>#1-PSC113922</w:t>
            </w:r>
          </w:p>
        </w:tc>
        <w:tc>
          <w:tcPr>
            <w:tcW w:w="5387" w:type="dxa"/>
            <w:vAlign w:val="center"/>
          </w:tcPr>
          <w:p w14:paraId="71366D6E" w14:textId="77777777" w:rsidR="00836CBC" w:rsidRPr="00C734B9" w:rsidRDefault="00836CBC" w:rsidP="00814EA1">
            <w:pPr>
              <w:jc w:val="both"/>
              <w:rPr>
                <w:sz w:val="21"/>
                <w:szCs w:val="21"/>
              </w:rPr>
            </w:pPr>
            <w:r w:rsidRPr="00C734B9">
              <w:rPr>
                <w:rFonts w:eastAsia="微软雅黑"/>
                <w:sz w:val="21"/>
                <w:szCs w:val="21"/>
              </w:rPr>
              <w:t>GACGAACAGAAACAGTTATTA</w:t>
            </w:r>
          </w:p>
        </w:tc>
      </w:tr>
      <w:tr w:rsidR="00836CBC" w:rsidRPr="00C734B9" w14:paraId="73A38108" w14:textId="77777777" w:rsidTr="00814EA1">
        <w:trPr>
          <w:jc w:val="center"/>
        </w:trPr>
        <w:tc>
          <w:tcPr>
            <w:tcW w:w="3544" w:type="dxa"/>
            <w:vAlign w:val="center"/>
          </w:tcPr>
          <w:p w14:paraId="374981E7" w14:textId="77777777" w:rsidR="00836CBC" w:rsidRPr="00C734B9" w:rsidRDefault="00836CBC" w:rsidP="00814EA1">
            <w:pPr>
              <w:jc w:val="both"/>
              <w:rPr>
                <w:sz w:val="21"/>
                <w:szCs w:val="21"/>
              </w:rPr>
            </w:pPr>
            <w:r w:rsidRPr="00C734B9">
              <w:rPr>
                <w:rFonts w:eastAsia="微软雅黑"/>
                <w:sz w:val="21"/>
                <w:szCs w:val="21"/>
              </w:rPr>
              <w:t>#2-PSC113923</w:t>
            </w:r>
          </w:p>
        </w:tc>
        <w:tc>
          <w:tcPr>
            <w:tcW w:w="5387" w:type="dxa"/>
            <w:vAlign w:val="center"/>
          </w:tcPr>
          <w:p w14:paraId="1A0958E1" w14:textId="77777777" w:rsidR="00836CBC" w:rsidRPr="00C734B9" w:rsidRDefault="00836CBC" w:rsidP="00814EA1">
            <w:pPr>
              <w:jc w:val="both"/>
              <w:rPr>
                <w:sz w:val="21"/>
                <w:szCs w:val="21"/>
              </w:rPr>
            </w:pPr>
            <w:r w:rsidRPr="00C734B9">
              <w:rPr>
                <w:rFonts w:eastAsia="微软雅黑"/>
                <w:sz w:val="21"/>
                <w:szCs w:val="21"/>
              </w:rPr>
              <w:t>GATGTTGTTGAAACACTTCTA</w:t>
            </w:r>
          </w:p>
        </w:tc>
      </w:tr>
      <w:tr w:rsidR="00836CBC" w:rsidRPr="00C734B9" w14:paraId="38DAD460" w14:textId="77777777" w:rsidTr="00814EA1">
        <w:trPr>
          <w:jc w:val="center"/>
        </w:trPr>
        <w:tc>
          <w:tcPr>
            <w:tcW w:w="3544" w:type="dxa"/>
            <w:vAlign w:val="center"/>
          </w:tcPr>
          <w:p w14:paraId="629A132E" w14:textId="77777777" w:rsidR="00836CBC" w:rsidRPr="00C734B9" w:rsidRDefault="00836CBC" w:rsidP="00814EA1">
            <w:pPr>
              <w:jc w:val="both"/>
              <w:rPr>
                <w:sz w:val="21"/>
                <w:szCs w:val="21"/>
              </w:rPr>
            </w:pPr>
            <w:r w:rsidRPr="00C734B9">
              <w:rPr>
                <w:rFonts w:eastAsia="微软雅黑"/>
                <w:sz w:val="21"/>
                <w:szCs w:val="21"/>
              </w:rPr>
              <w:t>#3-PSC113924</w:t>
            </w:r>
          </w:p>
        </w:tc>
        <w:tc>
          <w:tcPr>
            <w:tcW w:w="5387" w:type="dxa"/>
            <w:vAlign w:val="center"/>
          </w:tcPr>
          <w:p w14:paraId="4BDEAE8A" w14:textId="77777777" w:rsidR="00836CBC" w:rsidRPr="00C734B9" w:rsidRDefault="00836CBC" w:rsidP="00814EA1">
            <w:pPr>
              <w:jc w:val="both"/>
              <w:rPr>
                <w:sz w:val="21"/>
                <w:szCs w:val="21"/>
              </w:rPr>
            </w:pPr>
            <w:r w:rsidRPr="00C734B9">
              <w:rPr>
                <w:rFonts w:eastAsia="微软雅黑"/>
                <w:sz w:val="21"/>
                <w:szCs w:val="21"/>
              </w:rPr>
              <w:t>GCGACTGTGCATCAGGAAATT</w:t>
            </w:r>
          </w:p>
        </w:tc>
      </w:tr>
    </w:tbl>
    <w:p w14:paraId="3E124476" w14:textId="77777777" w:rsidR="00836CBC" w:rsidRPr="00403F57" w:rsidRDefault="00836CBC" w:rsidP="00836CBC">
      <w:pPr>
        <w:pStyle w:val="aff6"/>
        <w:pBdr>
          <w:top w:val="single" w:sz="4" w:space="1" w:color="auto"/>
          <w:left w:val="single" w:sz="4" w:space="0" w:color="auto"/>
          <w:bottom w:val="single" w:sz="4" w:space="1" w:color="auto"/>
          <w:right w:val="single" w:sz="4" w:space="1" w:color="auto"/>
          <w:between w:val="single" w:sz="4" w:space="1" w:color="auto"/>
          <w:bar w:val="single" w:sz="4" w:color="auto"/>
        </w:pBdr>
        <w:jc w:val="both"/>
        <w:rPr>
          <w:rStyle w:val="30"/>
          <w:rFonts w:ascii="Times New Roman" w:eastAsia="微软雅黑" w:hAnsi="Times New Roman" w:cs="Times New Roman"/>
          <w:b/>
          <w:sz w:val="21"/>
          <w:szCs w:val="21"/>
          <w:lang w:eastAsia="zh-CN"/>
        </w:rPr>
      </w:pPr>
      <w:r w:rsidRPr="00403F57">
        <w:rPr>
          <w:rStyle w:val="30"/>
          <w:rFonts w:ascii="Times New Roman" w:eastAsia="微软雅黑" w:hAnsi="Times New Roman" w:cs="Times New Roman"/>
          <w:sz w:val="21"/>
          <w:szCs w:val="21"/>
          <w:lang w:eastAsia="zh-CN"/>
        </w:rPr>
        <w:t>Gene name</w:t>
      </w:r>
      <w:r w:rsidRPr="00403F57">
        <w:rPr>
          <w:rStyle w:val="30"/>
          <w:rFonts w:ascii="Times New Roman" w:eastAsia="微软雅黑" w:hAnsi="Times New Roman" w:cs="Times New Roman"/>
          <w:sz w:val="21"/>
          <w:szCs w:val="21"/>
          <w:lang w:eastAsia="zh-CN"/>
        </w:rPr>
        <w:t>：</w:t>
      </w:r>
      <w:r w:rsidRPr="00403F57">
        <w:rPr>
          <w:rStyle w:val="30"/>
          <w:rFonts w:ascii="Times New Roman" w:eastAsia="微软雅黑" w:hAnsi="Times New Roman" w:cs="Times New Roman"/>
          <w:sz w:val="21"/>
          <w:szCs w:val="21"/>
          <w:lang w:eastAsia="zh-CN"/>
        </w:rPr>
        <w:t xml:space="preserve">Gbp2 (NM_010260.1) (Mouse) </w:t>
      </w:r>
    </w:p>
    <w:p w14:paraId="5DD937AF" w14:textId="77777777" w:rsidR="00836CBC" w:rsidRPr="00403F57" w:rsidRDefault="00836CBC" w:rsidP="00836CBC">
      <w:pPr>
        <w:pStyle w:val="aff6"/>
        <w:pBdr>
          <w:top w:val="single" w:sz="4" w:space="1" w:color="auto"/>
          <w:left w:val="single" w:sz="4" w:space="0" w:color="auto"/>
          <w:bottom w:val="single" w:sz="4" w:space="1" w:color="auto"/>
          <w:right w:val="single" w:sz="4" w:space="1" w:color="auto"/>
          <w:between w:val="single" w:sz="4" w:space="1" w:color="auto"/>
          <w:bar w:val="single" w:sz="4" w:color="auto"/>
        </w:pBdr>
        <w:jc w:val="both"/>
        <w:rPr>
          <w:rStyle w:val="30"/>
          <w:rFonts w:ascii="Times New Roman" w:eastAsia="微软雅黑" w:hAnsi="Times New Roman" w:cs="Times New Roman"/>
          <w:b/>
          <w:sz w:val="21"/>
          <w:szCs w:val="21"/>
          <w:lang w:eastAsia="zh-CN"/>
        </w:rPr>
      </w:pPr>
      <w:r w:rsidRPr="00403F57">
        <w:rPr>
          <w:rStyle w:val="30"/>
          <w:rFonts w:ascii="Times New Roman" w:eastAsia="微软雅黑" w:hAnsi="Times New Roman" w:cs="Times New Roman"/>
          <w:sz w:val="21"/>
          <w:szCs w:val="21"/>
          <w:lang w:eastAsia="zh-CN"/>
        </w:rPr>
        <w:t>Carrier name</w:t>
      </w:r>
      <w:r w:rsidRPr="00403F57">
        <w:rPr>
          <w:rStyle w:val="30"/>
          <w:rFonts w:ascii="Times New Roman" w:eastAsia="微软雅黑" w:hAnsi="Times New Roman" w:cs="Times New Roman"/>
          <w:sz w:val="21"/>
          <w:szCs w:val="21"/>
          <w:lang w:eastAsia="zh-CN"/>
        </w:rPr>
        <w:t>：</w:t>
      </w:r>
      <w:r w:rsidRPr="00403F57">
        <w:rPr>
          <w:rStyle w:val="30"/>
          <w:rFonts w:ascii="Times New Roman" w:eastAsia="微软雅黑" w:hAnsi="Times New Roman" w:cs="Times New Roman"/>
          <w:sz w:val="21"/>
          <w:szCs w:val="21"/>
          <w:lang w:eastAsia="zh-CN"/>
        </w:rPr>
        <w:t>GV492</w:t>
      </w:r>
    </w:p>
    <w:p w14:paraId="713A2617" w14:textId="77777777" w:rsidR="00836CBC" w:rsidRPr="00403F57" w:rsidRDefault="00836CBC" w:rsidP="00836CBC">
      <w:pPr>
        <w:pStyle w:val="aff6"/>
        <w:pBdr>
          <w:top w:val="single" w:sz="4" w:space="1" w:color="auto"/>
          <w:left w:val="single" w:sz="4" w:space="0" w:color="auto"/>
          <w:bottom w:val="single" w:sz="4" w:space="1" w:color="auto"/>
          <w:right w:val="single" w:sz="4" w:space="1" w:color="auto"/>
          <w:between w:val="single" w:sz="4" w:space="1" w:color="auto"/>
          <w:bar w:val="single" w:sz="4" w:color="auto"/>
        </w:pBdr>
        <w:jc w:val="both"/>
        <w:rPr>
          <w:rFonts w:ascii="Times New Roman" w:eastAsia="微软雅黑" w:hAnsi="Times New Roman" w:cs="Times New Roman"/>
          <w:noProof/>
          <w:sz w:val="21"/>
          <w:szCs w:val="21"/>
        </w:rPr>
      </w:pPr>
      <w:r w:rsidRPr="00403F57">
        <w:rPr>
          <w:rStyle w:val="30"/>
          <w:rFonts w:ascii="Times New Roman" w:eastAsia="微软雅黑" w:hAnsi="Times New Roman" w:cs="Times New Roman"/>
          <w:sz w:val="21"/>
          <w:szCs w:val="21"/>
        </w:rPr>
        <w:t>comp</w:t>
      </w:r>
      <w:r w:rsidRPr="00403F57">
        <w:rPr>
          <w:rStyle w:val="30"/>
          <w:rFonts w:ascii="Times New Roman" w:eastAsia="微软雅黑" w:hAnsi="Times New Roman" w:cs="Times New Roman"/>
          <w:color w:val="000000" w:themeColor="text1"/>
          <w:sz w:val="21"/>
          <w:szCs w:val="21"/>
        </w:rPr>
        <w:t>onent sequences</w:t>
      </w:r>
      <w:r w:rsidRPr="00403F57">
        <w:rPr>
          <w:rStyle w:val="30"/>
          <w:rFonts w:ascii="Times New Roman" w:eastAsia="微软雅黑" w:hAnsi="Times New Roman" w:cs="Times New Roman"/>
          <w:color w:val="000000" w:themeColor="text1"/>
          <w:sz w:val="21"/>
          <w:szCs w:val="21"/>
        </w:rPr>
        <w:t>：</w:t>
      </w:r>
      <w:r w:rsidRPr="00403F57">
        <w:rPr>
          <w:rFonts w:ascii="Times New Roman" w:eastAsia="微软雅黑" w:hAnsi="Times New Roman" w:cs="Times New Roman"/>
          <w:noProof/>
          <w:color w:val="000000" w:themeColor="text1"/>
          <w:sz w:val="21"/>
          <w:szCs w:val="21"/>
        </w:rPr>
        <w:t>Ubi-MCS-3FLAG-CBh-gcGFP-IRES-puromycin</w:t>
      </w:r>
    </w:p>
    <w:p w14:paraId="5ED42150" w14:textId="77777777" w:rsidR="00836CBC" w:rsidRPr="00C734B9" w:rsidRDefault="00836CBC" w:rsidP="00836CBC">
      <w:pPr>
        <w:pBdr>
          <w:top w:val="single" w:sz="4" w:space="1" w:color="auto"/>
          <w:left w:val="single" w:sz="4" w:space="0" w:color="auto"/>
          <w:bottom w:val="single" w:sz="4" w:space="1" w:color="auto"/>
          <w:right w:val="single" w:sz="4" w:space="1" w:color="auto"/>
          <w:between w:val="single" w:sz="4" w:space="1" w:color="auto"/>
          <w:bar w:val="single" w:sz="4" w:color="auto"/>
        </w:pBdr>
        <w:jc w:val="both"/>
        <w:rPr>
          <w:sz w:val="21"/>
          <w:szCs w:val="21"/>
        </w:rPr>
      </w:pPr>
      <w:r w:rsidRPr="00C734B9">
        <w:rPr>
          <w:sz w:val="21"/>
          <w:szCs w:val="21"/>
        </w:rPr>
        <w:t>AATTCTGGCCGTTTTTGGCTTTTTTGTTAGACGAAGCTTGGGCTGCAGGTCGACTCTAGA</w:t>
      </w:r>
      <w:r w:rsidRPr="00C734B9">
        <w:rPr>
          <w:sz w:val="21"/>
          <w:szCs w:val="21"/>
          <w:u w:val="single"/>
        </w:rPr>
        <w:t>GGATCC</w:t>
      </w:r>
      <w:r w:rsidRPr="00C734B9">
        <w:rPr>
          <w:sz w:val="21"/>
          <w:szCs w:val="21"/>
        </w:rPr>
        <w:t>CGCCACC</w:t>
      </w:r>
      <w:r w:rsidRPr="00C734B9">
        <w:rPr>
          <w:color w:val="FF0000"/>
          <w:sz w:val="21"/>
          <w:szCs w:val="21"/>
        </w:rPr>
        <w:t>ATGGCCTCAGAGATCCACATGTCGGAACCCATGTGCCTCATTGAGAACACTGAGGCTCAACTAGTGATCAACCAGGAGGCTCTGAGGATCCTGTCTGCCATTACACAGCCTGTGGTGGTGGTGGCAATCGTGGGCCTCTACCGCACAGGCAAATCCT</w:t>
      </w:r>
      <w:r w:rsidRPr="00C734B9">
        <w:rPr>
          <w:color w:val="FF0000"/>
          <w:sz w:val="21"/>
          <w:szCs w:val="21"/>
        </w:rPr>
        <w:lastRenderedPageBreak/>
        <w:t>ACCTGATGAACAAGCTAGCTGGGAAGAGGACAGGCTTTTCCCTGGGCTCCACTGTGCAGTCTCACACCAAGGGCATCTGGATGTGGTGTGTGCCTCACCCCAAGAAGGCAGGGCAAACCCTGGTTCTGCTTGACACTGAGGGCCTTGAAGATGTTGAGAAGGGTGACAACCAGAATGACTGCTGGATCTTTGCTTTGGCAGTCCTCCTCAGCAGCACCTTCATCTACAACAGCATAGGAACCATCAACCAGCAGGCCATGGACCAGCTGCACTATGTGACGGAGCTAACTGATCTTATCAAGTCAAAGTCATCACCTGACCAGAGTGGGGTAGACGATTCCGCTAACTTTGTGGGCTTCTTTCCAACCTTTGTGTGGACTCTGAGAGATTTCTCCCTCGAGCTGGAGGTTAACGGAAAACCCGTCACTTCTGATGAGTACCTGGAACATTCCCTGACCCTGAAAAAAGGAGCTGATAAGAAAACTAAAAGCTTTAATGAGCCGCGACTGTGCATCAGGAAATTCTTTCCAAAGAGGAAGTGCTTCATCTTTGACAGGCCTGCTCAGAGGAAGCAACTTAGCAAACTGGAGACTCTGCGGGAGGAGGAGCTGTGTGGTGAATTTGTAGAACAAGTTGCAGAATTCACCTCATACATCTTGAGCTACTCTTCTGTCAAGACTCTGTGTGGTGGCATCATAGTCAATGGGCCACGTCTAAAGAGCCTGGTGCAGACCTATGTTGGTGCCATCAGCAATGGGTCTCTCCCCTGCATGGAGAGTGCTGTGCTGACTTTGGCCCAGATAGAGAACTCAGCAGCAGTGCAAAAGGCCATCACCCACTATGAAGAACAGATGAATCAGAAGATTCAGATGCCCACAGAAACCCTCCAGGAGCTCCTGGATCTGCACAGGCCAATTGAGAGTGAGGCCATTGAGGTCTTCCTGAAGAATTCTTTCAAGGATGTAGACCAAAAGTTCCAGACAGAATTAGGGAACCTGCTGGTAGCCAAGCGAGATGCCTTTATCAAGAAGAACATGGATGTCTCATCAGCTCGTTGCTCAGACTTGCTGGAGGATATTTTTGGACCCCTGGAAGAAGAAGTAAAATTAGGGACATTTTCTAAACCAGGAGGTTACTACCTCTTCCTTCAAATGAGACAAGAGCTAGAGAAAAAGTATAACCAGGCTCCTGGGAAGGGGCTCCAGGCAGAAGCGATGCTGAAAAACTACTTTGATTCCAAGGCAGATGTTGTTGAAACACTTCTACAGACGGATCAGTCACTCACAGAGGCAGCAAAGGAGGTAGAAGAGGAACGTACGAAGGCTGAAGCTGCTGAAGCTGCAAACAGAGAGTTAGAAAAGAAGCAGAAGGAGTTCGAGCTGATGATGCAGCAGAAGGAAAAGAGTTACCAGGAGCATGTGAAGAAGCTGACTGAGAAGATGAAAGACGAACAGAAACAGTTATTAGCAGAACAGGAAAACATCATAGCTGCTAAACTTCGGGAACAGGAAAAATTTCTTAAGGAAGGATTCGAGAATGAGAGCAAAAAACTTATTCGAGAGATTGATACCCTGAAGCAAAACAAATCGTCTGGGAAGTGCACTATACTC</w:t>
      </w:r>
      <w:r w:rsidRPr="00C734B9">
        <w:rPr>
          <w:sz w:val="21"/>
          <w:szCs w:val="21"/>
          <w:u w:val="single"/>
        </w:rPr>
        <w:t>GGT</w:t>
      </w:r>
      <w:r w:rsidRPr="00C734B9">
        <w:rPr>
          <w:sz w:val="21"/>
          <w:szCs w:val="21"/>
        </w:rPr>
        <w:t>ATGGACTACAAGGATGACGATGACAAGGATTACAAAGACGA</w:t>
      </w:r>
    </w:p>
    <w:p w14:paraId="0B0ED5B4" w14:textId="77777777" w:rsidR="00836CBC" w:rsidRDefault="00836CBC" w:rsidP="00836CBC">
      <w:pPr>
        <w:pStyle w:val="SMHeading"/>
        <w:jc w:val="both"/>
      </w:pPr>
    </w:p>
    <w:p w14:paraId="5329137C" w14:textId="77777777" w:rsidR="00836CBC" w:rsidRPr="004F6126" w:rsidRDefault="00836CBC" w:rsidP="00836CBC">
      <w:pPr>
        <w:pStyle w:val="SMHeading"/>
        <w:jc w:val="both"/>
      </w:pPr>
      <w:r w:rsidRPr="004F6126">
        <w:t>Table S</w:t>
      </w:r>
      <w:r>
        <w:rPr>
          <w:rFonts w:hint="eastAsia"/>
          <w:lang w:eastAsia="zh-CN"/>
        </w:rPr>
        <w:t>6</w:t>
      </w:r>
      <w:r w:rsidRPr="004F6126">
        <w:t>.</w:t>
      </w:r>
      <w:r w:rsidRPr="004F6126">
        <w:rPr>
          <w:rFonts w:hint="eastAsia"/>
        </w:rPr>
        <w:t xml:space="preserve"> </w:t>
      </w:r>
      <w:r w:rsidRPr="004F6126">
        <w:t xml:space="preserve">Lentiviral Sequences for VSIG2 Knockdown </w:t>
      </w:r>
    </w:p>
    <w:tbl>
      <w:tblPr>
        <w:tblStyle w:val="aff3"/>
        <w:tblW w:w="0" w:type="auto"/>
        <w:jc w:val="center"/>
        <w:tblLayout w:type="fixed"/>
        <w:tblLook w:val="04A0" w:firstRow="1" w:lastRow="0" w:firstColumn="1" w:lastColumn="0" w:noHBand="0" w:noVBand="1"/>
      </w:tblPr>
      <w:tblGrid>
        <w:gridCol w:w="1413"/>
        <w:gridCol w:w="1701"/>
        <w:gridCol w:w="4679"/>
        <w:gridCol w:w="503"/>
      </w:tblGrid>
      <w:tr w:rsidR="00836CBC" w:rsidRPr="00C734B9" w14:paraId="01694D63" w14:textId="77777777" w:rsidTr="00814EA1">
        <w:trPr>
          <w:jc w:val="center"/>
        </w:trPr>
        <w:tc>
          <w:tcPr>
            <w:tcW w:w="1413" w:type="dxa"/>
          </w:tcPr>
          <w:p w14:paraId="69DD659E" w14:textId="77777777" w:rsidR="00836CBC" w:rsidRPr="00C734B9" w:rsidRDefault="00836CBC" w:rsidP="00814EA1">
            <w:pPr>
              <w:jc w:val="both"/>
              <w:rPr>
                <w:sz w:val="21"/>
                <w:szCs w:val="21"/>
              </w:rPr>
            </w:pPr>
          </w:p>
        </w:tc>
        <w:tc>
          <w:tcPr>
            <w:tcW w:w="1701" w:type="dxa"/>
          </w:tcPr>
          <w:p w14:paraId="6D905BFA" w14:textId="77777777" w:rsidR="00836CBC" w:rsidRPr="00C734B9" w:rsidRDefault="00836CBC" w:rsidP="00814EA1">
            <w:pPr>
              <w:jc w:val="both"/>
              <w:rPr>
                <w:sz w:val="21"/>
                <w:szCs w:val="21"/>
              </w:rPr>
            </w:pPr>
            <w:r w:rsidRPr="00C734B9">
              <w:rPr>
                <w:sz w:val="21"/>
                <w:szCs w:val="21"/>
              </w:rPr>
              <w:t>Primer name</w:t>
            </w:r>
          </w:p>
        </w:tc>
        <w:tc>
          <w:tcPr>
            <w:tcW w:w="4679" w:type="dxa"/>
          </w:tcPr>
          <w:p w14:paraId="56257024" w14:textId="77777777" w:rsidR="00836CBC" w:rsidRPr="00C734B9" w:rsidRDefault="00836CBC" w:rsidP="00814EA1">
            <w:pPr>
              <w:jc w:val="both"/>
              <w:rPr>
                <w:sz w:val="21"/>
                <w:szCs w:val="21"/>
              </w:rPr>
            </w:pPr>
            <w:r w:rsidRPr="00C734B9">
              <w:rPr>
                <w:sz w:val="21"/>
                <w:szCs w:val="21"/>
              </w:rPr>
              <w:t>（5' to 3'）</w:t>
            </w:r>
          </w:p>
        </w:tc>
        <w:tc>
          <w:tcPr>
            <w:tcW w:w="503" w:type="dxa"/>
          </w:tcPr>
          <w:p w14:paraId="754C0BB0" w14:textId="77777777" w:rsidR="00836CBC" w:rsidRPr="00C734B9" w:rsidRDefault="00836CBC" w:rsidP="00814EA1">
            <w:pPr>
              <w:jc w:val="both"/>
              <w:rPr>
                <w:sz w:val="21"/>
                <w:szCs w:val="21"/>
              </w:rPr>
            </w:pPr>
            <w:r w:rsidRPr="00C734B9">
              <w:rPr>
                <w:sz w:val="21"/>
                <w:szCs w:val="21"/>
              </w:rPr>
              <w:t>nt</w:t>
            </w:r>
          </w:p>
        </w:tc>
      </w:tr>
      <w:tr w:rsidR="00836CBC" w:rsidRPr="00C734B9" w14:paraId="4AEA8084" w14:textId="77777777" w:rsidTr="00814EA1">
        <w:trPr>
          <w:jc w:val="center"/>
        </w:trPr>
        <w:tc>
          <w:tcPr>
            <w:tcW w:w="1413" w:type="dxa"/>
            <w:vMerge w:val="restart"/>
            <w:vAlign w:val="center"/>
          </w:tcPr>
          <w:p w14:paraId="3FCA788D" w14:textId="77777777" w:rsidR="00836CBC" w:rsidRPr="00C734B9" w:rsidRDefault="00836CBC" w:rsidP="00814EA1">
            <w:pPr>
              <w:jc w:val="both"/>
              <w:rPr>
                <w:sz w:val="21"/>
                <w:szCs w:val="21"/>
              </w:rPr>
            </w:pPr>
            <w:r w:rsidRPr="00C734B9">
              <w:rPr>
                <w:sz w:val="21"/>
                <w:szCs w:val="21"/>
              </w:rPr>
              <w:t>VSIG2#1</w:t>
            </w:r>
          </w:p>
        </w:tc>
        <w:tc>
          <w:tcPr>
            <w:tcW w:w="1701" w:type="dxa"/>
            <w:vAlign w:val="center"/>
          </w:tcPr>
          <w:p w14:paraId="557F8BCB" w14:textId="77777777" w:rsidR="00836CBC" w:rsidRPr="00C734B9" w:rsidRDefault="00836CBC" w:rsidP="00814EA1">
            <w:pPr>
              <w:jc w:val="both"/>
              <w:rPr>
                <w:sz w:val="21"/>
                <w:szCs w:val="21"/>
              </w:rPr>
            </w:pPr>
            <w:r w:rsidRPr="00C734B9">
              <w:rPr>
                <w:sz w:val="21"/>
                <w:szCs w:val="21"/>
              </w:rPr>
              <w:t>shVSIG2-1#-F</w:t>
            </w:r>
          </w:p>
        </w:tc>
        <w:tc>
          <w:tcPr>
            <w:tcW w:w="4679" w:type="dxa"/>
          </w:tcPr>
          <w:p w14:paraId="1922D67F" w14:textId="77777777" w:rsidR="00836CBC" w:rsidRPr="00C734B9" w:rsidRDefault="00836CBC" w:rsidP="00814EA1">
            <w:pPr>
              <w:jc w:val="both"/>
              <w:rPr>
                <w:sz w:val="21"/>
                <w:szCs w:val="21"/>
              </w:rPr>
            </w:pPr>
            <w:r w:rsidRPr="00C734B9">
              <w:rPr>
                <w:sz w:val="21"/>
                <w:szCs w:val="21"/>
              </w:rPr>
              <w:t>CCGG</w:t>
            </w:r>
            <w:r w:rsidRPr="00C734B9">
              <w:rPr>
                <w:color w:val="FF0000"/>
                <w:sz w:val="21"/>
                <w:szCs w:val="21"/>
              </w:rPr>
              <w:t>TGGTGAGCGTCCATGTTAATA</w:t>
            </w:r>
            <w:r w:rsidRPr="00C734B9">
              <w:rPr>
                <w:sz w:val="21"/>
                <w:szCs w:val="21"/>
              </w:rPr>
              <w:t>CTCGAG</w:t>
            </w:r>
            <w:r w:rsidRPr="00C734B9">
              <w:rPr>
                <w:color w:val="FF0000"/>
                <w:sz w:val="21"/>
                <w:szCs w:val="21"/>
              </w:rPr>
              <w:t>TATTAACATGGACGCTCACCA</w:t>
            </w:r>
            <w:r w:rsidRPr="00C734B9">
              <w:rPr>
                <w:sz w:val="21"/>
                <w:szCs w:val="21"/>
              </w:rPr>
              <w:t>TTTTTG</w:t>
            </w:r>
          </w:p>
        </w:tc>
        <w:tc>
          <w:tcPr>
            <w:tcW w:w="503" w:type="dxa"/>
          </w:tcPr>
          <w:p w14:paraId="688B8141" w14:textId="77777777" w:rsidR="00836CBC" w:rsidRPr="00C734B9" w:rsidRDefault="00836CBC" w:rsidP="00814EA1">
            <w:pPr>
              <w:jc w:val="both"/>
              <w:rPr>
                <w:sz w:val="21"/>
                <w:szCs w:val="21"/>
              </w:rPr>
            </w:pPr>
            <w:r w:rsidRPr="00C734B9">
              <w:rPr>
                <w:sz w:val="21"/>
                <w:szCs w:val="21"/>
              </w:rPr>
              <w:t>58</w:t>
            </w:r>
          </w:p>
        </w:tc>
      </w:tr>
      <w:tr w:rsidR="00836CBC" w:rsidRPr="00C734B9" w14:paraId="09170856" w14:textId="77777777" w:rsidTr="00814EA1">
        <w:trPr>
          <w:jc w:val="center"/>
        </w:trPr>
        <w:tc>
          <w:tcPr>
            <w:tcW w:w="1413" w:type="dxa"/>
            <w:vMerge/>
            <w:vAlign w:val="center"/>
          </w:tcPr>
          <w:p w14:paraId="215122FE" w14:textId="77777777" w:rsidR="00836CBC" w:rsidRPr="00C734B9" w:rsidRDefault="00836CBC" w:rsidP="00814EA1">
            <w:pPr>
              <w:jc w:val="both"/>
              <w:rPr>
                <w:sz w:val="21"/>
                <w:szCs w:val="21"/>
              </w:rPr>
            </w:pPr>
          </w:p>
        </w:tc>
        <w:tc>
          <w:tcPr>
            <w:tcW w:w="1701" w:type="dxa"/>
            <w:vAlign w:val="center"/>
          </w:tcPr>
          <w:p w14:paraId="40B83859" w14:textId="77777777" w:rsidR="00836CBC" w:rsidRPr="00C734B9" w:rsidRDefault="00836CBC" w:rsidP="00814EA1">
            <w:pPr>
              <w:jc w:val="both"/>
              <w:rPr>
                <w:sz w:val="21"/>
                <w:szCs w:val="21"/>
              </w:rPr>
            </w:pPr>
            <w:r w:rsidRPr="00C734B9">
              <w:rPr>
                <w:sz w:val="21"/>
                <w:szCs w:val="21"/>
              </w:rPr>
              <w:t>shVSIG2-1#-R</w:t>
            </w:r>
          </w:p>
        </w:tc>
        <w:tc>
          <w:tcPr>
            <w:tcW w:w="4679" w:type="dxa"/>
          </w:tcPr>
          <w:p w14:paraId="76569282" w14:textId="77777777" w:rsidR="00836CBC" w:rsidRPr="00C734B9" w:rsidRDefault="00836CBC" w:rsidP="00814EA1">
            <w:pPr>
              <w:jc w:val="both"/>
              <w:rPr>
                <w:sz w:val="21"/>
                <w:szCs w:val="21"/>
              </w:rPr>
            </w:pPr>
            <w:r w:rsidRPr="00C734B9">
              <w:rPr>
                <w:sz w:val="21"/>
                <w:szCs w:val="21"/>
              </w:rPr>
              <w:t>AATTCAAAAA</w:t>
            </w:r>
            <w:r w:rsidRPr="00C734B9">
              <w:rPr>
                <w:color w:val="FF0000"/>
                <w:sz w:val="21"/>
                <w:szCs w:val="21"/>
              </w:rPr>
              <w:t>TGGTGAGCGTCCATGTTAATA</w:t>
            </w:r>
            <w:r w:rsidRPr="00C734B9">
              <w:rPr>
                <w:sz w:val="21"/>
                <w:szCs w:val="21"/>
              </w:rPr>
              <w:t>CTCGAG</w:t>
            </w:r>
            <w:r w:rsidRPr="00C734B9">
              <w:rPr>
                <w:color w:val="FF0000"/>
                <w:sz w:val="21"/>
                <w:szCs w:val="21"/>
              </w:rPr>
              <w:t>TATTAACATGGACGCTCACCA</w:t>
            </w:r>
          </w:p>
        </w:tc>
        <w:tc>
          <w:tcPr>
            <w:tcW w:w="503" w:type="dxa"/>
          </w:tcPr>
          <w:p w14:paraId="723F7FCE" w14:textId="77777777" w:rsidR="00836CBC" w:rsidRPr="00C734B9" w:rsidRDefault="00836CBC" w:rsidP="00814EA1">
            <w:pPr>
              <w:jc w:val="both"/>
              <w:rPr>
                <w:sz w:val="21"/>
                <w:szCs w:val="21"/>
              </w:rPr>
            </w:pPr>
            <w:r w:rsidRPr="00C734B9">
              <w:rPr>
                <w:sz w:val="21"/>
                <w:szCs w:val="21"/>
              </w:rPr>
              <w:t>58</w:t>
            </w:r>
          </w:p>
        </w:tc>
      </w:tr>
      <w:tr w:rsidR="00836CBC" w:rsidRPr="00C734B9" w14:paraId="6222FBC5" w14:textId="77777777" w:rsidTr="00814EA1">
        <w:trPr>
          <w:jc w:val="center"/>
        </w:trPr>
        <w:tc>
          <w:tcPr>
            <w:tcW w:w="1413" w:type="dxa"/>
            <w:vMerge w:val="restart"/>
            <w:vAlign w:val="center"/>
          </w:tcPr>
          <w:p w14:paraId="53A78084" w14:textId="77777777" w:rsidR="00836CBC" w:rsidRPr="00C734B9" w:rsidRDefault="00836CBC" w:rsidP="00814EA1">
            <w:pPr>
              <w:jc w:val="both"/>
              <w:rPr>
                <w:sz w:val="21"/>
                <w:szCs w:val="21"/>
              </w:rPr>
            </w:pPr>
            <w:r w:rsidRPr="00C734B9">
              <w:rPr>
                <w:sz w:val="21"/>
                <w:szCs w:val="21"/>
              </w:rPr>
              <w:t>VSIG2#2</w:t>
            </w:r>
          </w:p>
        </w:tc>
        <w:tc>
          <w:tcPr>
            <w:tcW w:w="1701" w:type="dxa"/>
            <w:vAlign w:val="center"/>
          </w:tcPr>
          <w:p w14:paraId="5BFA2769" w14:textId="77777777" w:rsidR="00836CBC" w:rsidRPr="00C734B9" w:rsidRDefault="00836CBC" w:rsidP="00814EA1">
            <w:pPr>
              <w:jc w:val="both"/>
              <w:rPr>
                <w:sz w:val="21"/>
                <w:szCs w:val="21"/>
              </w:rPr>
            </w:pPr>
            <w:r w:rsidRPr="00C734B9">
              <w:rPr>
                <w:sz w:val="21"/>
                <w:szCs w:val="21"/>
              </w:rPr>
              <w:t>shVSIG2-2#-F</w:t>
            </w:r>
          </w:p>
        </w:tc>
        <w:tc>
          <w:tcPr>
            <w:tcW w:w="4679" w:type="dxa"/>
          </w:tcPr>
          <w:p w14:paraId="26C6D0B8" w14:textId="77777777" w:rsidR="00836CBC" w:rsidRPr="00C734B9" w:rsidRDefault="00836CBC" w:rsidP="00814EA1">
            <w:pPr>
              <w:jc w:val="both"/>
              <w:rPr>
                <w:sz w:val="21"/>
                <w:szCs w:val="21"/>
              </w:rPr>
            </w:pPr>
            <w:r w:rsidRPr="00C734B9">
              <w:rPr>
                <w:sz w:val="21"/>
                <w:szCs w:val="21"/>
              </w:rPr>
              <w:t>CCGG</w:t>
            </w:r>
            <w:r w:rsidRPr="00C734B9">
              <w:rPr>
                <w:color w:val="FF0000"/>
                <w:sz w:val="21"/>
                <w:szCs w:val="21"/>
              </w:rPr>
              <w:t>CTGTATCCCACTGGCTCTAAA</w:t>
            </w:r>
            <w:r w:rsidRPr="00C734B9">
              <w:rPr>
                <w:sz w:val="21"/>
                <w:szCs w:val="21"/>
              </w:rPr>
              <w:t>CTCGAG</w:t>
            </w:r>
            <w:r w:rsidRPr="00C734B9">
              <w:rPr>
                <w:color w:val="FF0000"/>
                <w:sz w:val="21"/>
                <w:szCs w:val="21"/>
              </w:rPr>
              <w:t>TTTAGAGCCAGTGGGATACAG</w:t>
            </w:r>
            <w:r w:rsidRPr="00C734B9">
              <w:rPr>
                <w:sz w:val="21"/>
                <w:szCs w:val="21"/>
              </w:rPr>
              <w:t>TTTTTG</w:t>
            </w:r>
          </w:p>
        </w:tc>
        <w:tc>
          <w:tcPr>
            <w:tcW w:w="503" w:type="dxa"/>
          </w:tcPr>
          <w:p w14:paraId="3441FA10" w14:textId="77777777" w:rsidR="00836CBC" w:rsidRPr="00C734B9" w:rsidRDefault="00836CBC" w:rsidP="00814EA1">
            <w:pPr>
              <w:jc w:val="both"/>
              <w:rPr>
                <w:sz w:val="21"/>
                <w:szCs w:val="21"/>
              </w:rPr>
            </w:pPr>
            <w:r w:rsidRPr="00C734B9">
              <w:rPr>
                <w:sz w:val="21"/>
                <w:szCs w:val="21"/>
              </w:rPr>
              <w:t>58</w:t>
            </w:r>
          </w:p>
        </w:tc>
      </w:tr>
      <w:tr w:rsidR="00836CBC" w:rsidRPr="00C734B9" w14:paraId="38F0E9B1" w14:textId="77777777" w:rsidTr="00814EA1">
        <w:trPr>
          <w:jc w:val="center"/>
        </w:trPr>
        <w:tc>
          <w:tcPr>
            <w:tcW w:w="1413" w:type="dxa"/>
            <w:vMerge/>
            <w:vAlign w:val="center"/>
          </w:tcPr>
          <w:p w14:paraId="7321AB1A" w14:textId="77777777" w:rsidR="00836CBC" w:rsidRPr="00C734B9" w:rsidRDefault="00836CBC" w:rsidP="00814EA1">
            <w:pPr>
              <w:jc w:val="both"/>
              <w:rPr>
                <w:sz w:val="21"/>
                <w:szCs w:val="21"/>
              </w:rPr>
            </w:pPr>
          </w:p>
        </w:tc>
        <w:tc>
          <w:tcPr>
            <w:tcW w:w="1701" w:type="dxa"/>
            <w:vAlign w:val="center"/>
          </w:tcPr>
          <w:p w14:paraId="6DADEBEB" w14:textId="77777777" w:rsidR="00836CBC" w:rsidRPr="00C734B9" w:rsidRDefault="00836CBC" w:rsidP="00814EA1">
            <w:pPr>
              <w:jc w:val="both"/>
              <w:rPr>
                <w:sz w:val="21"/>
                <w:szCs w:val="21"/>
              </w:rPr>
            </w:pPr>
            <w:r w:rsidRPr="00C734B9">
              <w:rPr>
                <w:sz w:val="21"/>
                <w:szCs w:val="21"/>
              </w:rPr>
              <w:t>shVSIG2-2#-R</w:t>
            </w:r>
          </w:p>
        </w:tc>
        <w:tc>
          <w:tcPr>
            <w:tcW w:w="4679" w:type="dxa"/>
          </w:tcPr>
          <w:p w14:paraId="444090BB" w14:textId="77777777" w:rsidR="00836CBC" w:rsidRPr="00C734B9" w:rsidRDefault="00836CBC" w:rsidP="00814EA1">
            <w:pPr>
              <w:jc w:val="both"/>
              <w:rPr>
                <w:sz w:val="21"/>
                <w:szCs w:val="21"/>
              </w:rPr>
            </w:pPr>
            <w:r w:rsidRPr="00C734B9">
              <w:rPr>
                <w:sz w:val="21"/>
                <w:szCs w:val="21"/>
              </w:rPr>
              <w:t>AATTCAAAAA</w:t>
            </w:r>
            <w:r w:rsidRPr="00C734B9">
              <w:rPr>
                <w:color w:val="FF0000"/>
                <w:sz w:val="21"/>
                <w:szCs w:val="21"/>
              </w:rPr>
              <w:t>TGGTGAGCGTCCATGTTAATA</w:t>
            </w:r>
            <w:r w:rsidRPr="00C734B9">
              <w:rPr>
                <w:sz w:val="21"/>
                <w:szCs w:val="21"/>
              </w:rPr>
              <w:t>CTCGAG</w:t>
            </w:r>
            <w:r w:rsidRPr="00C734B9">
              <w:rPr>
                <w:color w:val="FF0000"/>
                <w:sz w:val="21"/>
                <w:szCs w:val="21"/>
              </w:rPr>
              <w:t>TTTAGAGCCAGTGGGATACAG</w:t>
            </w:r>
          </w:p>
        </w:tc>
        <w:tc>
          <w:tcPr>
            <w:tcW w:w="503" w:type="dxa"/>
          </w:tcPr>
          <w:p w14:paraId="7BFD213C" w14:textId="77777777" w:rsidR="00836CBC" w:rsidRPr="00C734B9" w:rsidRDefault="00836CBC" w:rsidP="00814EA1">
            <w:pPr>
              <w:jc w:val="both"/>
              <w:rPr>
                <w:sz w:val="21"/>
                <w:szCs w:val="21"/>
              </w:rPr>
            </w:pPr>
            <w:r w:rsidRPr="00C734B9">
              <w:rPr>
                <w:sz w:val="21"/>
                <w:szCs w:val="21"/>
              </w:rPr>
              <w:t>58</w:t>
            </w:r>
          </w:p>
        </w:tc>
      </w:tr>
      <w:tr w:rsidR="00836CBC" w:rsidRPr="00C734B9" w14:paraId="5281F49E" w14:textId="77777777" w:rsidTr="00814EA1">
        <w:trPr>
          <w:jc w:val="center"/>
        </w:trPr>
        <w:tc>
          <w:tcPr>
            <w:tcW w:w="1413" w:type="dxa"/>
            <w:vMerge w:val="restart"/>
            <w:vAlign w:val="center"/>
          </w:tcPr>
          <w:p w14:paraId="0D41FE8D" w14:textId="77777777" w:rsidR="00836CBC" w:rsidRPr="00C734B9" w:rsidRDefault="00836CBC" w:rsidP="00814EA1">
            <w:pPr>
              <w:jc w:val="both"/>
              <w:rPr>
                <w:sz w:val="21"/>
                <w:szCs w:val="21"/>
              </w:rPr>
            </w:pPr>
            <w:r w:rsidRPr="00C734B9">
              <w:rPr>
                <w:sz w:val="21"/>
                <w:szCs w:val="21"/>
              </w:rPr>
              <w:lastRenderedPageBreak/>
              <w:t>VSIG2#3</w:t>
            </w:r>
          </w:p>
        </w:tc>
        <w:tc>
          <w:tcPr>
            <w:tcW w:w="1701" w:type="dxa"/>
            <w:vAlign w:val="center"/>
          </w:tcPr>
          <w:p w14:paraId="37CF1322" w14:textId="77777777" w:rsidR="00836CBC" w:rsidRPr="00C734B9" w:rsidRDefault="00836CBC" w:rsidP="00814EA1">
            <w:pPr>
              <w:jc w:val="both"/>
              <w:rPr>
                <w:sz w:val="21"/>
                <w:szCs w:val="21"/>
              </w:rPr>
            </w:pPr>
            <w:r w:rsidRPr="00C734B9">
              <w:rPr>
                <w:sz w:val="21"/>
                <w:szCs w:val="21"/>
              </w:rPr>
              <w:t>shVSIG2-3#-F</w:t>
            </w:r>
          </w:p>
        </w:tc>
        <w:tc>
          <w:tcPr>
            <w:tcW w:w="4679" w:type="dxa"/>
          </w:tcPr>
          <w:p w14:paraId="1E1DC3C3" w14:textId="77777777" w:rsidR="00836CBC" w:rsidRPr="00C734B9" w:rsidRDefault="00836CBC" w:rsidP="00814EA1">
            <w:pPr>
              <w:jc w:val="both"/>
              <w:rPr>
                <w:sz w:val="21"/>
                <w:szCs w:val="21"/>
              </w:rPr>
            </w:pPr>
            <w:r w:rsidRPr="00C734B9">
              <w:rPr>
                <w:sz w:val="21"/>
                <w:szCs w:val="21"/>
              </w:rPr>
              <w:t>CCGG</w:t>
            </w:r>
            <w:r w:rsidRPr="00C734B9">
              <w:rPr>
                <w:color w:val="FF0000"/>
                <w:sz w:val="21"/>
                <w:szCs w:val="21"/>
              </w:rPr>
              <w:t>GACCTACCTCTGCAATGTTAA</w:t>
            </w:r>
            <w:r w:rsidRPr="00C734B9">
              <w:rPr>
                <w:sz w:val="21"/>
                <w:szCs w:val="21"/>
              </w:rPr>
              <w:t>CTCGAG</w:t>
            </w:r>
            <w:r w:rsidRPr="00C734B9">
              <w:rPr>
                <w:color w:val="FF0000"/>
                <w:sz w:val="21"/>
                <w:szCs w:val="21"/>
              </w:rPr>
              <w:t>TTAACATTGCAGAGGTAGGTC</w:t>
            </w:r>
            <w:r w:rsidRPr="00C734B9">
              <w:rPr>
                <w:sz w:val="21"/>
                <w:szCs w:val="21"/>
              </w:rPr>
              <w:t>TTTTTG</w:t>
            </w:r>
          </w:p>
        </w:tc>
        <w:tc>
          <w:tcPr>
            <w:tcW w:w="503" w:type="dxa"/>
          </w:tcPr>
          <w:p w14:paraId="76EBE375" w14:textId="77777777" w:rsidR="00836CBC" w:rsidRPr="00C734B9" w:rsidRDefault="00836CBC" w:rsidP="00814EA1">
            <w:pPr>
              <w:jc w:val="both"/>
              <w:rPr>
                <w:sz w:val="21"/>
                <w:szCs w:val="21"/>
              </w:rPr>
            </w:pPr>
            <w:r w:rsidRPr="00C734B9">
              <w:rPr>
                <w:sz w:val="21"/>
                <w:szCs w:val="21"/>
              </w:rPr>
              <w:t>58</w:t>
            </w:r>
          </w:p>
        </w:tc>
      </w:tr>
      <w:tr w:rsidR="00836CBC" w:rsidRPr="00C734B9" w14:paraId="2506C4CA" w14:textId="77777777" w:rsidTr="00814EA1">
        <w:trPr>
          <w:jc w:val="center"/>
        </w:trPr>
        <w:tc>
          <w:tcPr>
            <w:tcW w:w="1413" w:type="dxa"/>
            <w:vMerge/>
            <w:vAlign w:val="center"/>
          </w:tcPr>
          <w:p w14:paraId="5E9227A4" w14:textId="77777777" w:rsidR="00836CBC" w:rsidRPr="00C734B9" w:rsidRDefault="00836CBC" w:rsidP="00814EA1">
            <w:pPr>
              <w:jc w:val="both"/>
              <w:rPr>
                <w:sz w:val="21"/>
                <w:szCs w:val="21"/>
              </w:rPr>
            </w:pPr>
          </w:p>
        </w:tc>
        <w:tc>
          <w:tcPr>
            <w:tcW w:w="1701" w:type="dxa"/>
            <w:vAlign w:val="center"/>
          </w:tcPr>
          <w:p w14:paraId="28079B0B" w14:textId="77777777" w:rsidR="00836CBC" w:rsidRPr="00C734B9" w:rsidRDefault="00836CBC" w:rsidP="00814EA1">
            <w:pPr>
              <w:jc w:val="both"/>
              <w:rPr>
                <w:sz w:val="21"/>
                <w:szCs w:val="21"/>
              </w:rPr>
            </w:pPr>
            <w:r w:rsidRPr="00C734B9">
              <w:rPr>
                <w:sz w:val="21"/>
                <w:szCs w:val="21"/>
              </w:rPr>
              <w:t>shVSIG2-3#-R</w:t>
            </w:r>
          </w:p>
        </w:tc>
        <w:tc>
          <w:tcPr>
            <w:tcW w:w="4679" w:type="dxa"/>
          </w:tcPr>
          <w:p w14:paraId="46D3AE04" w14:textId="77777777" w:rsidR="00836CBC" w:rsidRPr="00C734B9" w:rsidRDefault="00836CBC" w:rsidP="00814EA1">
            <w:pPr>
              <w:jc w:val="both"/>
              <w:rPr>
                <w:sz w:val="21"/>
                <w:szCs w:val="21"/>
              </w:rPr>
            </w:pPr>
            <w:r w:rsidRPr="00C734B9">
              <w:rPr>
                <w:sz w:val="21"/>
                <w:szCs w:val="21"/>
              </w:rPr>
              <w:t>AATTCAAAAA</w:t>
            </w:r>
            <w:r w:rsidRPr="00C734B9">
              <w:rPr>
                <w:color w:val="FF0000"/>
                <w:sz w:val="21"/>
                <w:szCs w:val="21"/>
              </w:rPr>
              <w:t>GACCTACCTCTGCAATGTTAA</w:t>
            </w:r>
            <w:r w:rsidRPr="00C734B9">
              <w:rPr>
                <w:sz w:val="21"/>
                <w:szCs w:val="21"/>
              </w:rPr>
              <w:t>CTCGAG</w:t>
            </w:r>
            <w:r w:rsidRPr="00C734B9">
              <w:rPr>
                <w:color w:val="FF0000"/>
                <w:sz w:val="21"/>
                <w:szCs w:val="21"/>
              </w:rPr>
              <w:t>TTAACATTGCAGAGGTAGGTC</w:t>
            </w:r>
          </w:p>
        </w:tc>
        <w:tc>
          <w:tcPr>
            <w:tcW w:w="503" w:type="dxa"/>
          </w:tcPr>
          <w:p w14:paraId="41C7B20F" w14:textId="77777777" w:rsidR="00836CBC" w:rsidRPr="00C734B9" w:rsidRDefault="00836CBC" w:rsidP="00814EA1">
            <w:pPr>
              <w:jc w:val="both"/>
              <w:rPr>
                <w:sz w:val="21"/>
                <w:szCs w:val="21"/>
              </w:rPr>
            </w:pPr>
            <w:r w:rsidRPr="00C734B9">
              <w:rPr>
                <w:sz w:val="21"/>
                <w:szCs w:val="21"/>
              </w:rPr>
              <w:t>58</w:t>
            </w:r>
          </w:p>
        </w:tc>
      </w:tr>
    </w:tbl>
    <w:p w14:paraId="0FB83CF9" w14:textId="77777777" w:rsidR="00836CBC" w:rsidRDefault="00836CBC" w:rsidP="00836CBC">
      <w:pPr>
        <w:pStyle w:val="SMHeading"/>
        <w:jc w:val="both"/>
      </w:pPr>
    </w:p>
    <w:p w14:paraId="2A07C9CA" w14:textId="77777777" w:rsidR="0011126F" w:rsidRDefault="0011126F">
      <w:pPr>
        <w:rPr>
          <w:rFonts w:hint="eastAsia"/>
        </w:rPr>
      </w:pPr>
    </w:p>
    <w:sectPr w:rsidR="001112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Lucida Grande">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8898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hybridMultilevel"/>
    <w:tmpl w:val="C8306B60"/>
    <w:lvl w:ilvl="0" w:tplc="7304FF5E">
      <w:start w:val="1"/>
      <w:numFmt w:val="decimal"/>
      <w:lvlText w:val="%1."/>
      <w:lvlJc w:val="left"/>
      <w:pPr>
        <w:tabs>
          <w:tab w:val="num" w:pos="1800"/>
        </w:tabs>
        <w:ind w:left="1800" w:hanging="360"/>
      </w:pPr>
    </w:lvl>
    <w:lvl w:ilvl="1" w:tplc="6436CA44">
      <w:numFmt w:val="decimal"/>
      <w:lvlText w:val=""/>
      <w:lvlJc w:val="left"/>
    </w:lvl>
    <w:lvl w:ilvl="2" w:tplc="11B6FA4E">
      <w:numFmt w:val="decimal"/>
      <w:lvlText w:val=""/>
      <w:lvlJc w:val="left"/>
    </w:lvl>
    <w:lvl w:ilvl="3" w:tplc="25CA29AA">
      <w:numFmt w:val="decimal"/>
      <w:lvlText w:val=""/>
      <w:lvlJc w:val="left"/>
    </w:lvl>
    <w:lvl w:ilvl="4" w:tplc="D674BF2E">
      <w:numFmt w:val="decimal"/>
      <w:lvlText w:val=""/>
      <w:lvlJc w:val="left"/>
    </w:lvl>
    <w:lvl w:ilvl="5" w:tplc="C46C1C2E">
      <w:numFmt w:val="decimal"/>
      <w:lvlText w:val=""/>
      <w:lvlJc w:val="left"/>
    </w:lvl>
    <w:lvl w:ilvl="6" w:tplc="89D680B8">
      <w:numFmt w:val="decimal"/>
      <w:lvlText w:val=""/>
      <w:lvlJc w:val="left"/>
    </w:lvl>
    <w:lvl w:ilvl="7" w:tplc="A46AE3A8">
      <w:numFmt w:val="decimal"/>
      <w:lvlText w:val=""/>
      <w:lvlJc w:val="left"/>
    </w:lvl>
    <w:lvl w:ilvl="8" w:tplc="5A58773E">
      <w:numFmt w:val="decimal"/>
      <w:lvlText w:val=""/>
      <w:lvlJc w:val="left"/>
    </w:lvl>
  </w:abstractNum>
  <w:abstractNum w:abstractNumId="2"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478067D"/>
    <w:multiLevelType w:val="hybridMultilevel"/>
    <w:tmpl w:val="9FB67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A577F10"/>
    <w:multiLevelType w:val="hybridMultilevel"/>
    <w:tmpl w:val="DC14A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444799">
    <w:abstractNumId w:val="12"/>
  </w:num>
  <w:num w:numId="2" w16cid:durableId="2021852333">
    <w:abstractNumId w:val="10"/>
  </w:num>
  <w:num w:numId="3" w16cid:durableId="906232699">
    <w:abstractNumId w:val="8"/>
  </w:num>
  <w:num w:numId="4" w16cid:durableId="1978680198">
    <w:abstractNumId w:val="7"/>
  </w:num>
  <w:num w:numId="5" w16cid:durableId="458375634">
    <w:abstractNumId w:val="6"/>
  </w:num>
  <w:num w:numId="6" w16cid:durableId="1940065260">
    <w:abstractNumId w:val="5"/>
  </w:num>
  <w:num w:numId="7" w16cid:durableId="135293858">
    <w:abstractNumId w:val="9"/>
  </w:num>
  <w:num w:numId="8" w16cid:durableId="326636629">
    <w:abstractNumId w:val="4"/>
  </w:num>
  <w:num w:numId="9" w16cid:durableId="2100759031">
    <w:abstractNumId w:val="3"/>
  </w:num>
  <w:num w:numId="10" w16cid:durableId="1211725716">
    <w:abstractNumId w:val="2"/>
  </w:num>
  <w:num w:numId="11" w16cid:durableId="431823687">
    <w:abstractNumId w:val="1"/>
  </w:num>
  <w:num w:numId="12" w16cid:durableId="1264915913">
    <w:abstractNumId w:val="15"/>
  </w:num>
  <w:num w:numId="13" w16cid:durableId="1752265090">
    <w:abstractNumId w:val="13"/>
  </w:num>
  <w:num w:numId="14" w16cid:durableId="1289822504">
    <w:abstractNumId w:val="11"/>
  </w:num>
  <w:num w:numId="15" w16cid:durableId="1479573488">
    <w:abstractNumId w:val="14"/>
  </w:num>
  <w:num w:numId="16" w16cid:durableId="926616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BC"/>
    <w:rsid w:val="0011126F"/>
    <w:rsid w:val="00612F81"/>
    <w:rsid w:val="00654FEF"/>
    <w:rsid w:val="006D62C9"/>
    <w:rsid w:val="00836CBC"/>
    <w:rsid w:val="008E53DB"/>
    <w:rsid w:val="00EC43A1"/>
    <w:rsid w:val="00FE4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D8434"/>
  <w15:chartTrackingRefBased/>
  <w15:docId w15:val="{BFB0E458-58F0-4ED0-994A-C0A5080E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6CBC"/>
    <w:rPr>
      <w:rFonts w:ascii="Times New Roman" w:hAnsi="Times New Roman" w:cs="Times New Roman"/>
      <w:kern w:val="0"/>
      <w:sz w:val="20"/>
      <w:szCs w:val="20"/>
      <w:lang w:eastAsia="en-US"/>
    </w:rPr>
  </w:style>
  <w:style w:type="paragraph" w:styleId="1">
    <w:name w:val="heading 1"/>
    <w:basedOn w:val="a"/>
    <w:next w:val="a"/>
    <w:link w:val="10"/>
    <w:uiPriority w:val="9"/>
    <w:qFormat/>
    <w:rsid w:val="00836CB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836CB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36CB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36CB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36CBC"/>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36CB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36CB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36CB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36CB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36CB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836CB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36CB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36CBC"/>
    <w:rPr>
      <w:rFonts w:cstheme="majorBidi"/>
      <w:color w:val="0F4761" w:themeColor="accent1" w:themeShade="BF"/>
      <w:sz w:val="28"/>
      <w:szCs w:val="28"/>
    </w:rPr>
  </w:style>
  <w:style w:type="character" w:customStyle="1" w:styleId="50">
    <w:name w:val="标题 5 字符"/>
    <w:basedOn w:val="a0"/>
    <w:link w:val="5"/>
    <w:uiPriority w:val="9"/>
    <w:semiHidden/>
    <w:rsid w:val="00836CBC"/>
    <w:rPr>
      <w:rFonts w:cstheme="majorBidi"/>
      <w:color w:val="0F4761" w:themeColor="accent1" w:themeShade="BF"/>
      <w:sz w:val="24"/>
      <w:szCs w:val="24"/>
    </w:rPr>
  </w:style>
  <w:style w:type="character" w:customStyle="1" w:styleId="60">
    <w:name w:val="标题 6 字符"/>
    <w:basedOn w:val="a0"/>
    <w:link w:val="6"/>
    <w:uiPriority w:val="9"/>
    <w:semiHidden/>
    <w:rsid w:val="00836CBC"/>
    <w:rPr>
      <w:rFonts w:cstheme="majorBidi"/>
      <w:b/>
      <w:bCs/>
      <w:color w:val="0F4761" w:themeColor="accent1" w:themeShade="BF"/>
    </w:rPr>
  </w:style>
  <w:style w:type="character" w:customStyle="1" w:styleId="70">
    <w:name w:val="标题 7 字符"/>
    <w:basedOn w:val="a0"/>
    <w:link w:val="7"/>
    <w:uiPriority w:val="9"/>
    <w:semiHidden/>
    <w:rsid w:val="00836CBC"/>
    <w:rPr>
      <w:rFonts w:cstheme="majorBidi"/>
      <w:b/>
      <w:bCs/>
      <w:color w:val="595959" w:themeColor="text1" w:themeTint="A6"/>
    </w:rPr>
  </w:style>
  <w:style w:type="character" w:customStyle="1" w:styleId="80">
    <w:name w:val="标题 8 字符"/>
    <w:basedOn w:val="a0"/>
    <w:link w:val="8"/>
    <w:uiPriority w:val="9"/>
    <w:semiHidden/>
    <w:rsid w:val="00836CBC"/>
    <w:rPr>
      <w:rFonts w:cstheme="majorBidi"/>
      <w:color w:val="595959" w:themeColor="text1" w:themeTint="A6"/>
    </w:rPr>
  </w:style>
  <w:style w:type="character" w:customStyle="1" w:styleId="90">
    <w:name w:val="标题 9 字符"/>
    <w:basedOn w:val="a0"/>
    <w:link w:val="9"/>
    <w:uiPriority w:val="9"/>
    <w:semiHidden/>
    <w:rsid w:val="00836CBC"/>
    <w:rPr>
      <w:rFonts w:eastAsiaTheme="majorEastAsia" w:cstheme="majorBidi"/>
      <w:color w:val="595959" w:themeColor="text1" w:themeTint="A6"/>
    </w:rPr>
  </w:style>
  <w:style w:type="paragraph" w:styleId="a3">
    <w:name w:val="Title"/>
    <w:basedOn w:val="a"/>
    <w:next w:val="a"/>
    <w:link w:val="a4"/>
    <w:uiPriority w:val="10"/>
    <w:qFormat/>
    <w:rsid w:val="00836C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36C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6C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36C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6CBC"/>
    <w:pPr>
      <w:spacing w:before="160" w:after="160"/>
      <w:jc w:val="center"/>
    </w:pPr>
    <w:rPr>
      <w:i/>
      <w:iCs/>
      <w:color w:val="404040" w:themeColor="text1" w:themeTint="BF"/>
    </w:rPr>
  </w:style>
  <w:style w:type="character" w:customStyle="1" w:styleId="a8">
    <w:name w:val="引用 字符"/>
    <w:basedOn w:val="a0"/>
    <w:link w:val="a7"/>
    <w:uiPriority w:val="29"/>
    <w:rsid w:val="00836CBC"/>
    <w:rPr>
      <w:i/>
      <w:iCs/>
      <w:color w:val="404040" w:themeColor="text1" w:themeTint="BF"/>
    </w:rPr>
  </w:style>
  <w:style w:type="paragraph" w:styleId="a9">
    <w:name w:val="List Paragraph"/>
    <w:basedOn w:val="a"/>
    <w:uiPriority w:val="34"/>
    <w:qFormat/>
    <w:rsid w:val="00836CBC"/>
    <w:pPr>
      <w:ind w:left="720"/>
      <w:contextualSpacing/>
    </w:pPr>
  </w:style>
  <w:style w:type="character" w:styleId="aa">
    <w:name w:val="Intense Emphasis"/>
    <w:basedOn w:val="a0"/>
    <w:uiPriority w:val="21"/>
    <w:qFormat/>
    <w:rsid w:val="00836CBC"/>
    <w:rPr>
      <w:i/>
      <w:iCs/>
      <w:color w:val="0F4761" w:themeColor="accent1" w:themeShade="BF"/>
    </w:rPr>
  </w:style>
  <w:style w:type="paragraph" w:styleId="ab">
    <w:name w:val="Intense Quote"/>
    <w:basedOn w:val="a"/>
    <w:next w:val="a"/>
    <w:link w:val="ac"/>
    <w:uiPriority w:val="30"/>
    <w:qFormat/>
    <w:rsid w:val="00836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36CBC"/>
    <w:rPr>
      <w:i/>
      <w:iCs/>
      <w:color w:val="0F4761" w:themeColor="accent1" w:themeShade="BF"/>
    </w:rPr>
  </w:style>
  <w:style w:type="character" w:styleId="ad">
    <w:name w:val="Intense Reference"/>
    <w:basedOn w:val="a0"/>
    <w:uiPriority w:val="32"/>
    <w:qFormat/>
    <w:rsid w:val="00836CBC"/>
    <w:rPr>
      <w:b/>
      <w:bCs/>
      <w:smallCaps/>
      <w:color w:val="0F4761" w:themeColor="accent1" w:themeShade="BF"/>
      <w:spacing w:val="5"/>
    </w:rPr>
  </w:style>
  <w:style w:type="paragraph" w:customStyle="1" w:styleId="BaseText">
    <w:name w:val="Base_Text"/>
    <w:rsid w:val="00836CBC"/>
    <w:pPr>
      <w:spacing w:before="120"/>
    </w:pPr>
    <w:rPr>
      <w:rFonts w:ascii="Times New Roman" w:eastAsia="Times New Roman" w:hAnsi="Times New Roman" w:cs="Times New Roman"/>
      <w:kern w:val="0"/>
      <w:sz w:val="24"/>
      <w:szCs w:val="24"/>
      <w:lang w:eastAsia="en-US"/>
    </w:rPr>
  </w:style>
  <w:style w:type="paragraph" w:customStyle="1" w:styleId="1stparatext">
    <w:name w:val="1st para text"/>
    <w:basedOn w:val="BaseText"/>
    <w:rsid w:val="00836CBC"/>
  </w:style>
  <w:style w:type="paragraph" w:customStyle="1" w:styleId="BaseHeading">
    <w:name w:val="Base_Heading"/>
    <w:rsid w:val="00836CBC"/>
    <w:pPr>
      <w:keepNext/>
      <w:spacing w:before="240"/>
      <w:outlineLvl w:val="0"/>
    </w:pPr>
    <w:rPr>
      <w:rFonts w:ascii="Times New Roman" w:eastAsia="Times New Roman" w:hAnsi="Times New Roman" w:cs="Times New Roman"/>
      <w:kern w:val="28"/>
      <w:sz w:val="28"/>
      <w:szCs w:val="28"/>
      <w:lang w:eastAsia="en-US"/>
    </w:rPr>
  </w:style>
  <w:style w:type="paragraph" w:customStyle="1" w:styleId="AbstractHead">
    <w:name w:val="Abstract Head"/>
    <w:basedOn w:val="BaseHeading"/>
    <w:rsid w:val="00836CBC"/>
  </w:style>
  <w:style w:type="paragraph" w:customStyle="1" w:styleId="AbstractSummary">
    <w:name w:val="Abstract/Summary"/>
    <w:basedOn w:val="BaseText"/>
    <w:rsid w:val="00836CBC"/>
  </w:style>
  <w:style w:type="paragraph" w:customStyle="1" w:styleId="Referencesandnotes">
    <w:name w:val="References and notes"/>
    <w:basedOn w:val="BaseText"/>
    <w:rsid w:val="00836CBC"/>
    <w:pPr>
      <w:ind w:left="720" w:hanging="720"/>
    </w:pPr>
  </w:style>
  <w:style w:type="paragraph" w:customStyle="1" w:styleId="Acknowledgement">
    <w:name w:val="Acknowledgement"/>
    <w:basedOn w:val="Referencesandnotes"/>
    <w:rsid w:val="00836CBC"/>
  </w:style>
  <w:style w:type="paragraph" w:customStyle="1" w:styleId="Subhead">
    <w:name w:val="Subhead"/>
    <w:basedOn w:val="BaseHeading"/>
    <w:rsid w:val="00836CBC"/>
    <w:rPr>
      <w:b/>
      <w:bCs/>
      <w:sz w:val="24"/>
      <w:szCs w:val="24"/>
    </w:rPr>
  </w:style>
  <w:style w:type="paragraph" w:customStyle="1" w:styleId="AppendixHead">
    <w:name w:val="AppendixHead"/>
    <w:basedOn w:val="Subhead"/>
    <w:rsid w:val="00836CBC"/>
  </w:style>
  <w:style w:type="paragraph" w:customStyle="1" w:styleId="AppendixSubhead">
    <w:name w:val="AppendixSubhead"/>
    <w:basedOn w:val="Subhead"/>
    <w:rsid w:val="00836CBC"/>
  </w:style>
  <w:style w:type="paragraph" w:customStyle="1" w:styleId="Articletype">
    <w:name w:val="Article type"/>
    <w:basedOn w:val="BaseText"/>
    <w:rsid w:val="00836CBC"/>
  </w:style>
  <w:style w:type="character" w:customStyle="1" w:styleId="aubase">
    <w:name w:val="au_base"/>
    <w:rsid w:val="00836CBC"/>
    <w:rPr>
      <w:sz w:val="24"/>
    </w:rPr>
  </w:style>
  <w:style w:type="character" w:customStyle="1" w:styleId="aucollab">
    <w:name w:val="au_collab"/>
    <w:rsid w:val="00836CBC"/>
    <w:rPr>
      <w:sz w:val="24"/>
      <w:bdr w:val="none" w:sz="0" w:space="0" w:color="auto"/>
      <w:shd w:val="clear" w:color="auto" w:fill="C0C0C0"/>
    </w:rPr>
  </w:style>
  <w:style w:type="character" w:customStyle="1" w:styleId="audeg">
    <w:name w:val="au_deg"/>
    <w:rsid w:val="00836CBC"/>
    <w:rPr>
      <w:sz w:val="24"/>
      <w:bdr w:val="none" w:sz="0" w:space="0" w:color="auto"/>
      <w:shd w:val="clear" w:color="auto" w:fill="FFFF00"/>
    </w:rPr>
  </w:style>
  <w:style w:type="character" w:customStyle="1" w:styleId="aufname">
    <w:name w:val="au_fname"/>
    <w:rsid w:val="00836CBC"/>
    <w:rPr>
      <w:sz w:val="24"/>
      <w:bdr w:val="none" w:sz="0" w:space="0" w:color="auto"/>
      <w:shd w:val="clear" w:color="auto" w:fill="00FFFF"/>
    </w:rPr>
  </w:style>
  <w:style w:type="character" w:customStyle="1" w:styleId="aurole">
    <w:name w:val="au_role"/>
    <w:rsid w:val="00836CBC"/>
    <w:rPr>
      <w:sz w:val="24"/>
      <w:bdr w:val="none" w:sz="0" w:space="0" w:color="auto"/>
      <w:shd w:val="clear" w:color="auto" w:fill="808000"/>
    </w:rPr>
  </w:style>
  <w:style w:type="character" w:customStyle="1" w:styleId="ausuffix">
    <w:name w:val="au_suffix"/>
    <w:rsid w:val="00836CBC"/>
    <w:rPr>
      <w:sz w:val="24"/>
      <w:bdr w:val="none" w:sz="0" w:space="0" w:color="auto"/>
      <w:shd w:val="clear" w:color="auto" w:fill="FF00FF"/>
    </w:rPr>
  </w:style>
  <w:style w:type="character" w:customStyle="1" w:styleId="ausurname">
    <w:name w:val="au_surname"/>
    <w:rsid w:val="00836CBC"/>
    <w:rPr>
      <w:sz w:val="24"/>
      <w:bdr w:val="none" w:sz="0" w:space="0" w:color="auto"/>
      <w:shd w:val="clear" w:color="auto" w:fill="00FF00"/>
    </w:rPr>
  </w:style>
  <w:style w:type="paragraph" w:customStyle="1" w:styleId="AuthorAttribute">
    <w:name w:val="Author Attribute"/>
    <w:basedOn w:val="BaseText"/>
    <w:rsid w:val="00836CBC"/>
    <w:pPr>
      <w:spacing w:before="480"/>
    </w:pPr>
  </w:style>
  <w:style w:type="paragraph" w:customStyle="1" w:styleId="Footnote">
    <w:name w:val="Footnote"/>
    <w:basedOn w:val="BaseText"/>
    <w:rsid w:val="00836CBC"/>
  </w:style>
  <w:style w:type="paragraph" w:customStyle="1" w:styleId="AuthorFootnote">
    <w:name w:val="AuthorFootnote"/>
    <w:basedOn w:val="Footnote"/>
    <w:rsid w:val="00836CBC"/>
    <w:pPr>
      <w:autoSpaceDE w:val="0"/>
      <w:autoSpaceDN w:val="0"/>
      <w:adjustRightInd w:val="0"/>
    </w:pPr>
    <w:rPr>
      <w:lang w:bidi="he-IL"/>
    </w:rPr>
  </w:style>
  <w:style w:type="paragraph" w:customStyle="1" w:styleId="Authors">
    <w:name w:val="Authors"/>
    <w:basedOn w:val="BaseText"/>
    <w:rsid w:val="00836CBC"/>
    <w:pPr>
      <w:spacing w:after="360"/>
      <w:jc w:val="center"/>
    </w:pPr>
  </w:style>
  <w:style w:type="paragraph" w:styleId="ae">
    <w:name w:val="Balloon Text"/>
    <w:basedOn w:val="a"/>
    <w:link w:val="af"/>
    <w:semiHidden/>
    <w:rsid w:val="00836CBC"/>
    <w:rPr>
      <w:rFonts w:ascii="Lucida Grande" w:eastAsia="Times New Roman" w:hAnsi="Lucida Grande"/>
      <w:sz w:val="18"/>
      <w:szCs w:val="18"/>
    </w:rPr>
  </w:style>
  <w:style w:type="character" w:customStyle="1" w:styleId="af">
    <w:name w:val="批注框文本 字符"/>
    <w:basedOn w:val="a0"/>
    <w:link w:val="ae"/>
    <w:semiHidden/>
    <w:rsid w:val="00836CBC"/>
    <w:rPr>
      <w:rFonts w:ascii="Lucida Grande" w:eastAsia="Times New Roman" w:hAnsi="Lucida Grande" w:cs="Times New Roman"/>
      <w:kern w:val="0"/>
      <w:sz w:val="18"/>
      <w:szCs w:val="18"/>
      <w:lang w:eastAsia="en-US"/>
    </w:rPr>
  </w:style>
  <w:style w:type="character" w:customStyle="1" w:styleId="bibarticle">
    <w:name w:val="bib_article"/>
    <w:rsid w:val="00836CBC"/>
    <w:rPr>
      <w:sz w:val="24"/>
      <w:bdr w:val="none" w:sz="0" w:space="0" w:color="auto"/>
      <w:shd w:val="clear" w:color="auto" w:fill="00FFFF"/>
    </w:rPr>
  </w:style>
  <w:style w:type="character" w:customStyle="1" w:styleId="bibbase">
    <w:name w:val="bib_base"/>
    <w:rsid w:val="00836CBC"/>
    <w:rPr>
      <w:sz w:val="24"/>
    </w:rPr>
  </w:style>
  <w:style w:type="character" w:customStyle="1" w:styleId="bibcomment">
    <w:name w:val="bib_comment"/>
    <w:rsid w:val="00836CBC"/>
    <w:rPr>
      <w:sz w:val="24"/>
    </w:rPr>
  </w:style>
  <w:style w:type="character" w:customStyle="1" w:styleId="bibdeg">
    <w:name w:val="bib_deg"/>
    <w:rsid w:val="00836CBC"/>
    <w:rPr>
      <w:sz w:val="24"/>
    </w:rPr>
  </w:style>
  <w:style w:type="character" w:customStyle="1" w:styleId="bibdoi">
    <w:name w:val="bib_doi"/>
    <w:rsid w:val="00836CBC"/>
    <w:rPr>
      <w:sz w:val="24"/>
      <w:bdr w:val="none" w:sz="0" w:space="0" w:color="auto"/>
      <w:shd w:val="clear" w:color="auto" w:fill="00FF00"/>
    </w:rPr>
  </w:style>
  <w:style w:type="character" w:customStyle="1" w:styleId="bibetal">
    <w:name w:val="bib_etal"/>
    <w:rsid w:val="00836CBC"/>
    <w:rPr>
      <w:sz w:val="24"/>
      <w:bdr w:val="none" w:sz="0" w:space="0" w:color="auto"/>
      <w:shd w:val="clear" w:color="auto" w:fill="008080"/>
    </w:rPr>
  </w:style>
  <w:style w:type="character" w:customStyle="1" w:styleId="bibfname">
    <w:name w:val="bib_fname"/>
    <w:rsid w:val="00836CBC"/>
    <w:rPr>
      <w:sz w:val="24"/>
      <w:bdr w:val="none" w:sz="0" w:space="0" w:color="auto"/>
      <w:shd w:val="clear" w:color="auto" w:fill="FFFF00"/>
    </w:rPr>
  </w:style>
  <w:style w:type="character" w:customStyle="1" w:styleId="bibfpage">
    <w:name w:val="bib_fpage"/>
    <w:rsid w:val="00836CBC"/>
    <w:rPr>
      <w:sz w:val="24"/>
      <w:bdr w:val="none" w:sz="0" w:space="0" w:color="auto"/>
      <w:shd w:val="clear" w:color="auto" w:fill="808080"/>
    </w:rPr>
  </w:style>
  <w:style w:type="character" w:customStyle="1" w:styleId="bibissue">
    <w:name w:val="bib_issue"/>
    <w:rsid w:val="00836CBC"/>
    <w:rPr>
      <w:sz w:val="24"/>
      <w:bdr w:val="none" w:sz="0" w:space="0" w:color="auto"/>
      <w:shd w:val="clear" w:color="auto" w:fill="FFFF00"/>
    </w:rPr>
  </w:style>
  <w:style w:type="character" w:customStyle="1" w:styleId="bibjournal">
    <w:name w:val="bib_journal"/>
    <w:rsid w:val="00836CBC"/>
    <w:rPr>
      <w:sz w:val="24"/>
      <w:bdr w:val="none" w:sz="0" w:space="0" w:color="auto"/>
      <w:shd w:val="clear" w:color="auto" w:fill="808000"/>
    </w:rPr>
  </w:style>
  <w:style w:type="character" w:customStyle="1" w:styleId="biblpage">
    <w:name w:val="bib_lpage"/>
    <w:rsid w:val="00836CBC"/>
    <w:rPr>
      <w:sz w:val="24"/>
      <w:bdr w:val="none" w:sz="0" w:space="0" w:color="auto"/>
      <w:shd w:val="clear" w:color="auto" w:fill="808080"/>
    </w:rPr>
  </w:style>
  <w:style w:type="character" w:customStyle="1" w:styleId="bibmedline">
    <w:name w:val="bib_medline"/>
    <w:rsid w:val="00836CBC"/>
    <w:rPr>
      <w:sz w:val="24"/>
    </w:rPr>
  </w:style>
  <w:style w:type="character" w:customStyle="1" w:styleId="bibnumber">
    <w:name w:val="bib_number"/>
    <w:rsid w:val="00836CBC"/>
    <w:rPr>
      <w:sz w:val="24"/>
    </w:rPr>
  </w:style>
  <w:style w:type="character" w:customStyle="1" w:styleId="biborganization">
    <w:name w:val="bib_organization"/>
    <w:rsid w:val="00836CBC"/>
    <w:rPr>
      <w:sz w:val="24"/>
      <w:bdr w:val="none" w:sz="0" w:space="0" w:color="auto"/>
      <w:shd w:val="clear" w:color="auto" w:fill="808000"/>
    </w:rPr>
  </w:style>
  <w:style w:type="character" w:customStyle="1" w:styleId="bibsuffix">
    <w:name w:val="bib_suffix"/>
    <w:rsid w:val="00836CBC"/>
    <w:rPr>
      <w:sz w:val="24"/>
    </w:rPr>
  </w:style>
  <w:style w:type="character" w:customStyle="1" w:styleId="bibsuppl">
    <w:name w:val="bib_suppl"/>
    <w:rsid w:val="00836CBC"/>
    <w:rPr>
      <w:sz w:val="24"/>
      <w:bdr w:val="none" w:sz="0" w:space="0" w:color="auto"/>
      <w:shd w:val="clear" w:color="auto" w:fill="FFFF00"/>
    </w:rPr>
  </w:style>
  <w:style w:type="character" w:customStyle="1" w:styleId="bibsurname">
    <w:name w:val="bib_surname"/>
    <w:rsid w:val="00836CBC"/>
    <w:rPr>
      <w:sz w:val="24"/>
      <w:bdr w:val="none" w:sz="0" w:space="0" w:color="auto"/>
      <w:shd w:val="clear" w:color="auto" w:fill="FFFF00"/>
    </w:rPr>
  </w:style>
  <w:style w:type="character" w:customStyle="1" w:styleId="bibunpubl">
    <w:name w:val="bib_unpubl"/>
    <w:rsid w:val="00836CBC"/>
    <w:rPr>
      <w:sz w:val="24"/>
    </w:rPr>
  </w:style>
  <w:style w:type="character" w:customStyle="1" w:styleId="biburl">
    <w:name w:val="bib_url"/>
    <w:rsid w:val="00836CBC"/>
    <w:rPr>
      <w:sz w:val="24"/>
      <w:bdr w:val="none" w:sz="0" w:space="0" w:color="auto"/>
      <w:shd w:val="clear" w:color="auto" w:fill="00FF00"/>
    </w:rPr>
  </w:style>
  <w:style w:type="character" w:customStyle="1" w:styleId="bibvolume">
    <w:name w:val="bib_volume"/>
    <w:rsid w:val="00836CBC"/>
    <w:rPr>
      <w:sz w:val="24"/>
      <w:bdr w:val="none" w:sz="0" w:space="0" w:color="auto"/>
      <w:shd w:val="clear" w:color="auto" w:fill="00FF00"/>
    </w:rPr>
  </w:style>
  <w:style w:type="character" w:customStyle="1" w:styleId="bibyear">
    <w:name w:val="bib_year"/>
    <w:rsid w:val="00836CBC"/>
    <w:rPr>
      <w:sz w:val="24"/>
      <w:bdr w:val="none" w:sz="0" w:space="0" w:color="auto"/>
      <w:shd w:val="clear" w:color="auto" w:fill="FF00FF"/>
    </w:rPr>
  </w:style>
  <w:style w:type="paragraph" w:customStyle="1" w:styleId="BookorMeetingInformation">
    <w:name w:val="Book or Meeting Information"/>
    <w:basedOn w:val="BaseText"/>
    <w:rsid w:val="00836CBC"/>
  </w:style>
  <w:style w:type="paragraph" w:customStyle="1" w:styleId="BookInformation">
    <w:name w:val="BookInformation"/>
    <w:basedOn w:val="BaseText"/>
    <w:rsid w:val="00836CBC"/>
  </w:style>
  <w:style w:type="paragraph" w:customStyle="1" w:styleId="Level2Head">
    <w:name w:val="Level 2 Head"/>
    <w:basedOn w:val="BaseHeading"/>
    <w:rsid w:val="00836CBC"/>
    <w:pPr>
      <w:outlineLvl w:val="1"/>
    </w:pPr>
    <w:rPr>
      <w:i/>
      <w:iCs/>
      <w:sz w:val="24"/>
      <w:szCs w:val="24"/>
    </w:rPr>
  </w:style>
  <w:style w:type="paragraph" w:customStyle="1" w:styleId="BoxLevel2Head">
    <w:name w:val="BoxLevel 2 Head"/>
    <w:basedOn w:val="Level2Head"/>
    <w:rsid w:val="00836CBC"/>
    <w:pPr>
      <w:shd w:val="clear" w:color="auto" w:fill="E6E6E6"/>
    </w:pPr>
  </w:style>
  <w:style w:type="paragraph" w:customStyle="1" w:styleId="BoxListUnnumbered">
    <w:name w:val="BoxListUnnumbered"/>
    <w:basedOn w:val="BaseText"/>
    <w:rsid w:val="00836CBC"/>
    <w:pPr>
      <w:shd w:val="clear" w:color="auto" w:fill="E6E6E6"/>
      <w:ind w:left="1080" w:hanging="360"/>
    </w:pPr>
  </w:style>
  <w:style w:type="paragraph" w:customStyle="1" w:styleId="BoxList">
    <w:name w:val="BoxList"/>
    <w:basedOn w:val="BoxListUnnumbered"/>
    <w:rsid w:val="00836CBC"/>
  </w:style>
  <w:style w:type="paragraph" w:customStyle="1" w:styleId="BoxSubhead">
    <w:name w:val="BoxSubhead"/>
    <w:basedOn w:val="Subhead"/>
    <w:rsid w:val="00836CBC"/>
    <w:pPr>
      <w:shd w:val="clear" w:color="auto" w:fill="E6E6E6"/>
    </w:pPr>
  </w:style>
  <w:style w:type="paragraph" w:customStyle="1" w:styleId="Paragraph">
    <w:name w:val="Paragraph"/>
    <w:basedOn w:val="BaseText"/>
    <w:rsid w:val="00836CBC"/>
    <w:pPr>
      <w:ind w:firstLine="720"/>
    </w:pPr>
  </w:style>
  <w:style w:type="paragraph" w:customStyle="1" w:styleId="BoxText">
    <w:name w:val="BoxText"/>
    <w:basedOn w:val="Paragraph"/>
    <w:rsid w:val="00836CBC"/>
    <w:pPr>
      <w:shd w:val="clear" w:color="auto" w:fill="E6E6E6"/>
    </w:pPr>
  </w:style>
  <w:style w:type="paragraph" w:customStyle="1" w:styleId="BoxTitle">
    <w:name w:val="BoxTitle"/>
    <w:basedOn w:val="BaseHeading"/>
    <w:rsid w:val="00836CBC"/>
    <w:pPr>
      <w:shd w:val="clear" w:color="auto" w:fill="E6E6E6"/>
    </w:pPr>
    <w:rPr>
      <w:b/>
      <w:sz w:val="24"/>
      <w:szCs w:val="24"/>
    </w:rPr>
  </w:style>
  <w:style w:type="paragraph" w:customStyle="1" w:styleId="BulletedText">
    <w:name w:val="Bulleted Text"/>
    <w:basedOn w:val="BaseText"/>
    <w:rsid w:val="00836CBC"/>
    <w:pPr>
      <w:ind w:left="720" w:hanging="720"/>
    </w:pPr>
  </w:style>
  <w:style w:type="paragraph" w:customStyle="1" w:styleId="career-magazine">
    <w:name w:val="career-magazine"/>
    <w:basedOn w:val="BaseText"/>
    <w:rsid w:val="00836CBC"/>
    <w:pPr>
      <w:jc w:val="right"/>
    </w:pPr>
    <w:rPr>
      <w:color w:val="FF0000"/>
    </w:rPr>
  </w:style>
  <w:style w:type="paragraph" w:customStyle="1" w:styleId="career-stage">
    <w:name w:val="career-stage"/>
    <w:basedOn w:val="BaseText"/>
    <w:rsid w:val="00836CBC"/>
    <w:pPr>
      <w:jc w:val="right"/>
    </w:pPr>
    <w:rPr>
      <w:color w:val="339966"/>
    </w:rPr>
  </w:style>
  <w:style w:type="character" w:customStyle="1" w:styleId="citebase">
    <w:name w:val="cite_base"/>
    <w:rsid w:val="00836CBC"/>
    <w:rPr>
      <w:sz w:val="24"/>
    </w:rPr>
  </w:style>
  <w:style w:type="character" w:customStyle="1" w:styleId="citebib">
    <w:name w:val="cite_bib"/>
    <w:rsid w:val="00836CBC"/>
    <w:rPr>
      <w:sz w:val="24"/>
      <w:bdr w:val="none" w:sz="0" w:space="0" w:color="auto"/>
      <w:shd w:val="clear" w:color="auto" w:fill="00FFFF"/>
    </w:rPr>
  </w:style>
  <w:style w:type="character" w:customStyle="1" w:styleId="citebox">
    <w:name w:val="cite_box"/>
    <w:rsid w:val="00836CBC"/>
    <w:rPr>
      <w:sz w:val="24"/>
    </w:rPr>
  </w:style>
  <w:style w:type="character" w:customStyle="1" w:styleId="citeen">
    <w:name w:val="cite_en"/>
    <w:rsid w:val="00836CBC"/>
    <w:rPr>
      <w:sz w:val="24"/>
      <w:shd w:val="clear" w:color="auto" w:fill="FFFF00"/>
      <w:vertAlign w:val="superscript"/>
    </w:rPr>
  </w:style>
  <w:style w:type="character" w:customStyle="1" w:styleId="citeeq">
    <w:name w:val="cite_eq"/>
    <w:rsid w:val="00836CBC"/>
    <w:rPr>
      <w:sz w:val="24"/>
      <w:bdr w:val="none" w:sz="0" w:space="0" w:color="auto"/>
      <w:shd w:val="clear" w:color="auto" w:fill="FF99CC"/>
    </w:rPr>
  </w:style>
  <w:style w:type="character" w:customStyle="1" w:styleId="citefig">
    <w:name w:val="cite_fig"/>
    <w:rsid w:val="00836CBC"/>
    <w:rPr>
      <w:color w:val="000000"/>
      <w:sz w:val="24"/>
      <w:bdr w:val="none" w:sz="0" w:space="0" w:color="auto"/>
      <w:shd w:val="clear" w:color="auto" w:fill="00FF00"/>
    </w:rPr>
  </w:style>
  <w:style w:type="character" w:customStyle="1" w:styleId="citefn">
    <w:name w:val="cite_fn"/>
    <w:rsid w:val="00836CBC"/>
    <w:rPr>
      <w:sz w:val="24"/>
      <w:bdr w:val="none" w:sz="0" w:space="0" w:color="auto"/>
      <w:shd w:val="clear" w:color="auto" w:fill="FF0000"/>
    </w:rPr>
  </w:style>
  <w:style w:type="character" w:customStyle="1" w:styleId="citetbl">
    <w:name w:val="cite_tbl"/>
    <w:rsid w:val="00836CBC"/>
    <w:rPr>
      <w:color w:val="000000"/>
      <w:sz w:val="24"/>
      <w:bdr w:val="none" w:sz="0" w:space="0" w:color="auto"/>
      <w:shd w:val="clear" w:color="auto" w:fill="FF00FF"/>
    </w:rPr>
  </w:style>
  <w:style w:type="character" w:styleId="af0">
    <w:name w:val="annotation reference"/>
    <w:rsid w:val="00836CBC"/>
    <w:rPr>
      <w:sz w:val="18"/>
      <w:szCs w:val="18"/>
    </w:rPr>
  </w:style>
  <w:style w:type="paragraph" w:styleId="af1">
    <w:name w:val="annotation text"/>
    <w:basedOn w:val="a"/>
    <w:link w:val="af2"/>
    <w:semiHidden/>
    <w:rsid w:val="00836CBC"/>
    <w:rPr>
      <w:rFonts w:eastAsia="Times New Roman"/>
    </w:rPr>
  </w:style>
  <w:style w:type="character" w:customStyle="1" w:styleId="af2">
    <w:name w:val="批注文字 字符"/>
    <w:basedOn w:val="a0"/>
    <w:link w:val="af1"/>
    <w:semiHidden/>
    <w:rsid w:val="00836CBC"/>
    <w:rPr>
      <w:rFonts w:ascii="Times New Roman" w:eastAsia="Times New Roman" w:hAnsi="Times New Roman" w:cs="Times New Roman"/>
      <w:kern w:val="0"/>
      <w:sz w:val="20"/>
      <w:szCs w:val="20"/>
      <w:lang w:eastAsia="en-US"/>
    </w:rPr>
  </w:style>
  <w:style w:type="paragraph" w:styleId="af3">
    <w:name w:val="annotation subject"/>
    <w:basedOn w:val="af1"/>
    <w:next w:val="af1"/>
    <w:link w:val="af4"/>
    <w:uiPriority w:val="99"/>
    <w:semiHidden/>
    <w:unhideWhenUsed/>
    <w:rsid w:val="00836CBC"/>
    <w:rPr>
      <w:b/>
      <w:bCs/>
    </w:rPr>
  </w:style>
  <w:style w:type="character" w:customStyle="1" w:styleId="af4">
    <w:name w:val="批注主题 字符"/>
    <w:basedOn w:val="af2"/>
    <w:link w:val="af3"/>
    <w:uiPriority w:val="99"/>
    <w:semiHidden/>
    <w:rsid w:val="00836CBC"/>
    <w:rPr>
      <w:rFonts w:ascii="Times New Roman" w:eastAsia="Times New Roman" w:hAnsi="Times New Roman" w:cs="Times New Roman"/>
      <w:b/>
      <w:bCs/>
      <w:kern w:val="0"/>
      <w:sz w:val="20"/>
      <w:szCs w:val="20"/>
      <w:lang w:eastAsia="en-US"/>
    </w:rPr>
  </w:style>
  <w:style w:type="paragraph" w:customStyle="1" w:styleId="ContinuedParagraph">
    <w:name w:val="ContinuedParagraph"/>
    <w:basedOn w:val="Paragraph"/>
    <w:rsid w:val="00836CBC"/>
    <w:pPr>
      <w:ind w:firstLine="0"/>
    </w:pPr>
  </w:style>
  <w:style w:type="character" w:customStyle="1" w:styleId="ContractNumber">
    <w:name w:val="Contract Number"/>
    <w:rsid w:val="00836CBC"/>
    <w:rPr>
      <w:sz w:val="24"/>
      <w:szCs w:val="24"/>
      <w:bdr w:val="none" w:sz="0" w:space="0" w:color="auto"/>
      <w:shd w:val="clear" w:color="auto" w:fill="CCFFCC"/>
    </w:rPr>
  </w:style>
  <w:style w:type="character" w:customStyle="1" w:styleId="ContractSponsor">
    <w:name w:val="Contract Sponsor"/>
    <w:rsid w:val="00836CBC"/>
    <w:rPr>
      <w:sz w:val="24"/>
      <w:szCs w:val="24"/>
      <w:bdr w:val="none" w:sz="0" w:space="0" w:color="auto"/>
      <w:shd w:val="clear" w:color="auto" w:fill="FFCC99"/>
    </w:rPr>
  </w:style>
  <w:style w:type="paragraph" w:customStyle="1" w:styleId="Correspondence">
    <w:name w:val="Correspondence"/>
    <w:basedOn w:val="BaseText"/>
    <w:rsid w:val="00836CBC"/>
    <w:pPr>
      <w:spacing w:before="0" w:after="240"/>
    </w:pPr>
  </w:style>
  <w:style w:type="paragraph" w:customStyle="1" w:styleId="DateAccepted">
    <w:name w:val="Date Accepted"/>
    <w:basedOn w:val="BaseText"/>
    <w:rsid w:val="00836CBC"/>
    <w:pPr>
      <w:spacing w:before="360"/>
    </w:pPr>
  </w:style>
  <w:style w:type="paragraph" w:customStyle="1" w:styleId="Deck">
    <w:name w:val="Deck"/>
    <w:basedOn w:val="BaseHeading"/>
    <w:rsid w:val="00836CBC"/>
    <w:pPr>
      <w:outlineLvl w:val="1"/>
    </w:pPr>
  </w:style>
  <w:style w:type="paragraph" w:customStyle="1" w:styleId="DefTerm">
    <w:name w:val="DefTerm"/>
    <w:basedOn w:val="BaseText"/>
    <w:rsid w:val="00836CBC"/>
    <w:pPr>
      <w:ind w:left="720"/>
    </w:pPr>
  </w:style>
  <w:style w:type="paragraph" w:customStyle="1" w:styleId="Definition">
    <w:name w:val="Definition"/>
    <w:basedOn w:val="DefTerm"/>
    <w:rsid w:val="00836CBC"/>
    <w:pPr>
      <w:ind w:left="1080" w:hanging="360"/>
    </w:pPr>
  </w:style>
  <w:style w:type="paragraph" w:customStyle="1" w:styleId="DefListTitle">
    <w:name w:val="DefListTitle"/>
    <w:basedOn w:val="BaseHeading"/>
    <w:rsid w:val="00836CBC"/>
  </w:style>
  <w:style w:type="paragraph" w:customStyle="1" w:styleId="discipline">
    <w:name w:val="discipline"/>
    <w:basedOn w:val="BaseText"/>
    <w:rsid w:val="00836CBC"/>
    <w:pPr>
      <w:jc w:val="right"/>
    </w:pPr>
    <w:rPr>
      <w:color w:val="993366"/>
    </w:rPr>
  </w:style>
  <w:style w:type="paragraph" w:customStyle="1" w:styleId="Editors">
    <w:name w:val="Editors"/>
    <w:basedOn w:val="Authors"/>
    <w:rsid w:val="00836CBC"/>
  </w:style>
  <w:style w:type="character" w:styleId="af5">
    <w:name w:val="Emphasis"/>
    <w:uiPriority w:val="20"/>
    <w:qFormat/>
    <w:rsid w:val="00836CBC"/>
    <w:rPr>
      <w:i/>
      <w:iCs/>
    </w:rPr>
  </w:style>
  <w:style w:type="character" w:styleId="af6">
    <w:name w:val="endnote reference"/>
    <w:semiHidden/>
    <w:rsid w:val="00836CBC"/>
    <w:rPr>
      <w:vertAlign w:val="superscript"/>
    </w:rPr>
  </w:style>
  <w:style w:type="paragraph" w:styleId="af7">
    <w:name w:val="endnote text"/>
    <w:basedOn w:val="a"/>
    <w:link w:val="af8"/>
    <w:semiHidden/>
    <w:rsid w:val="00836CBC"/>
    <w:rPr>
      <w:rFonts w:ascii="Cambria" w:eastAsia="Cambria" w:hAnsi="Cambria"/>
    </w:rPr>
  </w:style>
  <w:style w:type="character" w:customStyle="1" w:styleId="af8">
    <w:name w:val="尾注文本 字符"/>
    <w:basedOn w:val="a0"/>
    <w:link w:val="af7"/>
    <w:semiHidden/>
    <w:rsid w:val="00836CBC"/>
    <w:rPr>
      <w:rFonts w:ascii="Cambria" w:eastAsia="Cambria" w:hAnsi="Cambria" w:cs="Times New Roman"/>
      <w:kern w:val="0"/>
      <w:sz w:val="20"/>
      <w:szCs w:val="20"/>
      <w:lang w:eastAsia="en-US"/>
    </w:rPr>
  </w:style>
  <w:style w:type="character" w:customStyle="1" w:styleId="eqno">
    <w:name w:val="eq_no"/>
    <w:rsid w:val="00836CBC"/>
    <w:rPr>
      <w:sz w:val="24"/>
    </w:rPr>
  </w:style>
  <w:style w:type="paragraph" w:customStyle="1" w:styleId="Equation">
    <w:name w:val="Equation"/>
    <w:basedOn w:val="BaseText"/>
    <w:rsid w:val="00836CBC"/>
    <w:pPr>
      <w:jc w:val="center"/>
    </w:pPr>
  </w:style>
  <w:style w:type="paragraph" w:customStyle="1" w:styleId="FieldCodes">
    <w:name w:val="FieldCodes"/>
    <w:basedOn w:val="BaseText"/>
    <w:rsid w:val="00836CBC"/>
  </w:style>
  <w:style w:type="paragraph" w:customStyle="1" w:styleId="Legend">
    <w:name w:val="Legend"/>
    <w:basedOn w:val="BaseHeading"/>
    <w:rsid w:val="00836CBC"/>
    <w:rPr>
      <w:sz w:val="24"/>
      <w:szCs w:val="24"/>
    </w:rPr>
  </w:style>
  <w:style w:type="paragraph" w:customStyle="1" w:styleId="FigureCopyright">
    <w:name w:val="FigureCopyright"/>
    <w:basedOn w:val="Legend"/>
    <w:rsid w:val="00836CBC"/>
    <w:pPr>
      <w:autoSpaceDE w:val="0"/>
      <w:autoSpaceDN w:val="0"/>
      <w:adjustRightInd w:val="0"/>
      <w:spacing w:before="80"/>
    </w:pPr>
    <w:rPr>
      <w:lang w:bidi="he-IL"/>
    </w:rPr>
  </w:style>
  <w:style w:type="paragraph" w:customStyle="1" w:styleId="FigureCredit">
    <w:name w:val="FigureCredit"/>
    <w:basedOn w:val="FigureCopyright"/>
    <w:rsid w:val="00836CBC"/>
  </w:style>
  <w:style w:type="character" w:styleId="af9">
    <w:name w:val="FollowedHyperlink"/>
    <w:rsid w:val="00836CBC"/>
    <w:rPr>
      <w:color w:val="800080"/>
      <w:u w:val="single"/>
    </w:rPr>
  </w:style>
  <w:style w:type="paragraph" w:styleId="afa">
    <w:name w:val="footer"/>
    <w:basedOn w:val="a"/>
    <w:link w:val="afb"/>
    <w:uiPriority w:val="99"/>
    <w:rsid w:val="00836CBC"/>
    <w:pPr>
      <w:tabs>
        <w:tab w:val="center" w:pos="4320"/>
        <w:tab w:val="right" w:pos="8640"/>
      </w:tabs>
    </w:pPr>
    <w:rPr>
      <w:rFonts w:eastAsia="Times New Roman"/>
    </w:rPr>
  </w:style>
  <w:style w:type="character" w:customStyle="1" w:styleId="afb">
    <w:name w:val="页脚 字符"/>
    <w:basedOn w:val="a0"/>
    <w:link w:val="afa"/>
    <w:uiPriority w:val="99"/>
    <w:rsid w:val="00836CBC"/>
    <w:rPr>
      <w:rFonts w:ascii="Times New Roman" w:eastAsia="Times New Roman" w:hAnsi="Times New Roman" w:cs="Times New Roman"/>
      <w:kern w:val="0"/>
      <w:sz w:val="20"/>
      <w:szCs w:val="20"/>
      <w:lang w:eastAsia="en-US"/>
    </w:rPr>
  </w:style>
  <w:style w:type="character" w:styleId="afc">
    <w:name w:val="footnote reference"/>
    <w:semiHidden/>
    <w:rsid w:val="00836CBC"/>
    <w:rPr>
      <w:vertAlign w:val="superscript"/>
    </w:rPr>
  </w:style>
  <w:style w:type="paragraph" w:customStyle="1" w:styleId="Gloss">
    <w:name w:val="Gloss"/>
    <w:basedOn w:val="AbstractSummary"/>
    <w:rsid w:val="00836CBC"/>
  </w:style>
  <w:style w:type="paragraph" w:customStyle="1" w:styleId="Glossary">
    <w:name w:val="Glossary"/>
    <w:basedOn w:val="BaseText"/>
    <w:rsid w:val="00836CBC"/>
  </w:style>
  <w:style w:type="paragraph" w:customStyle="1" w:styleId="GlossHead">
    <w:name w:val="GlossHead"/>
    <w:basedOn w:val="AbstractHead"/>
    <w:rsid w:val="00836CBC"/>
  </w:style>
  <w:style w:type="paragraph" w:customStyle="1" w:styleId="GraphicAltText">
    <w:name w:val="GraphicAltText"/>
    <w:basedOn w:val="Legend"/>
    <w:rsid w:val="00836CBC"/>
    <w:pPr>
      <w:autoSpaceDE w:val="0"/>
      <w:autoSpaceDN w:val="0"/>
      <w:adjustRightInd w:val="0"/>
    </w:pPr>
  </w:style>
  <w:style w:type="paragraph" w:customStyle="1" w:styleId="GraphicCredit">
    <w:name w:val="GraphicCredit"/>
    <w:basedOn w:val="FigureCredit"/>
    <w:rsid w:val="00836CBC"/>
  </w:style>
  <w:style w:type="paragraph" w:customStyle="1" w:styleId="Head">
    <w:name w:val="Head"/>
    <w:basedOn w:val="BaseHeading"/>
    <w:rsid w:val="00836CBC"/>
    <w:pPr>
      <w:spacing w:before="120" w:after="120"/>
      <w:jc w:val="center"/>
    </w:pPr>
    <w:rPr>
      <w:b/>
      <w:bCs/>
    </w:rPr>
  </w:style>
  <w:style w:type="paragraph" w:styleId="afd">
    <w:name w:val="header"/>
    <w:basedOn w:val="a"/>
    <w:link w:val="afe"/>
    <w:rsid w:val="00836CBC"/>
    <w:pPr>
      <w:tabs>
        <w:tab w:val="center" w:pos="4320"/>
        <w:tab w:val="right" w:pos="8640"/>
      </w:tabs>
    </w:pPr>
    <w:rPr>
      <w:rFonts w:eastAsia="Times New Roman"/>
    </w:rPr>
  </w:style>
  <w:style w:type="character" w:customStyle="1" w:styleId="afe">
    <w:name w:val="页眉 字符"/>
    <w:basedOn w:val="a0"/>
    <w:link w:val="afd"/>
    <w:rsid w:val="00836CBC"/>
    <w:rPr>
      <w:rFonts w:ascii="Times New Roman" w:eastAsia="Times New Roman" w:hAnsi="Times New Roman" w:cs="Times New Roman"/>
      <w:kern w:val="0"/>
      <w:sz w:val="20"/>
      <w:szCs w:val="20"/>
      <w:lang w:eastAsia="en-US"/>
    </w:rPr>
  </w:style>
  <w:style w:type="character" w:styleId="HTML">
    <w:name w:val="HTML Acronym"/>
    <w:basedOn w:val="a0"/>
    <w:rsid w:val="00836CBC"/>
  </w:style>
  <w:style w:type="character" w:styleId="HTML0">
    <w:name w:val="HTML Cite"/>
    <w:rsid w:val="00836CBC"/>
    <w:rPr>
      <w:i/>
      <w:iCs/>
    </w:rPr>
  </w:style>
  <w:style w:type="character" w:styleId="HTML1">
    <w:name w:val="HTML Code"/>
    <w:rsid w:val="00836CBC"/>
    <w:rPr>
      <w:rFonts w:ascii="Courier New" w:hAnsi="Courier New" w:cs="Courier New"/>
      <w:sz w:val="20"/>
      <w:szCs w:val="20"/>
    </w:rPr>
  </w:style>
  <w:style w:type="character" w:styleId="HTML2">
    <w:name w:val="HTML Definition"/>
    <w:rsid w:val="00836CBC"/>
    <w:rPr>
      <w:i/>
      <w:iCs/>
    </w:rPr>
  </w:style>
  <w:style w:type="character" w:styleId="HTML3">
    <w:name w:val="HTML Keyboard"/>
    <w:rsid w:val="00836CBC"/>
    <w:rPr>
      <w:rFonts w:ascii="Courier New" w:hAnsi="Courier New" w:cs="Courier New"/>
      <w:sz w:val="20"/>
      <w:szCs w:val="20"/>
    </w:rPr>
  </w:style>
  <w:style w:type="paragraph" w:styleId="HTML4">
    <w:name w:val="HTML Preformatted"/>
    <w:basedOn w:val="a"/>
    <w:link w:val="HTML5"/>
    <w:rsid w:val="00836CBC"/>
    <w:rPr>
      <w:rFonts w:ascii="Consolas" w:eastAsia="Times New Roman" w:hAnsi="Consolas"/>
    </w:rPr>
  </w:style>
  <w:style w:type="character" w:customStyle="1" w:styleId="HTML5">
    <w:name w:val="HTML 预设格式 字符"/>
    <w:basedOn w:val="a0"/>
    <w:link w:val="HTML4"/>
    <w:rsid w:val="00836CBC"/>
    <w:rPr>
      <w:rFonts w:ascii="Consolas" w:eastAsia="Times New Roman" w:hAnsi="Consolas" w:cs="Times New Roman"/>
      <w:kern w:val="0"/>
      <w:sz w:val="20"/>
      <w:szCs w:val="20"/>
      <w:lang w:eastAsia="en-US"/>
    </w:rPr>
  </w:style>
  <w:style w:type="character" w:styleId="HTML6">
    <w:name w:val="HTML Sample"/>
    <w:rsid w:val="00836CBC"/>
    <w:rPr>
      <w:rFonts w:ascii="Courier New" w:hAnsi="Courier New" w:cs="Courier New"/>
    </w:rPr>
  </w:style>
  <w:style w:type="character" w:styleId="HTML7">
    <w:name w:val="HTML Typewriter"/>
    <w:rsid w:val="00836CBC"/>
    <w:rPr>
      <w:rFonts w:ascii="Courier New" w:hAnsi="Courier New" w:cs="Courier New"/>
      <w:sz w:val="20"/>
      <w:szCs w:val="20"/>
    </w:rPr>
  </w:style>
  <w:style w:type="character" w:styleId="HTML8">
    <w:name w:val="HTML Variable"/>
    <w:rsid w:val="00836CBC"/>
    <w:rPr>
      <w:i/>
      <w:iCs/>
    </w:rPr>
  </w:style>
  <w:style w:type="character" w:styleId="aff">
    <w:name w:val="Hyperlink"/>
    <w:uiPriority w:val="99"/>
    <w:rsid w:val="00836CBC"/>
    <w:rPr>
      <w:color w:val="0000FF"/>
      <w:u w:val="single"/>
    </w:rPr>
  </w:style>
  <w:style w:type="paragraph" w:customStyle="1" w:styleId="InstructionsText">
    <w:name w:val="Instructions Text"/>
    <w:basedOn w:val="BaseText"/>
    <w:rsid w:val="00836CBC"/>
  </w:style>
  <w:style w:type="paragraph" w:customStyle="1" w:styleId="Overline">
    <w:name w:val="Overline"/>
    <w:basedOn w:val="BaseText"/>
    <w:rsid w:val="00836CBC"/>
  </w:style>
  <w:style w:type="paragraph" w:customStyle="1" w:styleId="IssueName">
    <w:name w:val="IssueName"/>
    <w:basedOn w:val="Overline"/>
    <w:rsid w:val="00836CBC"/>
  </w:style>
  <w:style w:type="paragraph" w:customStyle="1" w:styleId="Keywords">
    <w:name w:val="Keywords"/>
    <w:basedOn w:val="BaseText"/>
    <w:rsid w:val="00836CBC"/>
  </w:style>
  <w:style w:type="paragraph" w:customStyle="1" w:styleId="Level3Head">
    <w:name w:val="Level 3 Head"/>
    <w:basedOn w:val="BaseHeading"/>
    <w:rsid w:val="00836CBC"/>
    <w:pPr>
      <w:outlineLvl w:val="2"/>
    </w:pPr>
    <w:rPr>
      <w:sz w:val="24"/>
      <w:szCs w:val="24"/>
      <w:u w:val="single"/>
    </w:rPr>
  </w:style>
  <w:style w:type="paragraph" w:customStyle="1" w:styleId="Level4Head">
    <w:name w:val="Level 4 Head"/>
    <w:basedOn w:val="BaseHeading"/>
    <w:rsid w:val="00836CBC"/>
    <w:pPr>
      <w:ind w:left="346"/>
    </w:pPr>
    <w:rPr>
      <w:sz w:val="24"/>
      <w:szCs w:val="24"/>
    </w:rPr>
  </w:style>
  <w:style w:type="character" w:styleId="aff0">
    <w:name w:val="line number"/>
    <w:basedOn w:val="a0"/>
    <w:rsid w:val="00836CBC"/>
  </w:style>
  <w:style w:type="paragraph" w:customStyle="1" w:styleId="Literaryquote">
    <w:name w:val="Literary quote"/>
    <w:basedOn w:val="BaseText"/>
    <w:rsid w:val="00836CBC"/>
    <w:pPr>
      <w:ind w:left="1440" w:right="1440"/>
    </w:pPr>
  </w:style>
  <w:style w:type="paragraph" w:customStyle="1" w:styleId="MaterialsText">
    <w:name w:val="Materials Text"/>
    <w:basedOn w:val="BaseText"/>
    <w:rsid w:val="00836CBC"/>
  </w:style>
  <w:style w:type="paragraph" w:customStyle="1" w:styleId="NoteInProof">
    <w:name w:val="NoteInProof"/>
    <w:basedOn w:val="BaseText"/>
    <w:rsid w:val="00836CBC"/>
  </w:style>
  <w:style w:type="paragraph" w:customStyle="1" w:styleId="Notes">
    <w:name w:val="Notes"/>
    <w:basedOn w:val="BaseText"/>
    <w:rsid w:val="00836CBC"/>
    <w:rPr>
      <w:i/>
    </w:rPr>
  </w:style>
  <w:style w:type="paragraph" w:customStyle="1" w:styleId="Notes-Helvetica">
    <w:name w:val="Notes-Helvetica"/>
    <w:basedOn w:val="BaseText"/>
    <w:rsid w:val="00836CBC"/>
    <w:rPr>
      <w:i/>
    </w:rPr>
  </w:style>
  <w:style w:type="paragraph" w:customStyle="1" w:styleId="NumberedInstructions">
    <w:name w:val="Numbered Instructions"/>
    <w:basedOn w:val="BaseText"/>
    <w:rsid w:val="00836CBC"/>
  </w:style>
  <w:style w:type="paragraph" w:customStyle="1" w:styleId="OutlineLevel1">
    <w:name w:val="OutlineLevel1"/>
    <w:basedOn w:val="BaseHeading"/>
    <w:rsid w:val="00836CBC"/>
    <w:rPr>
      <w:b/>
      <w:bCs/>
    </w:rPr>
  </w:style>
  <w:style w:type="paragraph" w:customStyle="1" w:styleId="OutlineLevel2">
    <w:name w:val="OutlineLevel2"/>
    <w:basedOn w:val="BaseHeading"/>
    <w:rsid w:val="00836CBC"/>
    <w:pPr>
      <w:ind w:left="360"/>
      <w:outlineLvl w:val="1"/>
    </w:pPr>
    <w:rPr>
      <w:b/>
      <w:bCs/>
      <w:sz w:val="24"/>
      <w:szCs w:val="24"/>
    </w:rPr>
  </w:style>
  <w:style w:type="paragraph" w:customStyle="1" w:styleId="OutlineLevel3">
    <w:name w:val="OutlineLevel3"/>
    <w:basedOn w:val="BaseHeading"/>
    <w:rsid w:val="00836CBC"/>
    <w:pPr>
      <w:ind w:left="720"/>
      <w:outlineLvl w:val="2"/>
    </w:pPr>
    <w:rPr>
      <w:b/>
      <w:bCs/>
      <w:sz w:val="24"/>
      <w:szCs w:val="24"/>
    </w:rPr>
  </w:style>
  <w:style w:type="character" w:styleId="aff1">
    <w:name w:val="page number"/>
    <w:basedOn w:val="a0"/>
    <w:rsid w:val="00836CBC"/>
  </w:style>
  <w:style w:type="paragraph" w:customStyle="1" w:styleId="Preformat">
    <w:name w:val="Preformat"/>
    <w:basedOn w:val="BaseText"/>
    <w:rsid w:val="00836CBC"/>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836CBC"/>
  </w:style>
  <w:style w:type="paragraph" w:customStyle="1" w:styleId="ProductInformation">
    <w:name w:val="ProductInformation"/>
    <w:basedOn w:val="BaseText"/>
    <w:rsid w:val="00836CBC"/>
  </w:style>
  <w:style w:type="paragraph" w:customStyle="1" w:styleId="ProductTitle">
    <w:name w:val="ProductTitle"/>
    <w:basedOn w:val="BaseText"/>
    <w:rsid w:val="00836CBC"/>
    <w:rPr>
      <w:b/>
      <w:bCs/>
    </w:rPr>
  </w:style>
  <w:style w:type="paragraph" w:customStyle="1" w:styleId="PublishedOnline">
    <w:name w:val="Published Online"/>
    <w:basedOn w:val="DateAccepted"/>
    <w:rsid w:val="00836CBC"/>
  </w:style>
  <w:style w:type="paragraph" w:customStyle="1" w:styleId="RecipeMaterials">
    <w:name w:val="Recipe Materials"/>
    <w:basedOn w:val="BaseText"/>
    <w:rsid w:val="00836CBC"/>
  </w:style>
  <w:style w:type="paragraph" w:customStyle="1" w:styleId="Refhead">
    <w:name w:val="Ref head"/>
    <w:basedOn w:val="BaseHeading"/>
    <w:rsid w:val="00836CBC"/>
    <w:pPr>
      <w:spacing w:before="120" w:after="120"/>
    </w:pPr>
    <w:rPr>
      <w:b/>
      <w:bCs/>
      <w:sz w:val="24"/>
      <w:szCs w:val="24"/>
    </w:rPr>
  </w:style>
  <w:style w:type="paragraph" w:customStyle="1" w:styleId="ReferenceNote">
    <w:name w:val="Reference Note"/>
    <w:basedOn w:val="Referencesandnotes"/>
    <w:rsid w:val="00836CBC"/>
  </w:style>
  <w:style w:type="paragraph" w:customStyle="1" w:styleId="ReferencesandnotesLong">
    <w:name w:val="References and notes Long"/>
    <w:basedOn w:val="BaseText"/>
    <w:rsid w:val="00836CBC"/>
    <w:pPr>
      <w:ind w:left="720" w:hanging="720"/>
    </w:pPr>
  </w:style>
  <w:style w:type="paragraph" w:customStyle="1" w:styleId="region">
    <w:name w:val="region"/>
    <w:basedOn w:val="BaseText"/>
    <w:rsid w:val="00836CBC"/>
    <w:pPr>
      <w:jc w:val="right"/>
    </w:pPr>
    <w:rPr>
      <w:color w:val="0000FF"/>
    </w:rPr>
  </w:style>
  <w:style w:type="paragraph" w:customStyle="1" w:styleId="RelatedArticle">
    <w:name w:val="RelatedArticle"/>
    <w:basedOn w:val="Referencesandnotes"/>
    <w:rsid w:val="00836CBC"/>
  </w:style>
  <w:style w:type="paragraph" w:customStyle="1" w:styleId="RunHead">
    <w:name w:val="RunHead"/>
    <w:basedOn w:val="BaseText"/>
    <w:rsid w:val="00836CBC"/>
  </w:style>
  <w:style w:type="paragraph" w:customStyle="1" w:styleId="SOMContent">
    <w:name w:val="SOMContent"/>
    <w:basedOn w:val="1stparatext"/>
    <w:rsid w:val="00836CBC"/>
  </w:style>
  <w:style w:type="paragraph" w:customStyle="1" w:styleId="SOMHead">
    <w:name w:val="SOMHead"/>
    <w:basedOn w:val="BaseHeading"/>
    <w:rsid w:val="00836CBC"/>
    <w:rPr>
      <w:b/>
      <w:sz w:val="24"/>
      <w:szCs w:val="24"/>
    </w:rPr>
  </w:style>
  <w:style w:type="paragraph" w:customStyle="1" w:styleId="Speaker">
    <w:name w:val="Speaker"/>
    <w:basedOn w:val="Paragraph"/>
    <w:rsid w:val="00836CBC"/>
    <w:pPr>
      <w:autoSpaceDE w:val="0"/>
      <w:autoSpaceDN w:val="0"/>
      <w:adjustRightInd w:val="0"/>
    </w:pPr>
    <w:rPr>
      <w:b/>
      <w:lang w:bidi="he-IL"/>
    </w:rPr>
  </w:style>
  <w:style w:type="paragraph" w:customStyle="1" w:styleId="Speech">
    <w:name w:val="Speech"/>
    <w:basedOn w:val="Paragraph"/>
    <w:rsid w:val="00836CBC"/>
    <w:pPr>
      <w:autoSpaceDE w:val="0"/>
      <w:autoSpaceDN w:val="0"/>
      <w:adjustRightInd w:val="0"/>
    </w:pPr>
    <w:rPr>
      <w:lang w:bidi="he-IL"/>
    </w:rPr>
  </w:style>
  <w:style w:type="character" w:styleId="aff2">
    <w:name w:val="Strong"/>
    <w:uiPriority w:val="22"/>
    <w:qFormat/>
    <w:rsid w:val="00836CBC"/>
    <w:rPr>
      <w:b/>
      <w:bCs/>
    </w:rPr>
  </w:style>
  <w:style w:type="paragraph" w:customStyle="1" w:styleId="SX-Abstract">
    <w:name w:val="SX-Abstract"/>
    <w:basedOn w:val="a"/>
    <w:qFormat/>
    <w:rsid w:val="00836CBC"/>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a"/>
    <w:next w:val="a"/>
    <w:qFormat/>
    <w:rsid w:val="00836CBC"/>
    <w:pPr>
      <w:spacing w:after="160" w:line="190" w:lineRule="exact"/>
    </w:pPr>
    <w:rPr>
      <w:rFonts w:ascii="BlissRegular" w:eastAsia="Times New Roman" w:hAnsi="BlissRegular"/>
      <w:sz w:val="16"/>
    </w:rPr>
  </w:style>
  <w:style w:type="paragraph" w:customStyle="1" w:styleId="SX-Articlehead">
    <w:name w:val="SX-Article head"/>
    <w:basedOn w:val="a"/>
    <w:qFormat/>
    <w:rsid w:val="00836CBC"/>
    <w:pPr>
      <w:spacing w:before="210" w:line="210" w:lineRule="exact"/>
      <w:ind w:firstLine="288"/>
      <w:jc w:val="both"/>
    </w:pPr>
    <w:rPr>
      <w:rFonts w:eastAsia="Times New Roman"/>
      <w:b/>
      <w:sz w:val="18"/>
    </w:rPr>
  </w:style>
  <w:style w:type="paragraph" w:customStyle="1" w:styleId="SX-Authornames">
    <w:name w:val="SX-Author names"/>
    <w:basedOn w:val="a"/>
    <w:rsid w:val="00836CBC"/>
    <w:pPr>
      <w:spacing w:after="120" w:line="210" w:lineRule="exact"/>
    </w:pPr>
    <w:rPr>
      <w:rFonts w:ascii="BlissMedium" w:eastAsia="Times New Roman" w:hAnsi="BlissMedium"/>
    </w:rPr>
  </w:style>
  <w:style w:type="paragraph" w:customStyle="1" w:styleId="SX-Bodytext">
    <w:name w:val="SX-Body text"/>
    <w:basedOn w:val="a"/>
    <w:next w:val="a"/>
    <w:rsid w:val="00836CBC"/>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836CBC"/>
    <w:pPr>
      <w:ind w:firstLine="0"/>
    </w:pPr>
  </w:style>
  <w:style w:type="paragraph" w:customStyle="1" w:styleId="SX-Correspondence">
    <w:name w:val="SX-Correspondence"/>
    <w:basedOn w:val="SX-Affiliation"/>
    <w:qFormat/>
    <w:rsid w:val="00836CBC"/>
    <w:pPr>
      <w:spacing w:after="80"/>
    </w:pPr>
  </w:style>
  <w:style w:type="paragraph" w:customStyle="1" w:styleId="SX-Date">
    <w:name w:val="SX-Date"/>
    <w:basedOn w:val="a"/>
    <w:qFormat/>
    <w:rsid w:val="00836CBC"/>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836CBC"/>
    <w:pPr>
      <w:autoSpaceDE w:val="0"/>
      <w:autoSpaceDN w:val="0"/>
      <w:adjustRightInd w:val="0"/>
      <w:spacing w:line="240" w:lineRule="auto"/>
      <w:jc w:val="center"/>
    </w:pPr>
  </w:style>
  <w:style w:type="paragraph" w:customStyle="1" w:styleId="SX-Legend">
    <w:name w:val="SX-Legend"/>
    <w:basedOn w:val="SX-Authornames"/>
    <w:rsid w:val="00836CBC"/>
    <w:pPr>
      <w:jc w:val="both"/>
    </w:pPr>
    <w:rPr>
      <w:sz w:val="18"/>
    </w:rPr>
  </w:style>
  <w:style w:type="paragraph" w:customStyle="1" w:styleId="SX-References">
    <w:name w:val="SX-References"/>
    <w:basedOn w:val="a"/>
    <w:rsid w:val="00836CBC"/>
    <w:pPr>
      <w:spacing w:line="190" w:lineRule="exact"/>
      <w:ind w:left="245" w:hanging="245"/>
      <w:jc w:val="both"/>
    </w:pPr>
    <w:rPr>
      <w:rFonts w:eastAsia="Times New Roman"/>
      <w:sz w:val="16"/>
    </w:rPr>
  </w:style>
  <w:style w:type="paragraph" w:customStyle="1" w:styleId="SX-RefHead">
    <w:name w:val="SX-RefHead"/>
    <w:basedOn w:val="a"/>
    <w:rsid w:val="00836CBC"/>
    <w:pPr>
      <w:spacing w:before="200" w:line="190" w:lineRule="exact"/>
    </w:pPr>
    <w:rPr>
      <w:rFonts w:eastAsia="Times New Roman"/>
      <w:b/>
      <w:sz w:val="16"/>
    </w:rPr>
  </w:style>
  <w:style w:type="character" w:customStyle="1" w:styleId="SX-reflink">
    <w:name w:val="SX-reflink"/>
    <w:uiPriority w:val="1"/>
    <w:qFormat/>
    <w:rsid w:val="00836CBC"/>
    <w:rPr>
      <w:color w:val="0000FF"/>
      <w:sz w:val="16"/>
      <w:u w:val="words"/>
      <w:bdr w:val="none" w:sz="0" w:space="0" w:color="auto"/>
      <w:shd w:val="clear" w:color="auto" w:fill="FFFFFF"/>
    </w:rPr>
  </w:style>
  <w:style w:type="paragraph" w:customStyle="1" w:styleId="SX-SOMHead">
    <w:name w:val="SX-SOMHead"/>
    <w:basedOn w:val="SX-RefHead"/>
    <w:rsid w:val="00836CBC"/>
  </w:style>
  <w:style w:type="paragraph" w:customStyle="1" w:styleId="SX-Tablehead">
    <w:name w:val="SX-Tablehead"/>
    <w:basedOn w:val="a"/>
    <w:qFormat/>
    <w:rsid w:val="00836CBC"/>
    <w:rPr>
      <w:rFonts w:eastAsia="Times New Roman"/>
      <w:szCs w:val="24"/>
    </w:rPr>
  </w:style>
  <w:style w:type="paragraph" w:customStyle="1" w:styleId="SX-Tablelegend">
    <w:name w:val="SX-Tablelegend"/>
    <w:basedOn w:val="a"/>
    <w:qFormat/>
    <w:rsid w:val="00836CBC"/>
    <w:pPr>
      <w:spacing w:line="190" w:lineRule="exact"/>
      <w:ind w:left="245" w:hanging="245"/>
      <w:jc w:val="both"/>
    </w:pPr>
    <w:rPr>
      <w:rFonts w:eastAsia="Times New Roman"/>
      <w:sz w:val="16"/>
    </w:rPr>
  </w:style>
  <w:style w:type="paragraph" w:customStyle="1" w:styleId="SX-Tabletext">
    <w:name w:val="SX-Tabletext"/>
    <w:basedOn w:val="a"/>
    <w:qFormat/>
    <w:rsid w:val="00836CBC"/>
    <w:pPr>
      <w:spacing w:line="210" w:lineRule="exact"/>
      <w:jc w:val="center"/>
    </w:pPr>
    <w:rPr>
      <w:rFonts w:eastAsia="Times New Roman"/>
      <w:sz w:val="18"/>
    </w:rPr>
  </w:style>
  <w:style w:type="paragraph" w:customStyle="1" w:styleId="SX-Tabletitle">
    <w:name w:val="SX-Tabletitle"/>
    <w:basedOn w:val="a"/>
    <w:qFormat/>
    <w:rsid w:val="00836CBC"/>
    <w:pPr>
      <w:spacing w:after="120" w:line="210" w:lineRule="exact"/>
      <w:jc w:val="both"/>
    </w:pPr>
    <w:rPr>
      <w:rFonts w:ascii="BlissMedium" w:eastAsia="Times New Roman" w:hAnsi="BlissMedium"/>
      <w:sz w:val="18"/>
    </w:rPr>
  </w:style>
  <w:style w:type="paragraph" w:customStyle="1" w:styleId="SX-Title">
    <w:name w:val="SX-Title"/>
    <w:basedOn w:val="a"/>
    <w:rsid w:val="00836CBC"/>
    <w:pPr>
      <w:spacing w:after="240" w:line="500" w:lineRule="exact"/>
    </w:pPr>
    <w:rPr>
      <w:rFonts w:ascii="BlissBold" w:eastAsia="Times New Roman" w:hAnsi="BlissBold"/>
      <w:b/>
      <w:sz w:val="44"/>
    </w:rPr>
  </w:style>
  <w:style w:type="paragraph" w:customStyle="1" w:styleId="Tablecolumnhead">
    <w:name w:val="Table column head"/>
    <w:basedOn w:val="BaseText"/>
    <w:rsid w:val="00836CBC"/>
    <w:pPr>
      <w:spacing w:before="0"/>
    </w:pPr>
  </w:style>
  <w:style w:type="paragraph" w:customStyle="1" w:styleId="Tabletext">
    <w:name w:val="Table text"/>
    <w:basedOn w:val="BaseText"/>
    <w:rsid w:val="00836CBC"/>
    <w:pPr>
      <w:spacing w:before="0"/>
    </w:pPr>
  </w:style>
  <w:style w:type="paragraph" w:customStyle="1" w:styleId="TableLegend">
    <w:name w:val="TableLegend"/>
    <w:basedOn w:val="BaseText"/>
    <w:rsid w:val="00836CBC"/>
    <w:pPr>
      <w:spacing w:before="0"/>
    </w:pPr>
  </w:style>
  <w:style w:type="paragraph" w:customStyle="1" w:styleId="TableTitle">
    <w:name w:val="TableTitle"/>
    <w:basedOn w:val="BaseHeading"/>
    <w:rsid w:val="00836CBC"/>
  </w:style>
  <w:style w:type="paragraph" w:customStyle="1" w:styleId="Teaser">
    <w:name w:val="Teaser"/>
    <w:basedOn w:val="BaseText"/>
    <w:rsid w:val="00836CBC"/>
  </w:style>
  <w:style w:type="paragraph" w:customStyle="1" w:styleId="TWIS">
    <w:name w:val="TWIS"/>
    <w:basedOn w:val="AbstractSummary"/>
    <w:rsid w:val="00836CBC"/>
    <w:pPr>
      <w:autoSpaceDE w:val="0"/>
      <w:autoSpaceDN w:val="0"/>
      <w:adjustRightInd w:val="0"/>
    </w:pPr>
  </w:style>
  <w:style w:type="paragraph" w:customStyle="1" w:styleId="TWISorEC">
    <w:name w:val="TWIS or EC"/>
    <w:basedOn w:val="a"/>
    <w:rsid w:val="00836CBC"/>
    <w:pPr>
      <w:spacing w:line="210" w:lineRule="exact"/>
    </w:pPr>
    <w:rPr>
      <w:rFonts w:ascii="BlissRegular" w:eastAsia="Times New Roman" w:hAnsi="BlissRegular"/>
      <w:sz w:val="19"/>
    </w:rPr>
  </w:style>
  <w:style w:type="paragraph" w:customStyle="1" w:styleId="work-sector">
    <w:name w:val="work-sector"/>
    <w:basedOn w:val="BaseText"/>
    <w:rsid w:val="00836CBC"/>
    <w:pPr>
      <w:jc w:val="right"/>
    </w:pPr>
    <w:rPr>
      <w:color w:val="003300"/>
    </w:rPr>
  </w:style>
  <w:style w:type="paragraph" w:customStyle="1" w:styleId="DOI">
    <w:name w:val="DOI"/>
    <w:basedOn w:val="DateAccepted"/>
    <w:qFormat/>
    <w:rsid w:val="00836CBC"/>
  </w:style>
  <w:style w:type="character" w:customStyle="1" w:styleId="custom-cit-author">
    <w:name w:val="custom-cit-author"/>
    <w:basedOn w:val="a0"/>
    <w:rsid w:val="00836CBC"/>
  </w:style>
  <w:style w:type="character" w:customStyle="1" w:styleId="custom-cit-title">
    <w:name w:val="custom-cit-title"/>
    <w:basedOn w:val="a0"/>
    <w:rsid w:val="00836CBC"/>
  </w:style>
  <w:style w:type="character" w:customStyle="1" w:styleId="custom-cit-jour-title">
    <w:name w:val="custom-cit-jour-title"/>
    <w:basedOn w:val="a0"/>
    <w:rsid w:val="00836CBC"/>
  </w:style>
  <w:style w:type="character" w:customStyle="1" w:styleId="custom-cit-volume">
    <w:name w:val="custom-cit-volume"/>
    <w:basedOn w:val="a0"/>
    <w:rsid w:val="00836CBC"/>
  </w:style>
  <w:style w:type="character" w:customStyle="1" w:styleId="custom-cit-volume-sep">
    <w:name w:val="custom-cit-volume-sep"/>
    <w:basedOn w:val="a0"/>
    <w:rsid w:val="00836CBC"/>
  </w:style>
  <w:style w:type="character" w:customStyle="1" w:styleId="custom-cit-fpage">
    <w:name w:val="custom-cit-fpage"/>
    <w:basedOn w:val="a0"/>
    <w:rsid w:val="00836CBC"/>
  </w:style>
  <w:style w:type="character" w:customStyle="1" w:styleId="custom-cit-date">
    <w:name w:val="custom-cit-date"/>
    <w:basedOn w:val="a0"/>
    <w:rsid w:val="00836CBC"/>
  </w:style>
  <w:style w:type="paragraph" w:customStyle="1" w:styleId="MediumList2-Accent21">
    <w:name w:val="Medium List 2 - Accent 21"/>
    <w:hidden/>
    <w:uiPriority w:val="99"/>
    <w:semiHidden/>
    <w:rsid w:val="00836CBC"/>
    <w:rPr>
      <w:rFonts w:ascii="Times New Roman" w:hAnsi="Times New Roman" w:cs="Times New Roman"/>
      <w:kern w:val="0"/>
      <w:sz w:val="20"/>
      <w:szCs w:val="20"/>
      <w:lang w:eastAsia="en-US"/>
    </w:rPr>
  </w:style>
  <w:style w:type="table" w:styleId="aff3">
    <w:name w:val="Table Grid"/>
    <w:basedOn w:val="a1"/>
    <w:uiPriority w:val="39"/>
    <w:rsid w:val="00836CBC"/>
    <w:rPr>
      <w:rFonts w:ascii="Times" w:eastAsia="Times New Roman" w:hAnsi="Times"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Unresolved Mention"/>
    <w:basedOn w:val="a0"/>
    <w:uiPriority w:val="99"/>
    <w:semiHidden/>
    <w:unhideWhenUsed/>
    <w:rsid w:val="00836CBC"/>
    <w:rPr>
      <w:color w:val="605E5C"/>
      <w:shd w:val="clear" w:color="auto" w:fill="E1DFDD"/>
    </w:rPr>
  </w:style>
  <w:style w:type="paragraph" w:styleId="aff5">
    <w:name w:val="Normal (Web)"/>
    <w:basedOn w:val="a"/>
    <w:uiPriority w:val="99"/>
    <w:unhideWhenUsed/>
    <w:rsid w:val="00836CBC"/>
    <w:pPr>
      <w:spacing w:before="100" w:beforeAutospacing="1" w:after="100" w:afterAutospacing="1"/>
    </w:pPr>
    <w:rPr>
      <w:rFonts w:ascii="宋体" w:eastAsia="宋体" w:hAnsi="宋体" w:cs="宋体"/>
      <w:sz w:val="24"/>
      <w:szCs w:val="24"/>
      <w:lang w:eastAsia="zh-CN"/>
    </w:rPr>
  </w:style>
  <w:style w:type="paragraph" w:customStyle="1" w:styleId="EndNoteBibliographyTitle">
    <w:name w:val="EndNote Bibliography Title"/>
    <w:basedOn w:val="a"/>
    <w:link w:val="EndNoteBibliographyTitle0"/>
    <w:rsid w:val="00836CBC"/>
    <w:pPr>
      <w:jc w:val="center"/>
    </w:pPr>
    <w:rPr>
      <w:noProof/>
      <w:sz w:val="24"/>
    </w:rPr>
  </w:style>
  <w:style w:type="character" w:customStyle="1" w:styleId="EndNoteBibliographyTitle0">
    <w:name w:val="EndNote Bibliography Title 字符"/>
    <w:basedOn w:val="a0"/>
    <w:link w:val="EndNoteBibliographyTitle"/>
    <w:rsid w:val="00836CBC"/>
    <w:rPr>
      <w:rFonts w:ascii="Times New Roman" w:hAnsi="Times New Roman" w:cs="Times New Roman"/>
      <w:noProof/>
      <w:kern w:val="0"/>
      <w:sz w:val="24"/>
      <w:szCs w:val="20"/>
      <w:lang w:eastAsia="en-US"/>
    </w:rPr>
  </w:style>
  <w:style w:type="paragraph" w:customStyle="1" w:styleId="EndNoteBibliography">
    <w:name w:val="EndNote Bibliography"/>
    <w:basedOn w:val="a"/>
    <w:link w:val="EndNoteBibliography0"/>
    <w:rsid w:val="00836CBC"/>
    <w:rPr>
      <w:noProof/>
      <w:sz w:val="24"/>
    </w:rPr>
  </w:style>
  <w:style w:type="character" w:customStyle="1" w:styleId="EndNoteBibliography0">
    <w:name w:val="EndNote Bibliography 字符"/>
    <w:basedOn w:val="a0"/>
    <w:link w:val="EndNoteBibliography"/>
    <w:rsid w:val="00836CBC"/>
    <w:rPr>
      <w:rFonts w:ascii="Times New Roman" w:hAnsi="Times New Roman" w:cs="Times New Roman"/>
      <w:noProof/>
      <w:kern w:val="0"/>
      <w:sz w:val="24"/>
      <w:szCs w:val="20"/>
      <w:lang w:eastAsia="en-US"/>
    </w:rPr>
  </w:style>
  <w:style w:type="paragraph" w:customStyle="1" w:styleId="SMHeading">
    <w:name w:val="SM Heading"/>
    <w:basedOn w:val="1"/>
    <w:qFormat/>
    <w:rsid w:val="00836CBC"/>
    <w:pPr>
      <w:keepLines w:val="0"/>
      <w:spacing w:before="240" w:after="60"/>
    </w:pPr>
    <w:rPr>
      <w:rFonts w:ascii="Times New Roman" w:eastAsiaTheme="minorEastAsia" w:hAnsi="Times New Roman" w:cs="Times New Roman"/>
      <w:b/>
      <w:bCs/>
      <w:color w:val="auto"/>
      <w:kern w:val="32"/>
      <w:sz w:val="24"/>
      <w:szCs w:val="24"/>
    </w:rPr>
  </w:style>
  <w:style w:type="paragraph" w:customStyle="1" w:styleId="Default">
    <w:name w:val="Default"/>
    <w:rsid w:val="00836CBC"/>
    <w:pPr>
      <w:widowControl w:val="0"/>
      <w:autoSpaceDE w:val="0"/>
      <w:autoSpaceDN w:val="0"/>
      <w:adjustRightInd w:val="0"/>
    </w:pPr>
    <w:rPr>
      <w:rFonts w:ascii="Times New Roman" w:hAnsi="Times New Roman" w:cs="Times New Roman"/>
      <w:color w:val="000000"/>
      <w:kern w:val="0"/>
      <w:sz w:val="24"/>
      <w:szCs w:val="24"/>
    </w:rPr>
  </w:style>
  <w:style w:type="paragraph" w:customStyle="1" w:styleId="SMcaption">
    <w:name w:val="SM caption"/>
    <w:basedOn w:val="a"/>
    <w:qFormat/>
    <w:rsid w:val="00836CBC"/>
    <w:rPr>
      <w:sz w:val="24"/>
    </w:rPr>
  </w:style>
  <w:style w:type="paragraph" w:styleId="aff6">
    <w:name w:val="Plain Text"/>
    <w:aliases w:val="普通文字"/>
    <w:basedOn w:val="a"/>
    <w:link w:val="aff7"/>
    <w:rsid w:val="00836CBC"/>
    <w:rPr>
      <w:rFonts w:ascii="Courier New" w:hAnsi="Courier New" w:cs="Courier New"/>
    </w:rPr>
  </w:style>
  <w:style w:type="character" w:customStyle="1" w:styleId="aff7">
    <w:name w:val="纯文本 字符"/>
    <w:aliases w:val="普通文字 字符"/>
    <w:basedOn w:val="a0"/>
    <w:link w:val="aff6"/>
    <w:rsid w:val="00836CBC"/>
    <w:rPr>
      <w:rFonts w:ascii="Courier New" w:hAnsi="Courier New" w:cs="Courier New"/>
      <w:kern w:val="0"/>
      <w:sz w:val="20"/>
      <w:szCs w:val="20"/>
      <w:lang w:eastAsia="en-US"/>
    </w:rPr>
  </w:style>
  <w:style w:type="table" w:styleId="11">
    <w:name w:val="Plain Table 1"/>
    <w:basedOn w:val="a1"/>
    <w:uiPriority w:val="41"/>
    <w:rsid w:val="00836CB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wd-text">
    <w:name w:val="kwd-text"/>
    <w:basedOn w:val="a0"/>
    <w:rsid w:val="00836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18" Type="http://schemas.openxmlformats.org/officeDocument/2006/relationships/image" Target="media/image14.tiff"/><Relationship Id="rId3" Type="http://schemas.openxmlformats.org/officeDocument/2006/relationships/settings" Target="settings.xml"/><Relationship Id="rId21" Type="http://schemas.openxmlformats.org/officeDocument/2006/relationships/image" Target="media/image17.tiff"/><Relationship Id="rId7" Type="http://schemas.openxmlformats.org/officeDocument/2006/relationships/image" Target="media/image3.tiff"/><Relationship Id="rId12" Type="http://schemas.openxmlformats.org/officeDocument/2006/relationships/image" Target="media/image8.tiff"/><Relationship Id="rId17" Type="http://schemas.openxmlformats.org/officeDocument/2006/relationships/image" Target="media/image13.tif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tiff"/><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24" Type="http://schemas.openxmlformats.org/officeDocument/2006/relationships/fontTable" Target="fontTable.xml"/><Relationship Id="rId5" Type="http://schemas.openxmlformats.org/officeDocument/2006/relationships/image" Target="media/image1.tiff"/><Relationship Id="rId15" Type="http://schemas.openxmlformats.org/officeDocument/2006/relationships/image" Target="media/image11.tiff"/><Relationship Id="rId23" Type="http://schemas.openxmlformats.org/officeDocument/2006/relationships/hyperlink" Target="https://www.ncbi.nlm.nih.gov/protein/NP_061008.2" TargetMode="External"/><Relationship Id="rId10" Type="http://schemas.openxmlformats.org/officeDocument/2006/relationships/image" Target="media/image6.tiff"/><Relationship Id="rId19" Type="http://schemas.openxmlformats.org/officeDocument/2006/relationships/image" Target="media/image15.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tiff"/><Relationship Id="rId22" Type="http://schemas.openxmlformats.org/officeDocument/2006/relationships/image" Target="media/image1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4516</Words>
  <Characters>27369</Characters>
  <Application>Microsoft Office Word</Application>
  <DocSecurity>0</DocSecurity>
  <Lines>536</Lines>
  <Paragraphs>200</Paragraphs>
  <ScaleCrop>false</ScaleCrop>
  <Company/>
  <LinksUpToDate>false</LinksUpToDate>
  <CharactersWithSpaces>31685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xianbin wang</dc:creator>
  <cp:keywords/>
  <dc:description/>
  <cp:lastModifiedBy>xianbin wang</cp:lastModifiedBy>
  <cp:revision>2</cp:revision>
  <dcterms:created xsi:type="dcterms:W3CDTF">2025-11-23T15:44:00Z</dcterms:created>
  <dcterms:modified xsi:type="dcterms:W3CDTF">2025-11-23T15:45:00Z</dcterms:modified>
</cp:coreProperties>
</file>