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03" w:rsidRPr="00450D92" w:rsidRDefault="00AE3403" w:rsidP="00AE3403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450D92">
        <w:rPr>
          <w:rFonts w:ascii="Arial" w:eastAsia="Calibri" w:hAnsi="Arial" w:cs="Arial"/>
          <w:b/>
          <w:sz w:val="22"/>
          <w:szCs w:val="22"/>
        </w:rPr>
        <w:t>Supplemental Figure Legends</w:t>
      </w:r>
    </w:p>
    <w:p w:rsidR="00AE3403" w:rsidRDefault="00AE3403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50D92">
        <w:rPr>
          <w:rFonts w:ascii="Arial" w:hAnsi="Arial" w:cs="Arial"/>
          <w:b/>
          <w:bCs/>
          <w:sz w:val="22"/>
          <w:szCs w:val="22"/>
        </w:rPr>
        <w:t xml:space="preserve">Suppl. Figure 1. (A) Dose-dependent impact of METH on HBVP viability. </w:t>
      </w:r>
      <w:r w:rsidRPr="00450D92">
        <w:rPr>
          <w:rFonts w:ascii="Arial" w:hAnsi="Arial" w:cs="Arial"/>
          <w:sz w:val="22"/>
          <w:szCs w:val="22"/>
        </w:rPr>
        <w:t xml:space="preserve">Cell viability (%) was expressed as a percentage relative to the untreated control cells after 24h exposure to METH (n=6). </w:t>
      </w:r>
      <w:r w:rsidRPr="00450D92">
        <w:rPr>
          <w:rFonts w:ascii="Arial" w:hAnsi="Arial" w:cs="Arial"/>
          <w:b/>
          <w:bCs/>
          <w:sz w:val="22"/>
          <w:szCs w:val="22"/>
        </w:rPr>
        <w:t>(B) Impact of HIV-1 infection and/or METH exposure on Sigma-1R protein expression in HBVPs.</w:t>
      </w:r>
      <w:r w:rsidRPr="00450D92">
        <w:rPr>
          <w:rFonts w:ascii="Arial" w:hAnsi="Arial" w:cs="Arial"/>
          <w:sz w:val="22"/>
          <w:szCs w:val="22"/>
        </w:rPr>
        <w:t xml:space="preserve"> Representative </w:t>
      </w:r>
      <w:proofErr w:type="gramStart"/>
      <w:r w:rsidRPr="00450D92">
        <w:rPr>
          <w:rFonts w:ascii="Arial" w:hAnsi="Arial" w:cs="Arial"/>
          <w:sz w:val="22"/>
          <w:szCs w:val="22"/>
        </w:rPr>
        <w:t>immunoblots</w:t>
      </w:r>
      <w:proofErr w:type="gramEnd"/>
      <w:r w:rsidRPr="00450D92">
        <w:rPr>
          <w:rFonts w:ascii="Arial" w:hAnsi="Arial" w:cs="Arial"/>
          <w:sz w:val="22"/>
          <w:szCs w:val="22"/>
        </w:rPr>
        <w:t xml:space="preserve"> and quantified expression of Sigma-1R (n=4). Sigma-1R protein levels were quantified by densitometry and normalized to GAPDH protein level. </w:t>
      </w:r>
      <w:r w:rsidRPr="00450D92">
        <w:rPr>
          <w:rFonts w:ascii="Arial" w:hAnsi="Arial" w:cs="Arial"/>
          <w:b/>
          <w:bCs/>
          <w:sz w:val="22"/>
          <w:szCs w:val="22"/>
        </w:rPr>
        <w:t>(C)</w:t>
      </w:r>
      <w:r w:rsidRPr="00450D92">
        <w:rPr>
          <w:rFonts w:ascii="Arial" w:hAnsi="Arial" w:cs="Arial"/>
          <w:sz w:val="22"/>
          <w:szCs w:val="22"/>
        </w:rPr>
        <w:t xml:space="preserve"> </w:t>
      </w:r>
      <w:r w:rsidRPr="00450D92">
        <w:rPr>
          <w:rFonts w:ascii="Arial" w:hAnsi="Arial" w:cs="Arial"/>
          <w:b/>
          <w:bCs/>
          <w:sz w:val="22"/>
          <w:szCs w:val="22"/>
        </w:rPr>
        <w:t>Comparative expression of Sigma-1R protein in cells of neurovascular unit (NVU).</w:t>
      </w:r>
      <w:r w:rsidRPr="00450D92">
        <w:rPr>
          <w:rFonts w:ascii="Arial" w:hAnsi="Arial" w:cs="Arial"/>
          <w:sz w:val="22"/>
          <w:szCs w:val="22"/>
        </w:rPr>
        <w:t xml:space="preserve"> Representative </w:t>
      </w:r>
      <w:proofErr w:type="gramStart"/>
      <w:r w:rsidRPr="00450D92">
        <w:rPr>
          <w:rFonts w:ascii="Arial" w:hAnsi="Arial" w:cs="Arial"/>
          <w:sz w:val="22"/>
          <w:szCs w:val="22"/>
        </w:rPr>
        <w:t>immunoblots</w:t>
      </w:r>
      <w:proofErr w:type="gramEnd"/>
      <w:r w:rsidRPr="00450D92">
        <w:rPr>
          <w:rFonts w:ascii="Arial" w:hAnsi="Arial" w:cs="Arial"/>
          <w:sz w:val="22"/>
          <w:szCs w:val="22"/>
        </w:rPr>
        <w:t xml:space="preserve"> of Sigma-1R in HBVPs, HBMECs, primary human astrocytes, and human microglial C20 cell line (n=4). </w:t>
      </w:r>
      <w:r w:rsidRPr="00450D92">
        <w:rPr>
          <w:rFonts w:ascii="Arial" w:hAnsi="Arial" w:cs="Arial"/>
          <w:b/>
          <w:bCs/>
          <w:sz w:val="22"/>
          <w:szCs w:val="22"/>
        </w:rPr>
        <w:t>(D) HBVP infection with HIV-1 NL4-3 (CXCR4-tropic) and JR-CSF (CCR5-tropic).</w:t>
      </w:r>
      <w:r w:rsidRPr="00450D92">
        <w:rPr>
          <w:rFonts w:ascii="Arial" w:hAnsi="Arial" w:cs="Arial"/>
          <w:sz w:val="22"/>
          <w:szCs w:val="22"/>
        </w:rPr>
        <w:t xml:space="preserve"> HIV-1 replication was measured as p24 antigen in the culture supernatants at the indicated days post-infection (n=3). Data represent means ± SD; *p&lt;0.05, **p&lt;0.01, and </w:t>
      </w:r>
      <w:r w:rsidRPr="00450D92">
        <w:rPr>
          <w:rFonts w:ascii="Arial" w:eastAsia="Calibri" w:hAnsi="Arial" w:cs="Arial"/>
          <w:bCs/>
          <w:sz w:val="22"/>
          <w:szCs w:val="22"/>
        </w:rPr>
        <w:t>***p&lt; 0.001</w:t>
      </w:r>
      <w:r w:rsidRPr="00450D92">
        <w:rPr>
          <w:rFonts w:ascii="Arial" w:hAnsi="Arial" w:cs="Arial"/>
          <w:sz w:val="22"/>
          <w:szCs w:val="22"/>
        </w:rPr>
        <w:t xml:space="preserve">. Abbreviations: HBVPs, human brain vascular </w:t>
      </w:r>
      <w:proofErr w:type="spellStart"/>
      <w:r w:rsidRPr="00450D92">
        <w:rPr>
          <w:rFonts w:ascii="Arial" w:hAnsi="Arial" w:cs="Arial"/>
          <w:sz w:val="22"/>
          <w:szCs w:val="22"/>
        </w:rPr>
        <w:t>pericytes</w:t>
      </w:r>
      <w:proofErr w:type="spellEnd"/>
      <w:r w:rsidRPr="00450D92">
        <w:rPr>
          <w:rFonts w:ascii="Arial" w:hAnsi="Arial" w:cs="Arial"/>
          <w:sz w:val="22"/>
          <w:szCs w:val="22"/>
        </w:rPr>
        <w:t>; HBMEC, human brain microvascular endothelial cells; METH, methamphetamine; Sigma-1R, Sigma-1 receptor.</w:t>
      </w:r>
    </w:p>
    <w:p w:rsidR="008137CF" w:rsidRPr="00450D92" w:rsidRDefault="008137CF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inline distT="0" distB="0" distL="0" distR="0">
            <wp:extent cx="5943600" cy="3344146"/>
            <wp:effectExtent l="0" t="0" r="0" b="8890"/>
            <wp:docPr id="11" name="Picture 11" descr="Y:\Repos\HERJEY Do Not Delete\February\18\3750\Source\Suppl Figure_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Repos\HERJEY Do Not Delete\February\18\3750\Source\Suppl Figure_1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403" w:rsidRPr="00450D92" w:rsidRDefault="00AE3403" w:rsidP="00AE3403">
      <w:pPr>
        <w:spacing w:line="360" w:lineRule="auto"/>
        <w:rPr>
          <w:rFonts w:ascii="Arial" w:hAnsi="Arial" w:cs="Arial"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AE3403" w:rsidRDefault="00AE3403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50D92">
        <w:rPr>
          <w:rFonts w:ascii="Arial" w:hAnsi="Arial" w:cs="Arial"/>
          <w:b/>
          <w:bCs/>
          <w:sz w:val="22"/>
          <w:szCs w:val="22"/>
        </w:rPr>
        <w:lastRenderedPageBreak/>
        <w:t>Suppl. Figure 2.</w:t>
      </w:r>
      <w:r w:rsidRPr="00450D92">
        <w:rPr>
          <w:rFonts w:ascii="Arial" w:hAnsi="Arial" w:cs="Arial"/>
          <w:sz w:val="22"/>
          <w:szCs w:val="22"/>
        </w:rPr>
        <w:t xml:space="preserve"> </w:t>
      </w:r>
      <w:r w:rsidRPr="00450D92">
        <w:rPr>
          <w:rFonts w:ascii="Arial" w:hAnsi="Arial" w:cs="Arial"/>
          <w:b/>
          <w:bCs/>
          <w:sz w:val="22"/>
          <w:szCs w:val="22"/>
        </w:rPr>
        <w:t>HBVPs enhance endothelial barrier integrity. (A).</w:t>
      </w:r>
      <w:r w:rsidRPr="00450D92">
        <w:rPr>
          <w:rFonts w:ascii="Arial" w:hAnsi="Arial" w:cs="Arial"/>
          <w:sz w:val="22"/>
          <w:szCs w:val="22"/>
        </w:rPr>
        <w:t xml:space="preserve"> A schematic representation of the </w:t>
      </w:r>
      <w:proofErr w:type="spellStart"/>
      <w:r w:rsidRPr="00450D92">
        <w:rPr>
          <w:rFonts w:ascii="Arial" w:hAnsi="Arial" w:cs="Arial"/>
          <w:sz w:val="22"/>
          <w:szCs w:val="22"/>
        </w:rPr>
        <w:t>Transwell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HBMEC monoculture and HBMEC/HBVPS co-culture model. In a co-culture model, HBVPs and HBMECs were cultured on opposite sides of a porous </w:t>
      </w:r>
      <w:proofErr w:type="spellStart"/>
      <w:r w:rsidRPr="00450D92">
        <w:rPr>
          <w:rFonts w:ascii="Arial" w:hAnsi="Arial" w:cs="Arial"/>
          <w:sz w:val="22"/>
          <w:szCs w:val="22"/>
        </w:rPr>
        <w:t>Transwell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membrane for 6 days.</w:t>
      </w:r>
      <w:r w:rsidRPr="00450D92">
        <w:rPr>
          <w:rFonts w:ascii="Arial" w:hAnsi="Arial" w:cs="Arial"/>
          <w:b/>
          <w:bCs/>
          <w:sz w:val="22"/>
          <w:szCs w:val="22"/>
        </w:rPr>
        <w:t xml:space="preserve"> </w:t>
      </w:r>
      <w:r w:rsidRPr="00450D92">
        <w:rPr>
          <w:rFonts w:ascii="Arial" w:hAnsi="Arial" w:cs="Arial"/>
          <w:sz w:val="22"/>
          <w:szCs w:val="22"/>
        </w:rPr>
        <w:t xml:space="preserve">Figure created with </w:t>
      </w:r>
      <w:proofErr w:type="spellStart"/>
      <w:r w:rsidRPr="00450D92">
        <w:rPr>
          <w:rFonts w:ascii="Arial" w:hAnsi="Arial" w:cs="Arial"/>
          <w:sz w:val="22"/>
          <w:szCs w:val="22"/>
        </w:rPr>
        <w:t>BioRender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(</w:t>
      </w:r>
      <w:hyperlink r:id="rId8" w:history="1">
        <w:r w:rsidRPr="00450D92">
          <w:rPr>
            <w:rStyle w:val="Hyperlink"/>
            <w:rFonts w:ascii="Arial" w:hAnsi="Arial" w:cs="Arial"/>
            <w:sz w:val="22"/>
            <w:szCs w:val="22"/>
          </w:rPr>
          <w:t>www.BioRender.com</w:t>
        </w:r>
      </w:hyperlink>
      <w:r w:rsidRPr="00450D92">
        <w:rPr>
          <w:rFonts w:ascii="Arial" w:hAnsi="Arial" w:cs="Arial"/>
          <w:sz w:val="22"/>
          <w:szCs w:val="22"/>
        </w:rPr>
        <w:t xml:space="preserve">). </w:t>
      </w:r>
      <w:r w:rsidRPr="00450D92">
        <w:rPr>
          <w:rFonts w:ascii="Arial" w:hAnsi="Arial" w:cs="Arial"/>
          <w:b/>
          <w:bCs/>
          <w:sz w:val="22"/>
          <w:szCs w:val="22"/>
        </w:rPr>
        <w:t>(B)</w:t>
      </w:r>
      <w:r w:rsidRPr="00450D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0D92">
        <w:rPr>
          <w:rFonts w:ascii="Arial" w:hAnsi="Arial" w:cs="Arial"/>
          <w:sz w:val="22"/>
          <w:szCs w:val="22"/>
        </w:rPr>
        <w:t>Paracellular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permeability in contact HBVP/HBMEC co-cultures and HBMEC monocultures. Permeability was assessed 24 and 48h after setting the model by adding 10 </w:t>
      </w:r>
      <w:proofErr w:type="spellStart"/>
      <w:r w:rsidRPr="00450D92">
        <w:rPr>
          <w:rFonts w:ascii="Arial" w:hAnsi="Arial" w:cs="Arial"/>
          <w:sz w:val="22"/>
          <w:szCs w:val="22"/>
        </w:rPr>
        <w:t>kDa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FITC-dextran (0.1 mg/mL) to the luminal compartment of the </w:t>
      </w:r>
      <w:proofErr w:type="spellStart"/>
      <w:r w:rsidRPr="00450D92">
        <w:rPr>
          <w:rFonts w:ascii="Arial" w:hAnsi="Arial" w:cs="Arial"/>
          <w:sz w:val="22"/>
          <w:szCs w:val="22"/>
        </w:rPr>
        <w:t>Transwell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system, followed by spectrophotometric measurement of its passage through HBMEC monolayers into the </w:t>
      </w:r>
      <w:proofErr w:type="spellStart"/>
      <w:r w:rsidRPr="00450D92">
        <w:rPr>
          <w:rFonts w:ascii="Arial" w:hAnsi="Arial" w:cs="Arial"/>
          <w:sz w:val="22"/>
          <w:szCs w:val="22"/>
        </w:rPr>
        <w:t>abluminal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compartment for 1h (n=7). Data are means ± SD. </w:t>
      </w:r>
      <w:r w:rsidRPr="00450D92">
        <w:rPr>
          <w:rFonts w:ascii="Arial" w:hAnsi="Arial" w:cs="Arial"/>
          <w:b/>
          <w:bCs/>
          <w:sz w:val="22"/>
          <w:szCs w:val="22"/>
        </w:rPr>
        <w:t>(C)</w:t>
      </w:r>
      <w:r w:rsidRPr="00450D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50D92">
        <w:rPr>
          <w:rFonts w:ascii="Arial" w:hAnsi="Arial" w:cs="Arial"/>
          <w:sz w:val="22"/>
          <w:szCs w:val="22"/>
        </w:rPr>
        <w:t>Transendothelial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electrical resistance (TEER) in contact HBVP/HBMEC co-cultures and HBMEC monocultures. TEER measurements were taken daily during co-culture period (n=6). Data are presented as mean ± SEM.</w:t>
      </w:r>
      <w:r w:rsidRPr="00450D92">
        <w:rPr>
          <w:rFonts w:ascii="Arial" w:eastAsia="Calibri" w:hAnsi="Arial" w:cs="Arial"/>
          <w:bCs/>
          <w:sz w:val="22"/>
          <w:szCs w:val="22"/>
        </w:rPr>
        <w:t xml:space="preserve"> *p&lt; 0.05 and ****p&lt; 0.0001. </w:t>
      </w:r>
      <w:r w:rsidRPr="00450D92">
        <w:rPr>
          <w:rFonts w:ascii="Arial" w:hAnsi="Arial" w:cs="Arial"/>
          <w:sz w:val="22"/>
          <w:szCs w:val="22"/>
        </w:rPr>
        <w:t xml:space="preserve">Abbreviations as in Suppl. Figure 1; FITC-dextran, dextran conjugated to fluorescein </w:t>
      </w:r>
      <w:proofErr w:type="spellStart"/>
      <w:r w:rsidRPr="00450D92">
        <w:rPr>
          <w:rFonts w:ascii="Arial" w:hAnsi="Arial" w:cs="Arial"/>
          <w:sz w:val="22"/>
          <w:szCs w:val="22"/>
        </w:rPr>
        <w:t>isothiocyanate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. </w:t>
      </w:r>
    </w:p>
    <w:p w:rsidR="008137CF" w:rsidRPr="00450D92" w:rsidRDefault="008137CF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inline distT="0" distB="0" distL="0" distR="0">
            <wp:extent cx="5943600" cy="3344146"/>
            <wp:effectExtent l="0" t="0" r="0" b="8890"/>
            <wp:docPr id="12" name="Picture 12" descr="Y:\Repos\HERJEY Do Not Delete\February\18\3750\Source\Suppl Figure_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:\Repos\HERJEY Do Not Delete\February\18\3750\Source\Suppl Figure_2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403" w:rsidRPr="00450D92" w:rsidRDefault="00AE3403" w:rsidP="00AE3403">
      <w:pPr>
        <w:spacing w:line="360" w:lineRule="auto"/>
        <w:rPr>
          <w:rFonts w:ascii="Arial" w:hAnsi="Arial" w:cs="Arial"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AE3403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AE3403" w:rsidRDefault="00AE3403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50D92">
        <w:rPr>
          <w:rFonts w:ascii="Arial" w:hAnsi="Arial" w:cs="Arial"/>
          <w:b/>
          <w:bCs/>
          <w:sz w:val="22"/>
          <w:szCs w:val="22"/>
        </w:rPr>
        <w:lastRenderedPageBreak/>
        <w:t>Suppl. Figure 3.</w:t>
      </w:r>
      <w:r w:rsidRPr="00450D92">
        <w:rPr>
          <w:rFonts w:ascii="Arial" w:hAnsi="Arial" w:cs="Arial"/>
          <w:sz w:val="22"/>
          <w:szCs w:val="22"/>
        </w:rPr>
        <w:t xml:space="preserve"> </w:t>
      </w:r>
      <w:r w:rsidRPr="00450D92">
        <w:rPr>
          <w:rFonts w:ascii="Arial" w:hAnsi="Arial" w:cs="Arial"/>
          <w:b/>
          <w:bCs/>
          <w:sz w:val="22"/>
          <w:szCs w:val="22"/>
        </w:rPr>
        <w:t xml:space="preserve">(A-B) </w:t>
      </w:r>
      <w:proofErr w:type="gramStart"/>
      <w:r w:rsidRPr="00450D92">
        <w:rPr>
          <w:rFonts w:ascii="Arial" w:hAnsi="Arial" w:cs="Arial"/>
          <w:b/>
          <w:bCs/>
          <w:sz w:val="22"/>
          <w:szCs w:val="22"/>
        </w:rPr>
        <w:t>Impact of HIV-1 NL4-3 infection and/or METH exposure on the expression of HIV-1 co-receptors.</w:t>
      </w:r>
      <w:proofErr w:type="gramEnd"/>
      <w:r w:rsidRPr="00450D9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Pr="00450D92">
        <w:rPr>
          <w:rFonts w:ascii="Arial" w:hAnsi="Arial" w:cs="Arial"/>
          <w:sz w:val="22"/>
          <w:szCs w:val="22"/>
        </w:rPr>
        <w:t>RT-qPCR analysis of mRNA expression of the chemokine receptor genes CXCR4 (A) and CCR5 (B).</w:t>
      </w:r>
      <w:proofErr w:type="gramEnd"/>
      <w:r w:rsidRPr="00450D92">
        <w:rPr>
          <w:rFonts w:ascii="Arial" w:hAnsi="Arial" w:cs="Arial"/>
          <w:sz w:val="22"/>
          <w:szCs w:val="22"/>
        </w:rPr>
        <w:t xml:space="preserve"> Alterations in the expression of CXCR4 and CCR5 mRNA levels were assessed every 24h for up to 5 days post-infection or post-treatment (n=5-6). </w:t>
      </w:r>
      <w:r w:rsidRPr="00450D92">
        <w:rPr>
          <w:rFonts w:ascii="Arial" w:hAnsi="Arial" w:cs="Arial"/>
          <w:b/>
          <w:bCs/>
          <w:sz w:val="22"/>
          <w:szCs w:val="22"/>
        </w:rPr>
        <w:t>(C) Impact of HIV-1 NL4-3 infection and/or METH exposure on CCL2 release.</w:t>
      </w:r>
      <w:r w:rsidRPr="00450D92">
        <w:rPr>
          <w:rFonts w:ascii="Arial" w:hAnsi="Arial" w:cs="Arial"/>
          <w:sz w:val="22"/>
          <w:szCs w:val="22"/>
        </w:rPr>
        <w:t xml:space="preserve"> The supernatants of HBVP infected with HIV-1 NL4-3 and exposed to METH for 72h were collected, and concentrations of CCL2 in supernatants were measured by ELISA (n=5-6).</w:t>
      </w:r>
      <w:r w:rsidRPr="00450D92">
        <w:rPr>
          <w:rFonts w:ascii="Arial" w:hAnsi="Arial" w:cs="Arial"/>
          <w:b/>
          <w:bCs/>
          <w:sz w:val="22"/>
          <w:szCs w:val="22"/>
        </w:rPr>
        <w:t xml:space="preserve"> (D) Pretreatment with S1RA has no effect on CCL2 release by HBVPs following HIV-1 NL4-3 infection and/or METH exposure. </w:t>
      </w:r>
      <w:r w:rsidRPr="00450D92">
        <w:rPr>
          <w:rFonts w:ascii="Arial" w:hAnsi="Arial" w:cs="Arial"/>
          <w:sz w:val="22"/>
          <w:szCs w:val="22"/>
        </w:rPr>
        <w:t xml:space="preserve">HBVP cultures were pretreated with S1RA </w:t>
      </w:r>
      <w:r w:rsidRPr="00450D92">
        <w:rPr>
          <w:rFonts w:ascii="Arial" w:eastAsia="Arial" w:hAnsi="Arial" w:cs="Arial"/>
          <w:sz w:val="22"/>
          <w:szCs w:val="22"/>
        </w:rPr>
        <w:t xml:space="preserve">(10 </w:t>
      </w:r>
      <w:proofErr w:type="spellStart"/>
      <w:r w:rsidRPr="00450D92">
        <w:rPr>
          <w:rFonts w:ascii="Arial" w:eastAsia="Arial" w:hAnsi="Arial" w:cs="Arial"/>
          <w:sz w:val="22"/>
          <w:szCs w:val="22"/>
        </w:rPr>
        <w:t>μM</w:t>
      </w:r>
      <w:proofErr w:type="spellEnd"/>
      <w:r w:rsidRPr="00450D92">
        <w:rPr>
          <w:rFonts w:ascii="Arial" w:eastAsia="Arial" w:hAnsi="Arial" w:cs="Arial"/>
          <w:sz w:val="22"/>
          <w:szCs w:val="22"/>
        </w:rPr>
        <w:t xml:space="preserve">) or vehicle </w:t>
      </w:r>
      <w:r w:rsidRPr="00450D92">
        <w:rPr>
          <w:rFonts w:ascii="Arial" w:hAnsi="Arial" w:cs="Arial"/>
          <w:sz w:val="22"/>
          <w:szCs w:val="22"/>
        </w:rPr>
        <w:t xml:space="preserve">for 6h before changing into medium with HIV-1 NL4-3 (60 ng/ml) in the presence of METH (25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) for 72h (n=6). </w:t>
      </w:r>
      <w:r w:rsidRPr="00450D92">
        <w:rPr>
          <w:rFonts w:ascii="Arial" w:hAnsi="Arial" w:cs="Arial"/>
          <w:b/>
          <w:bCs/>
          <w:sz w:val="22"/>
          <w:szCs w:val="22"/>
        </w:rPr>
        <w:t>(E) Inhibition of Sigma-1R does not affect TNF-α release induced by infection with HIV-1 JR-CSF and METH exposure.</w:t>
      </w:r>
      <w:r w:rsidRPr="00450D92">
        <w:rPr>
          <w:rFonts w:ascii="Arial" w:hAnsi="Arial" w:cs="Arial"/>
          <w:sz w:val="22"/>
          <w:szCs w:val="22"/>
        </w:rPr>
        <w:t xml:space="preserve"> HBVP cultures were pretreated with S1RA </w:t>
      </w:r>
      <w:r w:rsidRPr="00450D92">
        <w:rPr>
          <w:rFonts w:ascii="Arial" w:eastAsia="Arial" w:hAnsi="Arial" w:cs="Arial"/>
          <w:sz w:val="22"/>
          <w:szCs w:val="22"/>
        </w:rPr>
        <w:t xml:space="preserve">(10 </w:t>
      </w:r>
      <w:proofErr w:type="spellStart"/>
      <w:r w:rsidRPr="00450D92">
        <w:rPr>
          <w:rFonts w:ascii="Arial" w:eastAsia="Arial" w:hAnsi="Arial" w:cs="Arial"/>
          <w:sz w:val="22"/>
          <w:szCs w:val="22"/>
        </w:rPr>
        <w:t>μM</w:t>
      </w:r>
      <w:proofErr w:type="spellEnd"/>
      <w:r w:rsidRPr="00450D92">
        <w:rPr>
          <w:rFonts w:ascii="Arial" w:eastAsia="Arial" w:hAnsi="Arial" w:cs="Arial"/>
          <w:sz w:val="22"/>
          <w:szCs w:val="22"/>
        </w:rPr>
        <w:t xml:space="preserve">) or vehicle </w:t>
      </w:r>
      <w:r w:rsidRPr="00450D92">
        <w:rPr>
          <w:rFonts w:ascii="Arial" w:hAnsi="Arial" w:cs="Arial"/>
          <w:sz w:val="22"/>
          <w:szCs w:val="22"/>
        </w:rPr>
        <w:t xml:space="preserve">for 6h before changing into medium with HIV-1 JR-CSF (60 ng/ml) in the presence of METH (25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>) for 48h (n=7-8). TNF-α secretion was quantified in cell culture media by ELISA. Data are means ± SD.</w:t>
      </w:r>
      <w:r w:rsidRPr="00450D92">
        <w:rPr>
          <w:rFonts w:ascii="Arial" w:eastAsia="Calibri" w:hAnsi="Arial" w:cs="Arial"/>
          <w:bCs/>
          <w:sz w:val="22"/>
          <w:szCs w:val="22"/>
        </w:rPr>
        <w:t xml:space="preserve"> *p&lt;0.05, **p&lt;0.01, and ****p&lt;0.0001. </w:t>
      </w:r>
      <w:r w:rsidRPr="00450D92">
        <w:rPr>
          <w:rFonts w:ascii="Arial" w:hAnsi="Arial" w:cs="Arial"/>
          <w:sz w:val="22"/>
          <w:szCs w:val="22"/>
        </w:rPr>
        <w:t>Abbreviations as in Suppl. Figure 1; CXCR4, C-X-C motif chemokine receptor 4; CCR5, C-C chemokine receptor type 5; CCL2 - C-C motif chemokine ligand 2; TNF-α, tumor necrosis factor-α.</w:t>
      </w:r>
    </w:p>
    <w:p w:rsidR="008137CF" w:rsidRPr="00450D92" w:rsidRDefault="008137CF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inline distT="0" distB="0" distL="0" distR="0">
            <wp:extent cx="5943600" cy="3344146"/>
            <wp:effectExtent l="0" t="0" r="0" b="8890"/>
            <wp:docPr id="13" name="Picture 13" descr="Y:\Repos\HERJEY Do Not Delete\February\18\3750\Source\Suppl Figure_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:\Repos\HERJEY Do Not Delete\February\18\3750\Source\Suppl Figure_3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403" w:rsidRPr="00450D92" w:rsidRDefault="00AE3403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E3403" w:rsidRDefault="00AE3403" w:rsidP="00AE3403">
      <w:pPr>
        <w:spacing w:line="360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450D92">
        <w:rPr>
          <w:rFonts w:ascii="Arial" w:hAnsi="Arial" w:cs="Arial"/>
          <w:b/>
          <w:bCs/>
          <w:sz w:val="22"/>
          <w:szCs w:val="22"/>
        </w:rPr>
        <w:lastRenderedPageBreak/>
        <w:t xml:space="preserve">Suppl. Figure 4. Oxygen consumption rate (OCR) in HIV-1 infected and METH-treated HBVPs. (A-B) </w:t>
      </w:r>
      <w:r w:rsidRPr="00450D92">
        <w:rPr>
          <w:rFonts w:ascii="Arial" w:hAnsi="Arial" w:cs="Arial"/>
          <w:sz w:val="22"/>
          <w:szCs w:val="22"/>
        </w:rPr>
        <w:t xml:space="preserve">Representative graphs of OCR in HBVPs infected with HIV-1 NL4-3 and/or treated with METH for 24h (A) or 48h (B) (n=8-10). </w:t>
      </w:r>
      <w:r w:rsidRPr="00450D92">
        <w:rPr>
          <w:rFonts w:ascii="Arial" w:hAnsi="Arial" w:cs="Arial"/>
          <w:b/>
          <w:bCs/>
          <w:sz w:val="22"/>
          <w:szCs w:val="22"/>
        </w:rPr>
        <w:t xml:space="preserve">(C-D) </w:t>
      </w:r>
      <w:r w:rsidRPr="00450D92">
        <w:rPr>
          <w:rFonts w:ascii="Arial" w:hAnsi="Arial" w:cs="Arial"/>
          <w:sz w:val="22"/>
          <w:szCs w:val="22"/>
        </w:rPr>
        <w:t xml:space="preserve">Representative graphs of OCR in HBVPs infected with HIV-1 JR-CSF and/or treated with METH for 24h (C) or 48h (D) (n=8-10). Evaluation of mitochondrial respiration was conducted using </w:t>
      </w:r>
      <w:proofErr w:type="spellStart"/>
      <w:r w:rsidRPr="00450D92">
        <w:rPr>
          <w:rFonts w:ascii="Arial" w:hAnsi="Arial" w:cs="Arial"/>
          <w:sz w:val="22"/>
          <w:szCs w:val="22"/>
        </w:rPr>
        <w:t>oligomycin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(1.5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>), cyanide 4-(</w:t>
      </w:r>
      <w:proofErr w:type="spellStart"/>
      <w:r w:rsidRPr="00450D92">
        <w:rPr>
          <w:rFonts w:ascii="Arial" w:hAnsi="Arial" w:cs="Arial"/>
          <w:sz w:val="22"/>
          <w:szCs w:val="22"/>
        </w:rPr>
        <w:t>trifluoromethoxy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450D92">
        <w:rPr>
          <w:rFonts w:ascii="Arial" w:hAnsi="Arial" w:cs="Arial"/>
          <w:sz w:val="22"/>
          <w:szCs w:val="22"/>
        </w:rPr>
        <w:t>phenylhydrazone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(FCCP) (1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), and a mixture of </w:t>
      </w:r>
      <w:proofErr w:type="spellStart"/>
      <w:r w:rsidRPr="00450D92">
        <w:rPr>
          <w:rFonts w:ascii="Arial" w:hAnsi="Arial" w:cs="Arial"/>
          <w:sz w:val="22"/>
          <w:szCs w:val="22"/>
        </w:rPr>
        <w:t>antimycin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 A and rotenone (AA/Rot, 0.5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), and measured by </w:t>
      </w:r>
      <w:r w:rsidRPr="00450D92">
        <w:rPr>
          <w:rFonts w:ascii="Arial" w:eastAsia="Calibri" w:hAnsi="Arial" w:cs="Arial"/>
          <w:bCs/>
          <w:sz w:val="22"/>
          <w:szCs w:val="22"/>
        </w:rPr>
        <w:t>the Seahorse XF24 Analyzer. The OCR values were normalized to total protein level.</w:t>
      </w:r>
      <w:r w:rsidRPr="00450D92">
        <w:rPr>
          <w:rFonts w:ascii="Arial" w:hAnsi="Arial" w:cs="Arial"/>
          <w:sz w:val="22"/>
          <w:szCs w:val="22"/>
        </w:rPr>
        <w:t xml:space="preserve"> Data are means ± SEM</w:t>
      </w:r>
      <w:r w:rsidRPr="00450D92">
        <w:rPr>
          <w:rFonts w:ascii="Arial" w:eastAsia="Calibri" w:hAnsi="Arial" w:cs="Arial"/>
          <w:bCs/>
          <w:sz w:val="22"/>
          <w:szCs w:val="22"/>
        </w:rPr>
        <w:t>.</w:t>
      </w:r>
      <w:r w:rsidRPr="00450D92">
        <w:rPr>
          <w:rFonts w:ascii="Arial" w:hAnsi="Arial" w:cs="Arial"/>
          <w:sz w:val="22"/>
          <w:szCs w:val="22"/>
        </w:rPr>
        <w:t xml:space="preserve"> Abbreviations as in Suppl. Figure 1; OCR, oxygen consumption rate; </w:t>
      </w:r>
      <w:r w:rsidRPr="00450D92">
        <w:rPr>
          <w:rFonts w:ascii="Arial" w:eastAsia="Calibri" w:hAnsi="Arial" w:cs="Arial"/>
          <w:bCs/>
          <w:sz w:val="22"/>
          <w:szCs w:val="22"/>
        </w:rPr>
        <w:t>FCCP, cyanide 4-(</w:t>
      </w:r>
      <w:proofErr w:type="spellStart"/>
      <w:r w:rsidRPr="00450D92">
        <w:rPr>
          <w:rFonts w:ascii="Arial" w:eastAsia="Calibri" w:hAnsi="Arial" w:cs="Arial"/>
          <w:bCs/>
          <w:sz w:val="22"/>
          <w:szCs w:val="22"/>
        </w:rPr>
        <w:t>trifluoromethoxy</w:t>
      </w:r>
      <w:proofErr w:type="spellEnd"/>
      <w:r w:rsidRPr="00450D92">
        <w:rPr>
          <w:rFonts w:ascii="Arial" w:eastAsia="Calibri" w:hAnsi="Arial" w:cs="Arial"/>
          <w:bCs/>
          <w:sz w:val="22"/>
          <w:szCs w:val="22"/>
        </w:rPr>
        <w:t xml:space="preserve">) </w:t>
      </w:r>
      <w:proofErr w:type="spellStart"/>
      <w:r w:rsidRPr="00450D92">
        <w:rPr>
          <w:rFonts w:ascii="Arial" w:eastAsia="Calibri" w:hAnsi="Arial" w:cs="Arial"/>
          <w:bCs/>
          <w:sz w:val="22"/>
          <w:szCs w:val="22"/>
        </w:rPr>
        <w:t>phenylhydrazone</w:t>
      </w:r>
      <w:proofErr w:type="spellEnd"/>
      <w:r w:rsidRPr="00450D92">
        <w:rPr>
          <w:rFonts w:ascii="Arial" w:eastAsia="Calibri" w:hAnsi="Arial" w:cs="Arial"/>
          <w:bCs/>
          <w:sz w:val="22"/>
          <w:szCs w:val="22"/>
        </w:rPr>
        <w:t xml:space="preserve">; AA/Rot, </w:t>
      </w:r>
      <w:proofErr w:type="spellStart"/>
      <w:r w:rsidRPr="00450D92">
        <w:rPr>
          <w:rFonts w:ascii="Arial" w:eastAsia="Calibri" w:hAnsi="Arial" w:cs="Arial"/>
          <w:bCs/>
          <w:sz w:val="22"/>
          <w:szCs w:val="22"/>
        </w:rPr>
        <w:t>antimycin</w:t>
      </w:r>
      <w:proofErr w:type="spellEnd"/>
      <w:r w:rsidRPr="00450D92">
        <w:rPr>
          <w:rFonts w:ascii="Arial" w:eastAsia="Calibri" w:hAnsi="Arial" w:cs="Arial"/>
          <w:bCs/>
          <w:sz w:val="22"/>
          <w:szCs w:val="22"/>
        </w:rPr>
        <w:t xml:space="preserve"> A and rotenone.</w:t>
      </w:r>
    </w:p>
    <w:p w:rsidR="008137CF" w:rsidRPr="00450D92" w:rsidRDefault="008137CF" w:rsidP="00AE34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drawing>
          <wp:inline distT="0" distB="0" distL="0" distR="0">
            <wp:extent cx="5943600" cy="3344146"/>
            <wp:effectExtent l="0" t="0" r="0" b="8890"/>
            <wp:docPr id="14" name="Picture 14" descr="Y:\Repos\HERJEY Do Not Delete\February\18\3750\Source\Suppl Figure_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:\Repos\HERJEY Do Not Delete\February\18\3750\Source\Suppl Figure_4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403" w:rsidRPr="00450D92" w:rsidRDefault="00AE3403" w:rsidP="00AE340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8137CF" w:rsidRDefault="008137CF" w:rsidP="008137CF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6B566B" w:rsidRDefault="00AE3403" w:rsidP="008137CF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450D92">
        <w:rPr>
          <w:rFonts w:ascii="Arial" w:hAnsi="Arial" w:cs="Arial"/>
          <w:b/>
          <w:bCs/>
          <w:sz w:val="22"/>
          <w:szCs w:val="22"/>
        </w:rPr>
        <w:lastRenderedPageBreak/>
        <w:t xml:space="preserve">Suppl. Figure 5. </w:t>
      </w:r>
      <w:proofErr w:type="gramStart"/>
      <w:r w:rsidRPr="00450D92">
        <w:rPr>
          <w:rFonts w:ascii="Arial" w:hAnsi="Arial" w:cs="Arial"/>
          <w:b/>
          <w:bCs/>
          <w:sz w:val="22"/>
          <w:szCs w:val="22"/>
        </w:rPr>
        <w:t>Impact of HIV-1 infection and/or METH exposure on mitochondrial membrane potential and intracellular and mitochondrial calcium.</w:t>
      </w:r>
      <w:proofErr w:type="gramEnd"/>
      <w:r w:rsidRPr="00450D92">
        <w:rPr>
          <w:rFonts w:ascii="Arial" w:hAnsi="Arial" w:cs="Arial"/>
          <w:b/>
          <w:bCs/>
          <w:sz w:val="22"/>
          <w:szCs w:val="22"/>
        </w:rPr>
        <w:t xml:space="preserve"> (A-B)</w:t>
      </w:r>
      <w:r w:rsidRPr="00450D92">
        <w:rPr>
          <w:rFonts w:ascii="Arial" w:hAnsi="Arial" w:cs="Arial"/>
          <w:sz w:val="22"/>
          <w:szCs w:val="22"/>
        </w:rPr>
        <w:t xml:space="preserve"> Fluorescence intensities of cytosolic Ca2+ indicator FLUO-4AM (A) and mitochondrial Ca2+ probe RHOD-2 AM (B) in HBVPs infected with HIV-1 NL4-3 or JR-CSF strains (60 ng/ml) in the presence or absence of METH (25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 xml:space="preserve">) (n=7-8). </w:t>
      </w:r>
      <w:r w:rsidRPr="00450D92">
        <w:rPr>
          <w:rFonts w:ascii="Arial" w:hAnsi="Arial" w:cs="Arial"/>
          <w:b/>
          <w:bCs/>
          <w:sz w:val="22"/>
          <w:szCs w:val="22"/>
        </w:rPr>
        <w:t xml:space="preserve">(C) </w:t>
      </w:r>
      <w:r w:rsidRPr="00450D92">
        <w:rPr>
          <w:rFonts w:ascii="Arial" w:hAnsi="Arial" w:cs="Arial"/>
          <w:sz w:val="22"/>
          <w:szCs w:val="22"/>
        </w:rPr>
        <w:t xml:space="preserve">Impact of HIV-1 NL4-3 or JR-CSF infection (60 ng/ml) in the presence or absence of METH (25 </w:t>
      </w:r>
      <w:proofErr w:type="spellStart"/>
      <w:r w:rsidRPr="00450D92">
        <w:rPr>
          <w:rFonts w:ascii="Arial" w:hAnsi="Arial" w:cs="Arial"/>
          <w:sz w:val="22"/>
          <w:szCs w:val="22"/>
        </w:rPr>
        <w:t>μM</w:t>
      </w:r>
      <w:proofErr w:type="spellEnd"/>
      <w:r w:rsidRPr="00450D92">
        <w:rPr>
          <w:rFonts w:ascii="Arial" w:hAnsi="Arial" w:cs="Arial"/>
          <w:sz w:val="22"/>
          <w:szCs w:val="22"/>
        </w:rPr>
        <w:t>) on mitochondrial membrane potential expressed as a ratio of JC-1 aggregates to monomer fluorescence (n=5-6). A decrease in the aggregate/monomer intensity ratio is indicative of depolarization (disruption) of the mitochondrial membrane potential. Data are means ± SD.</w:t>
      </w:r>
      <w:r w:rsidRPr="00450D92">
        <w:rPr>
          <w:rFonts w:ascii="Arial" w:eastAsia="Calibri" w:hAnsi="Arial" w:cs="Arial"/>
          <w:bCs/>
          <w:sz w:val="22"/>
          <w:szCs w:val="22"/>
        </w:rPr>
        <w:t xml:space="preserve"> *p&lt;0.05, **p&lt;0.01, and ****p&lt;0.0001. </w:t>
      </w:r>
      <w:proofErr w:type="gramStart"/>
      <w:r w:rsidRPr="00450D92">
        <w:rPr>
          <w:rFonts w:ascii="Arial" w:hAnsi="Arial" w:cs="Arial"/>
          <w:sz w:val="22"/>
          <w:szCs w:val="22"/>
        </w:rPr>
        <w:t>Abbreviations as in Suppl. Figure 1.</w:t>
      </w:r>
      <w:proofErr w:type="gramEnd"/>
    </w:p>
    <w:p w:rsidR="008137CF" w:rsidRPr="008137CF" w:rsidRDefault="008137CF" w:rsidP="008137CF">
      <w:pPr>
        <w:spacing w:line="360" w:lineRule="auto"/>
        <w:rPr>
          <w:rFonts w:ascii="Arial" w:eastAsia="Calibri" w:hAnsi="Arial" w:cs="Arial"/>
          <w:bCs/>
          <w:sz w:val="22"/>
          <w:szCs w:val="22"/>
        </w:rPr>
      </w:pPr>
      <w:r>
        <w:rPr>
          <w:rFonts w:ascii="Arial" w:eastAsia="Calibri" w:hAnsi="Arial" w:cs="Arial"/>
          <w:bCs/>
          <w:noProof/>
          <w:sz w:val="22"/>
          <w:szCs w:val="22"/>
          <w:lang w:eastAsia="en-US"/>
        </w:rPr>
        <w:drawing>
          <wp:inline distT="0" distB="0" distL="0" distR="0">
            <wp:extent cx="5943600" cy="3344146"/>
            <wp:effectExtent l="0" t="0" r="0" b="8890"/>
            <wp:docPr id="15" name="Picture 15" descr="Y:\Repos\HERJEY Do Not Delete\February\18\3750\Source\Suppl Figure_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Y:\Repos\HERJEY Do Not Delete\February\18\3750\Source\Suppl Figure_5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37CF" w:rsidRPr="008137CF" w:rsidSect="00192D5C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37CF">
      <w:r>
        <w:separator/>
      </w:r>
    </w:p>
  </w:endnote>
  <w:endnote w:type="continuationSeparator" w:id="0">
    <w:p w:rsidR="00000000" w:rsidRDefault="00813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42173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3D93" w:rsidRDefault="00AE3403">
        <w:pPr>
          <w:pStyle w:val="Footer"/>
          <w:jc w:val="center"/>
        </w:pPr>
        <w:r w:rsidRPr="00214BA5">
          <w:rPr>
            <w:rFonts w:ascii="Arial" w:hAnsi="Arial" w:cs="Arial"/>
            <w:sz w:val="20"/>
            <w:szCs w:val="20"/>
          </w:rPr>
          <w:fldChar w:fldCharType="begin"/>
        </w:r>
        <w:r w:rsidRPr="00214BA5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214BA5">
          <w:rPr>
            <w:rFonts w:ascii="Arial" w:hAnsi="Arial" w:cs="Arial"/>
            <w:sz w:val="20"/>
            <w:szCs w:val="20"/>
          </w:rPr>
          <w:fldChar w:fldCharType="separate"/>
        </w:r>
        <w:r w:rsidR="008137CF">
          <w:rPr>
            <w:rFonts w:ascii="Arial" w:hAnsi="Arial" w:cs="Arial"/>
            <w:noProof/>
            <w:sz w:val="20"/>
            <w:szCs w:val="20"/>
          </w:rPr>
          <w:t>1</w:t>
        </w:r>
        <w:r w:rsidRPr="00214BA5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:rsidR="006D3D93" w:rsidRDefault="008137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137CF">
      <w:r>
        <w:separator/>
      </w:r>
    </w:p>
  </w:footnote>
  <w:footnote w:type="continuationSeparator" w:id="0">
    <w:p w:rsidR="00000000" w:rsidRDefault="008137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403"/>
    <w:rsid w:val="008137CF"/>
    <w:rsid w:val="00AE3403"/>
    <w:rsid w:val="00B540A4"/>
    <w:rsid w:val="00E0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40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AE34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40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403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403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AE34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340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403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Render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5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799</Words>
  <Characters>4555</Characters>
  <Application>Microsoft Office Word</Application>
  <DocSecurity>0</DocSecurity>
  <Lines>37</Lines>
  <Paragraphs>10</Paragraphs>
  <ScaleCrop>false</ScaleCrop>
  <Company/>
  <LinksUpToDate>false</LinksUpToDate>
  <CharactersWithSpaces>5344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Herminio Hero</dc:creator>
  <cp:lastModifiedBy>Herminio Hero</cp:lastModifiedBy>
  <cp:revision>2</cp:revision>
  <dcterms:created xsi:type="dcterms:W3CDTF">2026-02-17T23:31:00Z</dcterms:created>
  <dcterms:modified xsi:type="dcterms:W3CDTF">2026-02-18T00:23:00Z</dcterms:modified>
</cp:coreProperties>
</file>