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8D8A2" w14:textId="36D058CD" w:rsidR="00000000" w:rsidRDefault="00A53647">
      <w:pPr>
        <w:rPr>
          <w:rFonts w:hint="eastAsia"/>
          <w:lang w:eastAsia="zh-CN"/>
        </w:rPr>
      </w:pPr>
      <w:r>
        <w:rPr>
          <w:noProof/>
        </w:rPr>
        <w:drawing>
          <wp:inline distT="0" distB="0" distL="0" distR="0" wp14:anchorId="079B2366" wp14:editId="62A23987">
            <wp:extent cx="5600700" cy="8229600"/>
            <wp:effectExtent l="0" t="0" r="0" b="0"/>
            <wp:docPr id="41016412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00700" cy="8229600"/>
                    </a:xfrm>
                    <a:prstGeom prst="rect">
                      <a:avLst/>
                    </a:prstGeom>
                    <a:noFill/>
                    <a:ln>
                      <a:noFill/>
                    </a:ln>
                  </pic:spPr>
                </pic:pic>
              </a:graphicData>
            </a:graphic>
          </wp:inline>
        </w:drawing>
      </w:r>
    </w:p>
    <w:p w14:paraId="6F9B685C" w14:textId="77777777" w:rsidR="004F4C30" w:rsidRDefault="004F4C30">
      <w:pPr>
        <w:rPr>
          <w:rFonts w:cs="Arial"/>
          <w:sz w:val="20"/>
          <w:szCs w:val="20"/>
        </w:rPr>
      </w:pPr>
      <w:r>
        <w:rPr>
          <w:rFonts w:cs="Arial"/>
          <w:b/>
          <w:bCs/>
          <w:sz w:val="20"/>
          <w:szCs w:val="20"/>
        </w:rPr>
        <w:lastRenderedPageBreak/>
        <w:t xml:space="preserve">Supplementary Figure 1. </w:t>
      </w:r>
      <w:r>
        <w:rPr>
          <w:rFonts w:cs="Arial" w:hint="eastAsia"/>
          <w:b/>
          <w:bCs/>
          <w:sz w:val="20"/>
          <w:szCs w:val="20"/>
        </w:rPr>
        <w:t>Macrophage</w:t>
      </w:r>
      <w:r>
        <w:rPr>
          <w:rFonts w:cs="Arial"/>
          <w:b/>
          <w:bCs/>
          <w:sz w:val="20"/>
          <w:szCs w:val="20"/>
        </w:rPr>
        <w:t xml:space="preserve"> transfer lipids to fibroblasts, astrocytes, and neurons under both sham and SCI conditions</w:t>
      </w:r>
      <w:r>
        <w:rPr>
          <w:rFonts w:cs="Arial" w:hint="eastAsia"/>
          <w:b/>
          <w:bCs/>
          <w:sz w:val="20"/>
          <w:szCs w:val="20"/>
        </w:rPr>
        <w:t xml:space="preserve">. </w:t>
      </w:r>
      <w:r>
        <w:rPr>
          <w:rFonts w:cs="Arial"/>
          <w:b/>
          <w:bCs/>
          <w:sz w:val="20"/>
          <w:szCs w:val="20"/>
        </w:rPr>
        <w:t>(A)</w:t>
      </w:r>
      <w:r>
        <w:rPr>
          <w:rFonts w:cs="Arial"/>
          <w:sz w:val="20"/>
          <w:szCs w:val="20"/>
        </w:rPr>
        <w:t xml:space="preserve"> Representative immunofluorescence images of the spinal cord in </w:t>
      </w:r>
      <w:r>
        <w:rPr>
          <w:rFonts w:cs="Arial" w:hint="eastAsia"/>
          <w:sz w:val="20"/>
          <w:szCs w:val="20"/>
        </w:rPr>
        <w:t xml:space="preserve">SCI </w:t>
      </w:r>
      <w:r>
        <w:rPr>
          <w:rFonts w:cs="Arial"/>
          <w:sz w:val="20"/>
          <w:szCs w:val="20"/>
        </w:rPr>
        <w:t>mice following intraspinal microinjection of BMDMs loaded with BODIPY-labeled lipid droplets (BMDM@LDs@BODIPY). Images show the colocalization of macrophage-derived BODIPY+ LDs (BODIPY, green) with astrocytes (GFAP, red)</w:t>
      </w:r>
      <w:r>
        <w:rPr>
          <w:rFonts w:cs="Arial" w:hint="eastAsia"/>
          <w:sz w:val="20"/>
          <w:szCs w:val="20"/>
        </w:rPr>
        <w:t>.</w:t>
      </w:r>
      <w:r>
        <w:rPr>
          <w:rFonts w:cs="Arial"/>
          <w:sz w:val="20"/>
          <w:szCs w:val="20"/>
        </w:rPr>
        <w:t xml:space="preserve"> </w:t>
      </w:r>
      <w:r>
        <w:rPr>
          <w:rFonts w:cs="Arial"/>
          <w:b/>
          <w:bCs/>
          <w:sz w:val="20"/>
          <w:szCs w:val="20"/>
        </w:rPr>
        <w:t>(B)</w:t>
      </w:r>
      <w:r>
        <w:rPr>
          <w:rFonts w:cs="Arial"/>
          <w:sz w:val="20"/>
          <w:szCs w:val="20"/>
        </w:rPr>
        <w:t xml:space="preserve"> Quantification of the percentage of GFAP+ astrocytes containing BODIPY+ LDs</w:t>
      </w:r>
      <w:r>
        <w:rPr>
          <w:rFonts w:cs="Arial" w:hint="eastAsia"/>
          <w:sz w:val="20"/>
          <w:szCs w:val="20"/>
        </w:rPr>
        <w:t xml:space="preserve"> in SCI conditions.</w:t>
      </w:r>
      <w:r>
        <w:rPr>
          <w:rFonts w:cs="Arial"/>
          <w:sz w:val="20"/>
          <w:szCs w:val="20"/>
        </w:rPr>
        <w:t xml:space="preserve"> </w:t>
      </w:r>
      <w:r>
        <w:rPr>
          <w:rFonts w:cs="Arial"/>
          <w:b/>
          <w:bCs/>
          <w:sz w:val="20"/>
          <w:szCs w:val="20"/>
        </w:rPr>
        <w:t>(C)</w:t>
      </w:r>
      <w:r>
        <w:rPr>
          <w:rFonts w:cs="Arial"/>
          <w:sz w:val="20"/>
          <w:szCs w:val="20"/>
        </w:rPr>
        <w:t xml:space="preserve"> Images show the colocalization of macrophage-derived BODIPY+ LDs (BODIPY, green) with </w:t>
      </w:r>
      <w:r>
        <w:rPr>
          <w:rFonts w:cs="Arial" w:hint="eastAsia"/>
          <w:sz w:val="20"/>
          <w:szCs w:val="20"/>
        </w:rPr>
        <w:t xml:space="preserve">neurons </w:t>
      </w:r>
      <w:r>
        <w:rPr>
          <w:rFonts w:cs="Arial"/>
          <w:sz w:val="20"/>
          <w:szCs w:val="20"/>
        </w:rPr>
        <w:t>(</w:t>
      </w:r>
      <w:r>
        <w:rPr>
          <w:rFonts w:cs="Arial" w:hint="eastAsia"/>
          <w:sz w:val="20"/>
          <w:szCs w:val="20"/>
        </w:rPr>
        <w:t>NeuN</w:t>
      </w:r>
      <w:r>
        <w:rPr>
          <w:rFonts w:cs="Arial"/>
          <w:sz w:val="20"/>
          <w:szCs w:val="20"/>
        </w:rPr>
        <w:t>, red)</w:t>
      </w:r>
      <w:r>
        <w:rPr>
          <w:rFonts w:cs="Arial" w:hint="eastAsia"/>
          <w:sz w:val="20"/>
          <w:szCs w:val="20"/>
        </w:rPr>
        <w:t xml:space="preserve">. </w:t>
      </w:r>
      <w:r>
        <w:rPr>
          <w:rFonts w:cs="Arial"/>
          <w:b/>
          <w:bCs/>
          <w:sz w:val="20"/>
          <w:szCs w:val="20"/>
        </w:rPr>
        <w:t>(</w:t>
      </w:r>
      <w:r>
        <w:rPr>
          <w:rFonts w:cs="Arial" w:hint="eastAsia"/>
          <w:b/>
          <w:bCs/>
          <w:sz w:val="20"/>
          <w:szCs w:val="20"/>
        </w:rPr>
        <w:t>D</w:t>
      </w:r>
      <w:r>
        <w:rPr>
          <w:rFonts w:cs="Arial"/>
          <w:b/>
          <w:bCs/>
          <w:sz w:val="20"/>
          <w:szCs w:val="20"/>
        </w:rPr>
        <w:t>)</w:t>
      </w:r>
      <w:r>
        <w:rPr>
          <w:rFonts w:cs="Arial"/>
          <w:sz w:val="20"/>
          <w:szCs w:val="20"/>
        </w:rPr>
        <w:t xml:space="preserve"> Quantification of the percentage of </w:t>
      </w:r>
      <w:r>
        <w:rPr>
          <w:rFonts w:cs="Arial" w:hint="eastAsia"/>
          <w:sz w:val="20"/>
          <w:szCs w:val="20"/>
        </w:rPr>
        <w:t>NeuN</w:t>
      </w:r>
      <w:r>
        <w:rPr>
          <w:rFonts w:cs="Arial"/>
          <w:sz w:val="20"/>
          <w:szCs w:val="20"/>
        </w:rPr>
        <w:t xml:space="preserve">+ </w:t>
      </w:r>
      <w:r>
        <w:rPr>
          <w:rFonts w:cs="Arial" w:hint="eastAsia"/>
          <w:sz w:val="20"/>
          <w:szCs w:val="20"/>
        </w:rPr>
        <w:t>neurons</w:t>
      </w:r>
      <w:r>
        <w:rPr>
          <w:rFonts w:cs="Arial"/>
          <w:sz w:val="20"/>
          <w:szCs w:val="20"/>
        </w:rPr>
        <w:t xml:space="preserve"> containing BODIPY+ LDs</w:t>
      </w:r>
      <w:r>
        <w:rPr>
          <w:rFonts w:cs="Arial" w:hint="eastAsia"/>
          <w:sz w:val="20"/>
          <w:szCs w:val="20"/>
        </w:rPr>
        <w:t xml:space="preserve"> in SCI conditions. </w:t>
      </w:r>
      <w:r>
        <w:rPr>
          <w:rFonts w:cs="Arial"/>
          <w:b/>
          <w:bCs/>
          <w:sz w:val="20"/>
          <w:szCs w:val="20"/>
        </w:rPr>
        <w:t>(</w:t>
      </w:r>
      <w:r>
        <w:rPr>
          <w:rFonts w:cs="Arial" w:hint="eastAsia"/>
          <w:b/>
          <w:bCs/>
          <w:sz w:val="20"/>
          <w:szCs w:val="20"/>
        </w:rPr>
        <w:t>E</w:t>
      </w:r>
      <w:r>
        <w:rPr>
          <w:rFonts w:cs="Arial"/>
          <w:b/>
          <w:bCs/>
          <w:sz w:val="20"/>
          <w:szCs w:val="20"/>
        </w:rPr>
        <w:t>)</w:t>
      </w:r>
      <w:r>
        <w:rPr>
          <w:rFonts w:cs="Arial"/>
          <w:sz w:val="20"/>
          <w:szCs w:val="20"/>
        </w:rPr>
        <w:t xml:space="preserve"> Representative immunofluorescence images of the spinal cord in </w:t>
      </w:r>
      <w:r>
        <w:rPr>
          <w:rFonts w:cs="Arial" w:hint="eastAsia"/>
          <w:sz w:val="20"/>
          <w:szCs w:val="20"/>
        </w:rPr>
        <w:t xml:space="preserve">sham </w:t>
      </w:r>
      <w:r>
        <w:rPr>
          <w:rFonts w:cs="Arial"/>
          <w:sz w:val="20"/>
          <w:szCs w:val="20"/>
        </w:rPr>
        <w:t xml:space="preserve">mice following intraspinal microinjection of BMDMs loaded with BODIPY-labeled lipid droplets (BMDM@LDs@BODIPY). Images show the colocalization of macrophage-derived BODIPY+ LDs (BODIPY, green) with </w:t>
      </w:r>
      <w:r>
        <w:rPr>
          <w:rFonts w:cs="Arial" w:hint="eastAsia"/>
          <w:sz w:val="20"/>
          <w:szCs w:val="20"/>
        </w:rPr>
        <w:t xml:space="preserve">fibroblast </w:t>
      </w:r>
      <w:r>
        <w:rPr>
          <w:rFonts w:cs="Arial"/>
          <w:sz w:val="20"/>
          <w:szCs w:val="20"/>
        </w:rPr>
        <w:t>(</w:t>
      </w:r>
      <w:r>
        <w:rPr>
          <w:rFonts w:cs="Arial" w:hint="eastAsia"/>
          <w:sz w:val="20"/>
          <w:szCs w:val="20"/>
        </w:rPr>
        <w:t>PDGFR</w:t>
      </w:r>
      <w:r>
        <w:rPr>
          <w:rFonts w:cs="Arial"/>
          <w:sz w:val="20"/>
          <w:szCs w:val="20"/>
        </w:rPr>
        <w:t>α, red)</w:t>
      </w:r>
      <w:r>
        <w:rPr>
          <w:rFonts w:cs="Arial" w:hint="eastAsia"/>
          <w:sz w:val="20"/>
          <w:szCs w:val="20"/>
        </w:rPr>
        <w:t xml:space="preserve">. </w:t>
      </w:r>
      <w:r>
        <w:rPr>
          <w:rFonts w:cs="Arial"/>
          <w:b/>
          <w:bCs/>
          <w:sz w:val="20"/>
          <w:szCs w:val="20"/>
        </w:rPr>
        <w:t>(</w:t>
      </w:r>
      <w:r>
        <w:rPr>
          <w:rFonts w:cs="Arial" w:hint="eastAsia"/>
          <w:b/>
          <w:bCs/>
          <w:sz w:val="20"/>
          <w:szCs w:val="20"/>
        </w:rPr>
        <w:t>F</w:t>
      </w:r>
      <w:r>
        <w:rPr>
          <w:rFonts w:cs="Arial"/>
          <w:b/>
          <w:bCs/>
          <w:sz w:val="20"/>
          <w:szCs w:val="20"/>
        </w:rPr>
        <w:t>)</w:t>
      </w:r>
      <w:r>
        <w:rPr>
          <w:rFonts w:cs="Arial"/>
          <w:sz w:val="20"/>
          <w:szCs w:val="20"/>
        </w:rPr>
        <w:t xml:space="preserve"> Quantification of the percentage of </w:t>
      </w:r>
      <w:r>
        <w:rPr>
          <w:rFonts w:cs="Arial" w:hint="eastAsia"/>
          <w:sz w:val="20"/>
          <w:szCs w:val="20"/>
        </w:rPr>
        <w:t>PDGFR</w:t>
      </w:r>
      <w:r>
        <w:rPr>
          <w:rFonts w:cs="Arial"/>
          <w:sz w:val="20"/>
          <w:szCs w:val="20"/>
        </w:rPr>
        <w:t xml:space="preserve">α+ </w:t>
      </w:r>
      <w:r>
        <w:rPr>
          <w:rFonts w:cs="Arial" w:hint="eastAsia"/>
          <w:sz w:val="20"/>
          <w:szCs w:val="20"/>
        </w:rPr>
        <w:t>fibroblast</w:t>
      </w:r>
      <w:r>
        <w:rPr>
          <w:rFonts w:cs="Arial"/>
          <w:sz w:val="20"/>
          <w:szCs w:val="20"/>
        </w:rPr>
        <w:t xml:space="preserve"> containing BODIPY+ LDs</w:t>
      </w:r>
      <w:r>
        <w:rPr>
          <w:rFonts w:cs="Arial" w:hint="eastAsia"/>
          <w:sz w:val="20"/>
          <w:szCs w:val="20"/>
        </w:rPr>
        <w:t xml:space="preserve"> in sham conditions. </w:t>
      </w:r>
      <w:r>
        <w:rPr>
          <w:rFonts w:cs="Arial"/>
          <w:b/>
          <w:bCs/>
          <w:sz w:val="20"/>
          <w:szCs w:val="20"/>
        </w:rPr>
        <w:t>(</w:t>
      </w:r>
      <w:r>
        <w:rPr>
          <w:rFonts w:cs="Arial" w:hint="eastAsia"/>
          <w:b/>
          <w:bCs/>
          <w:sz w:val="20"/>
          <w:szCs w:val="20"/>
        </w:rPr>
        <w:t>G</w:t>
      </w:r>
      <w:r>
        <w:rPr>
          <w:rFonts w:cs="Arial"/>
          <w:b/>
          <w:bCs/>
          <w:sz w:val="20"/>
          <w:szCs w:val="20"/>
        </w:rPr>
        <w:t>)</w:t>
      </w:r>
      <w:r>
        <w:rPr>
          <w:rFonts w:cs="Arial"/>
          <w:sz w:val="20"/>
          <w:szCs w:val="20"/>
        </w:rPr>
        <w:t xml:space="preserve"> Images show the colocalization of macrophage-derived BODIPY+ LDs (BODIPY, green) with astrocytes (GFAP, red)</w:t>
      </w:r>
      <w:r>
        <w:rPr>
          <w:rFonts w:cs="Arial" w:hint="eastAsia"/>
          <w:sz w:val="20"/>
          <w:szCs w:val="20"/>
        </w:rPr>
        <w:t xml:space="preserve">. </w:t>
      </w:r>
      <w:r>
        <w:rPr>
          <w:rFonts w:cs="Arial"/>
          <w:b/>
          <w:bCs/>
          <w:sz w:val="20"/>
          <w:szCs w:val="20"/>
        </w:rPr>
        <w:t>(</w:t>
      </w:r>
      <w:r>
        <w:rPr>
          <w:rFonts w:cs="Arial" w:hint="eastAsia"/>
          <w:b/>
          <w:bCs/>
          <w:sz w:val="20"/>
          <w:szCs w:val="20"/>
        </w:rPr>
        <w:t>H</w:t>
      </w:r>
      <w:r>
        <w:rPr>
          <w:rFonts w:cs="Arial"/>
          <w:b/>
          <w:bCs/>
          <w:sz w:val="20"/>
          <w:szCs w:val="20"/>
        </w:rPr>
        <w:t xml:space="preserve">) </w:t>
      </w:r>
      <w:r>
        <w:rPr>
          <w:rFonts w:cs="Arial"/>
          <w:sz w:val="20"/>
          <w:szCs w:val="20"/>
        </w:rPr>
        <w:t>Quantification of the percentage of GFAP+ astrocytes containing BODIPY+ LDs</w:t>
      </w:r>
      <w:r>
        <w:rPr>
          <w:rFonts w:cs="Arial" w:hint="eastAsia"/>
          <w:sz w:val="20"/>
          <w:szCs w:val="20"/>
        </w:rPr>
        <w:t xml:space="preserve"> in sham conditions.</w:t>
      </w:r>
      <w:r>
        <w:rPr>
          <w:rFonts w:cs="Arial"/>
          <w:sz w:val="20"/>
          <w:szCs w:val="20"/>
        </w:rPr>
        <w:t xml:space="preserve"> </w:t>
      </w:r>
      <w:r>
        <w:rPr>
          <w:rFonts w:cs="Arial"/>
          <w:b/>
          <w:bCs/>
          <w:sz w:val="20"/>
          <w:szCs w:val="20"/>
        </w:rPr>
        <w:t>(</w:t>
      </w:r>
      <w:r>
        <w:rPr>
          <w:rFonts w:cs="Arial" w:hint="eastAsia"/>
          <w:b/>
          <w:bCs/>
          <w:sz w:val="20"/>
          <w:szCs w:val="20"/>
        </w:rPr>
        <w:t>I</w:t>
      </w:r>
      <w:r>
        <w:rPr>
          <w:rFonts w:cs="Arial"/>
          <w:b/>
          <w:bCs/>
          <w:sz w:val="20"/>
          <w:szCs w:val="20"/>
        </w:rPr>
        <w:t>)</w:t>
      </w:r>
      <w:r>
        <w:rPr>
          <w:rFonts w:cs="Arial"/>
          <w:sz w:val="20"/>
          <w:szCs w:val="20"/>
        </w:rPr>
        <w:t xml:space="preserve"> Images show the colocalization of macrophage-derived BODIPY+ LDs (BODIPY, green) with </w:t>
      </w:r>
      <w:r>
        <w:rPr>
          <w:rFonts w:cs="Arial" w:hint="eastAsia"/>
          <w:sz w:val="20"/>
          <w:szCs w:val="20"/>
        </w:rPr>
        <w:t xml:space="preserve">neurons </w:t>
      </w:r>
      <w:r>
        <w:rPr>
          <w:rFonts w:cs="Arial"/>
          <w:sz w:val="20"/>
          <w:szCs w:val="20"/>
        </w:rPr>
        <w:t>(</w:t>
      </w:r>
      <w:r>
        <w:rPr>
          <w:rFonts w:cs="Arial" w:hint="eastAsia"/>
          <w:sz w:val="20"/>
          <w:szCs w:val="20"/>
        </w:rPr>
        <w:t>NeuN</w:t>
      </w:r>
      <w:r>
        <w:rPr>
          <w:rFonts w:cs="Arial"/>
          <w:sz w:val="20"/>
          <w:szCs w:val="20"/>
        </w:rPr>
        <w:t>, red)</w:t>
      </w:r>
      <w:r>
        <w:rPr>
          <w:rFonts w:cs="Arial" w:hint="eastAsia"/>
          <w:sz w:val="20"/>
          <w:szCs w:val="20"/>
        </w:rPr>
        <w:t xml:space="preserve">. </w:t>
      </w:r>
      <w:r>
        <w:rPr>
          <w:rFonts w:cs="Arial"/>
          <w:b/>
          <w:bCs/>
          <w:sz w:val="20"/>
          <w:szCs w:val="20"/>
        </w:rPr>
        <w:t>(</w:t>
      </w:r>
      <w:r>
        <w:rPr>
          <w:rFonts w:cs="Arial" w:hint="eastAsia"/>
          <w:b/>
          <w:bCs/>
          <w:sz w:val="20"/>
          <w:szCs w:val="20"/>
        </w:rPr>
        <w:t>J</w:t>
      </w:r>
      <w:r>
        <w:rPr>
          <w:rFonts w:cs="Arial"/>
          <w:b/>
          <w:bCs/>
          <w:sz w:val="20"/>
          <w:szCs w:val="20"/>
        </w:rPr>
        <w:t>)</w:t>
      </w:r>
      <w:r>
        <w:rPr>
          <w:rFonts w:cs="Arial"/>
          <w:sz w:val="20"/>
          <w:szCs w:val="20"/>
        </w:rPr>
        <w:t xml:space="preserve"> Quantification of the percentage of </w:t>
      </w:r>
      <w:r>
        <w:rPr>
          <w:rFonts w:cs="Arial" w:hint="eastAsia"/>
          <w:sz w:val="20"/>
          <w:szCs w:val="20"/>
        </w:rPr>
        <w:t>NeuN</w:t>
      </w:r>
      <w:r>
        <w:rPr>
          <w:rFonts w:cs="Arial"/>
          <w:sz w:val="20"/>
          <w:szCs w:val="20"/>
        </w:rPr>
        <w:t xml:space="preserve">+ </w:t>
      </w:r>
      <w:r>
        <w:rPr>
          <w:rFonts w:cs="Arial" w:hint="eastAsia"/>
          <w:sz w:val="20"/>
          <w:szCs w:val="20"/>
        </w:rPr>
        <w:t>neurons</w:t>
      </w:r>
      <w:r>
        <w:rPr>
          <w:rFonts w:cs="Arial"/>
          <w:sz w:val="20"/>
          <w:szCs w:val="20"/>
        </w:rPr>
        <w:t xml:space="preserve"> containing BODIPY+ LDs</w:t>
      </w:r>
      <w:r>
        <w:rPr>
          <w:rFonts w:cs="Arial" w:hint="eastAsia"/>
          <w:sz w:val="20"/>
          <w:szCs w:val="20"/>
        </w:rPr>
        <w:t xml:space="preserve"> in sham conditions</w:t>
      </w:r>
      <w:r>
        <w:rPr>
          <w:rFonts w:cs="Arial"/>
          <w:sz w:val="20"/>
          <w:szCs w:val="20"/>
        </w:rPr>
        <w:t xml:space="preserve">. </w:t>
      </w:r>
      <w:r>
        <w:rPr>
          <w:rFonts w:cs="Arial" w:hint="eastAsia"/>
          <w:sz w:val="20"/>
          <w:szCs w:val="20"/>
        </w:rPr>
        <w:t>For all the d</w:t>
      </w:r>
      <w:r>
        <w:rPr>
          <w:rFonts w:cs="Arial"/>
          <w:sz w:val="20"/>
          <w:szCs w:val="20"/>
        </w:rPr>
        <w:t>ata are presented as mean ± S</w:t>
      </w:r>
      <w:r>
        <w:rPr>
          <w:rFonts w:cs="Arial" w:hint="eastAsia"/>
          <w:sz w:val="20"/>
          <w:szCs w:val="20"/>
        </w:rPr>
        <w:t>D, n = 3,</w:t>
      </w:r>
      <w:r>
        <w:rPr>
          <w:rFonts w:cs="Arial"/>
          <w:sz w:val="20"/>
          <w:szCs w:val="20"/>
        </w:rPr>
        <w:t xml:space="preserve"> </w:t>
      </w:r>
      <w:r>
        <w:rPr>
          <w:rFonts w:cs="Arial" w:hint="eastAsia"/>
          <w:sz w:val="20"/>
          <w:szCs w:val="20"/>
        </w:rPr>
        <w:t>t</w:t>
      </w:r>
      <w:r>
        <w:rPr>
          <w:rFonts w:cs="Arial"/>
          <w:sz w:val="20"/>
          <w:szCs w:val="20"/>
        </w:rPr>
        <w:t>wo-tailed Student's t-test. Scale bars, 100 μm (upper), 10 μm (lower).</w:t>
      </w:r>
    </w:p>
    <w:p w14:paraId="37FF8363" w14:textId="77777777" w:rsidR="004F4C30" w:rsidRDefault="004F4C30">
      <w:pPr>
        <w:rPr>
          <w:rFonts w:cs="Arial"/>
          <w:sz w:val="20"/>
          <w:szCs w:val="20"/>
        </w:rPr>
      </w:pPr>
      <w:r>
        <w:rPr>
          <w:rFonts w:cs="Arial"/>
          <w:sz w:val="20"/>
          <w:szCs w:val="20"/>
        </w:rPr>
        <w:br w:type="page"/>
      </w:r>
    </w:p>
    <w:p w14:paraId="60605171" w14:textId="7C922DDC" w:rsidR="004F4C30" w:rsidRDefault="00A53647">
      <w:pPr>
        <w:rPr>
          <w:rFonts w:hint="eastAsia"/>
          <w:lang w:eastAsia="zh-CN"/>
        </w:rPr>
      </w:pPr>
      <w:r>
        <w:rPr>
          <w:noProof/>
        </w:rPr>
        <w:lastRenderedPageBreak/>
        <w:drawing>
          <wp:inline distT="0" distB="0" distL="0" distR="0" wp14:anchorId="1B458B70" wp14:editId="6DE4190F">
            <wp:extent cx="5513705" cy="8229600"/>
            <wp:effectExtent l="0" t="0" r="0" b="0"/>
            <wp:docPr id="202449747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13705" cy="8229600"/>
                    </a:xfrm>
                    <a:prstGeom prst="rect">
                      <a:avLst/>
                    </a:prstGeom>
                    <a:noFill/>
                    <a:ln>
                      <a:noFill/>
                    </a:ln>
                  </pic:spPr>
                </pic:pic>
              </a:graphicData>
            </a:graphic>
          </wp:inline>
        </w:drawing>
      </w:r>
    </w:p>
    <w:p w14:paraId="6A214C24" w14:textId="77777777" w:rsidR="004F4C30" w:rsidRDefault="004F4C30" w:rsidP="004F4C30">
      <w:pPr>
        <w:spacing w:line="240" w:lineRule="auto"/>
        <w:rPr>
          <w:sz w:val="20"/>
          <w:szCs w:val="20"/>
        </w:rPr>
      </w:pPr>
      <w:r>
        <w:rPr>
          <w:rFonts w:cs="Arial"/>
          <w:b/>
          <w:bCs/>
          <w:sz w:val="20"/>
          <w:szCs w:val="20"/>
        </w:rPr>
        <w:lastRenderedPageBreak/>
        <w:t xml:space="preserve">Supplementary Figure 2. Spatiotemporal expression of APOE after SCI and schematic of the </w:t>
      </w:r>
      <w:r w:rsidRPr="005B6B2C">
        <w:rPr>
          <w:rFonts w:cs="Arial"/>
          <w:b/>
          <w:bCs/>
          <w:i/>
          <w:iCs/>
          <w:sz w:val="20"/>
          <w:szCs w:val="20"/>
        </w:rPr>
        <w:t>in vitro</w:t>
      </w:r>
      <w:r>
        <w:rPr>
          <w:rFonts w:cs="Arial"/>
          <w:b/>
          <w:bCs/>
          <w:sz w:val="20"/>
          <w:szCs w:val="20"/>
        </w:rPr>
        <w:t xml:space="preserve"> co-culture system.</w:t>
      </w:r>
      <w:r>
        <w:rPr>
          <w:rFonts w:cs="Arial"/>
          <w:sz w:val="20"/>
          <w:szCs w:val="20"/>
        </w:rPr>
        <w:t xml:space="preserve"> </w:t>
      </w:r>
      <w:r>
        <w:rPr>
          <w:rFonts w:cs="Arial"/>
          <w:b/>
          <w:bCs/>
          <w:sz w:val="20"/>
          <w:szCs w:val="20"/>
        </w:rPr>
        <w:t>(A)</w:t>
      </w:r>
      <w:r>
        <w:rPr>
          <w:rFonts w:cs="Arial"/>
          <w:sz w:val="20"/>
          <w:szCs w:val="20"/>
        </w:rPr>
        <w:t xml:space="preserve"> Time-course analysis of APOE protein expression (red) by immunofluorescence staining from sham to 28 dpi. BODIPY (green) labels lipid droplets. </w:t>
      </w:r>
      <w:r>
        <w:rPr>
          <w:rFonts w:cs="Arial"/>
          <w:b/>
          <w:bCs/>
          <w:sz w:val="20"/>
          <w:szCs w:val="20"/>
        </w:rPr>
        <w:t>(B)</w:t>
      </w:r>
      <w:r>
        <w:rPr>
          <w:rFonts w:cs="Arial"/>
          <w:sz w:val="20"/>
          <w:szCs w:val="20"/>
        </w:rPr>
        <w:t xml:space="preserve"> Quantification of APOE IntDen</w:t>
      </w:r>
      <w:r>
        <w:rPr>
          <w:rFonts w:cs="Arial" w:hint="eastAsia"/>
          <w:sz w:val="20"/>
          <w:szCs w:val="20"/>
        </w:rPr>
        <w:t xml:space="preserve"> </w:t>
      </w:r>
      <w:r>
        <w:rPr>
          <w:rFonts w:cs="Arial"/>
          <w:sz w:val="20"/>
          <w:szCs w:val="20"/>
        </w:rPr>
        <w:t xml:space="preserve">over time, showing a peak at 11 dpi. Data are presented as mean ± </w:t>
      </w:r>
      <w:r>
        <w:rPr>
          <w:rFonts w:cs="Arial" w:hint="eastAsia"/>
          <w:sz w:val="20"/>
          <w:szCs w:val="20"/>
        </w:rPr>
        <w:t>SD, n = 3, o</w:t>
      </w:r>
      <w:r>
        <w:rPr>
          <w:rFonts w:cs="Arial"/>
          <w:sz w:val="20"/>
          <w:szCs w:val="20"/>
        </w:rPr>
        <w:t>ne-way ANOVA</w:t>
      </w:r>
      <w:r>
        <w:rPr>
          <w:rFonts w:cs="Arial" w:hint="eastAsia"/>
          <w:sz w:val="20"/>
          <w:szCs w:val="20"/>
        </w:rPr>
        <w:t xml:space="preserve"> with Tukey</w:t>
      </w:r>
      <w:r>
        <w:rPr>
          <w:rFonts w:cs="Arial"/>
          <w:sz w:val="20"/>
          <w:szCs w:val="20"/>
        </w:rPr>
        <w:t>’</w:t>
      </w:r>
      <w:r>
        <w:rPr>
          <w:rFonts w:cs="Arial" w:hint="eastAsia"/>
          <w:sz w:val="20"/>
          <w:szCs w:val="20"/>
        </w:rPr>
        <w:t>s post-hoc test</w:t>
      </w:r>
      <w:r>
        <w:rPr>
          <w:rFonts w:cs="Arial"/>
          <w:sz w:val="20"/>
          <w:szCs w:val="20"/>
        </w:rPr>
        <w:t>.</w:t>
      </w:r>
      <w:r>
        <w:rPr>
          <w:rFonts w:cs="Arial" w:hint="eastAsia"/>
          <w:sz w:val="20"/>
          <w:szCs w:val="20"/>
        </w:rPr>
        <w:t xml:space="preserve"> </w:t>
      </w:r>
      <w:r>
        <w:rPr>
          <w:rFonts w:cs="Arial"/>
          <w:b/>
          <w:bCs/>
          <w:sz w:val="20"/>
          <w:szCs w:val="20"/>
        </w:rPr>
        <w:t>(C)</w:t>
      </w:r>
      <w:r>
        <w:rPr>
          <w:rFonts w:cs="Arial"/>
          <w:sz w:val="20"/>
          <w:szCs w:val="20"/>
        </w:rPr>
        <w:t xml:space="preserve"> Schematic diagram of the </w:t>
      </w:r>
      <w:r w:rsidRPr="005B6B2C">
        <w:rPr>
          <w:rFonts w:cs="Arial"/>
          <w:i/>
          <w:iCs/>
          <w:sz w:val="20"/>
          <w:szCs w:val="20"/>
        </w:rPr>
        <w:t>in vitro</w:t>
      </w:r>
      <w:r>
        <w:rPr>
          <w:rFonts w:cs="Arial"/>
          <w:sz w:val="20"/>
          <w:szCs w:val="20"/>
        </w:rPr>
        <w:t xml:space="preserve"> Transwell co-culture system used to compare LD</w:t>
      </w:r>
      <w:r>
        <w:rPr>
          <w:rFonts w:cs="Arial" w:hint="eastAsia"/>
          <w:sz w:val="20"/>
          <w:szCs w:val="20"/>
        </w:rPr>
        <w:t>s</w:t>
      </w:r>
      <w:r>
        <w:rPr>
          <w:rFonts w:cs="Arial"/>
          <w:sz w:val="20"/>
          <w:szCs w:val="20"/>
        </w:rPr>
        <w:t xml:space="preserve"> transfer from WT and </w:t>
      </w:r>
      <w:r>
        <w:rPr>
          <w:rFonts w:cs="Arial"/>
          <w:i/>
          <w:iCs/>
          <w:sz w:val="20"/>
          <w:szCs w:val="20"/>
        </w:rPr>
        <w:t>Apoe</w:t>
      </w:r>
      <w:r>
        <w:rPr>
          <w:rFonts w:cs="Arial"/>
          <w:i/>
          <w:iCs/>
          <w:sz w:val="20"/>
          <w:szCs w:val="20"/>
          <w:vertAlign w:val="superscript"/>
        </w:rPr>
        <w:t>-/-</w:t>
      </w:r>
      <w:r>
        <w:rPr>
          <w:rFonts w:cs="Arial"/>
          <w:sz w:val="20"/>
          <w:szCs w:val="20"/>
        </w:rPr>
        <w:t xml:space="preserve"> BMDMs to L929 fibroblasts.</w:t>
      </w:r>
      <w:r>
        <w:rPr>
          <w:rFonts w:cs="Arial"/>
          <w:b/>
          <w:bCs/>
          <w:sz w:val="20"/>
          <w:szCs w:val="20"/>
        </w:rPr>
        <w:t xml:space="preserve"> (</w:t>
      </w:r>
      <w:r>
        <w:rPr>
          <w:rFonts w:cs="Arial" w:hint="eastAsia"/>
          <w:b/>
          <w:bCs/>
          <w:sz w:val="20"/>
          <w:szCs w:val="20"/>
        </w:rPr>
        <w:t>D</w:t>
      </w:r>
      <w:r>
        <w:rPr>
          <w:rFonts w:cs="Arial"/>
          <w:b/>
          <w:bCs/>
          <w:sz w:val="20"/>
          <w:szCs w:val="20"/>
        </w:rPr>
        <w:t>)</w:t>
      </w:r>
      <w:r>
        <w:rPr>
          <w:rFonts w:cs="Arial"/>
          <w:sz w:val="20"/>
          <w:szCs w:val="20"/>
        </w:rPr>
        <w:t xml:space="preserve"> </w:t>
      </w:r>
      <w:r>
        <w:rPr>
          <w:rFonts w:cs="Arial"/>
          <w:i/>
          <w:iCs/>
          <w:sz w:val="20"/>
          <w:szCs w:val="20"/>
        </w:rPr>
        <w:t>In vitro</w:t>
      </w:r>
      <w:r>
        <w:rPr>
          <w:rFonts w:cs="Arial"/>
          <w:sz w:val="20"/>
          <w:szCs w:val="20"/>
        </w:rPr>
        <w:t xml:space="preserve"> evidence showing greater retention of BODIPY+ LDs (green) in </w:t>
      </w:r>
      <w:r>
        <w:rPr>
          <w:rFonts w:cs="Arial"/>
          <w:i/>
          <w:iCs/>
          <w:sz w:val="20"/>
          <w:szCs w:val="20"/>
        </w:rPr>
        <w:t>Apoe</w:t>
      </w:r>
      <w:r>
        <w:rPr>
          <w:rFonts w:cs="Arial" w:hint="eastAsia"/>
          <w:i/>
          <w:iCs/>
          <w:sz w:val="20"/>
          <w:szCs w:val="20"/>
          <w:vertAlign w:val="superscript"/>
        </w:rPr>
        <w:t>-/-</w:t>
      </w:r>
      <w:r>
        <w:rPr>
          <w:rFonts w:cs="Arial"/>
          <w:sz w:val="20"/>
          <w:szCs w:val="20"/>
        </w:rPr>
        <w:t xml:space="preserve"> BMDMs (F4/80, red) compared to WT BMDMs after co-culture with </w:t>
      </w:r>
      <w:r>
        <w:rPr>
          <w:rFonts w:cs="Arial" w:hint="eastAsia"/>
          <w:sz w:val="20"/>
          <w:szCs w:val="20"/>
        </w:rPr>
        <w:t xml:space="preserve">L929 </w:t>
      </w:r>
      <w:r>
        <w:rPr>
          <w:rFonts w:cs="Arial"/>
          <w:sz w:val="20"/>
          <w:szCs w:val="20"/>
        </w:rPr>
        <w:t xml:space="preserve">fibroblasts. </w:t>
      </w:r>
      <w:r>
        <w:rPr>
          <w:rFonts w:cs="Arial"/>
          <w:b/>
          <w:bCs/>
          <w:sz w:val="20"/>
          <w:szCs w:val="20"/>
        </w:rPr>
        <w:t>(</w:t>
      </w:r>
      <w:r>
        <w:rPr>
          <w:rFonts w:cs="Arial" w:hint="eastAsia"/>
          <w:b/>
          <w:bCs/>
          <w:sz w:val="20"/>
          <w:szCs w:val="20"/>
        </w:rPr>
        <w:t>E</w:t>
      </w:r>
      <w:r>
        <w:rPr>
          <w:rFonts w:cs="Arial"/>
          <w:b/>
          <w:bCs/>
          <w:sz w:val="20"/>
          <w:szCs w:val="20"/>
        </w:rPr>
        <w:t>)</w:t>
      </w:r>
      <w:r>
        <w:rPr>
          <w:rFonts w:cs="Arial"/>
          <w:sz w:val="20"/>
          <w:szCs w:val="20"/>
        </w:rPr>
        <w:t xml:space="preserve"> Quantification of the intracellular BODIPY+ area in BMDMs from (</w:t>
      </w:r>
      <w:r>
        <w:rPr>
          <w:rFonts w:cs="Arial" w:hint="eastAsia"/>
          <w:sz w:val="20"/>
          <w:szCs w:val="20"/>
        </w:rPr>
        <w:t>D</w:t>
      </w:r>
      <w:r>
        <w:rPr>
          <w:rFonts w:cs="Arial"/>
          <w:sz w:val="20"/>
          <w:szCs w:val="20"/>
        </w:rPr>
        <w:t>).</w:t>
      </w:r>
      <w:r>
        <w:rPr>
          <w:rFonts w:cs="Arial" w:hint="eastAsia"/>
          <w:sz w:val="20"/>
          <w:szCs w:val="20"/>
        </w:rPr>
        <w:t xml:space="preserve"> </w:t>
      </w:r>
      <w:r>
        <w:rPr>
          <w:rFonts w:cs="Arial"/>
          <w:sz w:val="20"/>
          <w:szCs w:val="20"/>
        </w:rPr>
        <w:t xml:space="preserve">Data are presented as mean ± </w:t>
      </w:r>
      <w:r>
        <w:rPr>
          <w:rFonts w:cs="Arial" w:hint="eastAsia"/>
          <w:sz w:val="20"/>
          <w:szCs w:val="20"/>
        </w:rPr>
        <w:t>SD, n = 6,</w:t>
      </w:r>
      <w:r>
        <w:rPr>
          <w:rFonts w:cs="Arial"/>
          <w:sz w:val="20"/>
          <w:szCs w:val="20"/>
        </w:rPr>
        <w:t xml:space="preserve"> </w:t>
      </w:r>
      <w:r>
        <w:rPr>
          <w:rFonts w:cs="Arial" w:hint="eastAsia"/>
          <w:sz w:val="20"/>
          <w:szCs w:val="20"/>
        </w:rPr>
        <w:t>o</w:t>
      </w:r>
      <w:r>
        <w:rPr>
          <w:rFonts w:cs="Arial"/>
          <w:sz w:val="20"/>
          <w:szCs w:val="20"/>
        </w:rPr>
        <w:t>ne-way ANOVA</w:t>
      </w:r>
      <w:r>
        <w:rPr>
          <w:rFonts w:cs="Arial" w:hint="eastAsia"/>
          <w:sz w:val="20"/>
          <w:szCs w:val="20"/>
        </w:rPr>
        <w:t xml:space="preserve"> with Tukey</w:t>
      </w:r>
      <w:r>
        <w:rPr>
          <w:rFonts w:cs="Arial"/>
          <w:sz w:val="20"/>
          <w:szCs w:val="20"/>
        </w:rPr>
        <w:t>’</w:t>
      </w:r>
      <w:r>
        <w:rPr>
          <w:rFonts w:cs="Arial" w:hint="eastAsia"/>
          <w:sz w:val="20"/>
          <w:szCs w:val="20"/>
        </w:rPr>
        <w:t>s post-hoc test</w:t>
      </w:r>
      <w:r>
        <w:rPr>
          <w:rFonts w:cs="Arial"/>
          <w:sz w:val="20"/>
          <w:szCs w:val="20"/>
        </w:rPr>
        <w:t xml:space="preserve">. </w:t>
      </w:r>
      <w:r>
        <w:rPr>
          <w:rFonts w:cs="Arial"/>
          <w:b/>
          <w:bCs/>
          <w:sz w:val="20"/>
          <w:szCs w:val="20"/>
        </w:rPr>
        <w:t xml:space="preserve">(F) </w:t>
      </w:r>
      <w:r>
        <w:rPr>
          <w:rFonts w:cs="Arial"/>
          <w:sz w:val="20"/>
          <w:szCs w:val="20"/>
        </w:rPr>
        <w:t xml:space="preserve">Representative sections at 11 dpi reveal fewer </w:t>
      </w:r>
      <w:r>
        <w:rPr>
          <w:rFonts w:cs="Arial" w:hint="eastAsia"/>
          <w:sz w:val="20"/>
          <w:szCs w:val="20"/>
        </w:rPr>
        <w:t xml:space="preserve">BODIPY+ LDs (green) </w:t>
      </w:r>
      <w:r>
        <w:rPr>
          <w:rFonts w:cs="Arial"/>
          <w:sz w:val="20"/>
          <w:szCs w:val="20"/>
        </w:rPr>
        <w:t xml:space="preserve">in </w:t>
      </w:r>
      <w:r>
        <w:rPr>
          <w:rFonts w:cs="Arial" w:hint="eastAsia"/>
          <w:sz w:val="20"/>
          <w:szCs w:val="20"/>
        </w:rPr>
        <w:t xml:space="preserve">GFAP+ </w:t>
      </w:r>
      <w:r>
        <w:rPr>
          <w:rFonts w:cs="Arial"/>
          <w:sz w:val="20"/>
          <w:szCs w:val="20"/>
        </w:rPr>
        <w:t>astrocytes</w:t>
      </w:r>
      <w:r>
        <w:rPr>
          <w:rFonts w:cs="Arial" w:hint="eastAsia"/>
          <w:sz w:val="20"/>
          <w:szCs w:val="20"/>
        </w:rPr>
        <w:t xml:space="preserve"> (red)</w:t>
      </w:r>
      <w:r>
        <w:rPr>
          <w:rFonts w:cs="Arial"/>
          <w:sz w:val="20"/>
          <w:szCs w:val="20"/>
        </w:rPr>
        <w:t xml:space="preserve"> surrounding the </w:t>
      </w:r>
      <w:r>
        <w:rPr>
          <w:rFonts w:cs="Arial" w:hint="eastAsia"/>
          <w:sz w:val="20"/>
          <w:szCs w:val="20"/>
        </w:rPr>
        <w:t>epicenter</w:t>
      </w:r>
      <w:r>
        <w:rPr>
          <w:rFonts w:cs="Arial"/>
          <w:sz w:val="20"/>
          <w:szCs w:val="20"/>
        </w:rPr>
        <w:t xml:space="preserve"> in </w:t>
      </w:r>
      <w:r>
        <w:rPr>
          <w:i/>
          <w:iCs/>
          <w:sz w:val="20"/>
          <w:szCs w:val="20"/>
        </w:rPr>
        <w:t>Apoe</w:t>
      </w:r>
      <w:r>
        <w:rPr>
          <w:i/>
          <w:iCs/>
          <w:sz w:val="20"/>
          <w:szCs w:val="20"/>
          <w:vertAlign w:val="superscript"/>
        </w:rPr>
        <w:t>-/-</w:t>
      </w:r>
      <w:r>
        <w:rPr>
          <w:rFonts w:cs="Arial"/>
          <w:sz w:val="20"/>
          <w:szCs w:val="20"/>
        </w:rPr>
        <w:t xml:space="preserve"> mice compared with WT littermates. </w:t>
      </w:r>
      <w:r>
        <w:rPr>
          <w:rFonts w:cs="Arial"/>
          <w:b/>
          <w:bCs/>
          <w:sz w:val="20"/>
          <w:szCs w:val="20"/>
        </w:rPr>
        <w:t>(G)</w:t>
      </w:r>
      <w:r>
        <w:rPr>
          <w:rFonts w:cs="Arial"/>
          <w:sz w:val="20"/>
          <w:szCs w:val="20"/>
        </w:rPr>
        <w:t xml:space="preserve"> Quantitative analysis of the data shown in (F). Data are presented as mean ± </w:t>
      </w:r>
      <w:r>
        <w:rPr>
          <w:rFonts w:cs="Arial" w:hint="eastAsia"/>
          <w:sz w:val="20"/>
          <w:szCs w:val="20"/>
        </w:rPr>
        <w:t>SD, n = 6,</w:t>
      </w:r>
      <w:r>
        <w:rPr>
          <w:rFonts w:cs="Arial"/>
          <w:sz w:val="20"/>
          <w:szCs w:val="20"/>
        </w:rPr>
        <w:t xml:space="preserve"> </w:t>
      </w:r>
      <w:r>
        <w:rPr>
          <w:rFonts w:cs="Arial" w:hint="eastAsia"/>
          <w:sz w:val="20"/>
          <w:szCs w:val="20"/>
        </w:rPr>
        <w:t>t</w:t>
      </w:r>
      <w:r>
        <w:rPr>
          <w:rFonts w:cs="Arial"/>
          <w:sz w:val="20"/>
          <w:szCs w:val="20"/>
        </w:rPr>
        <w:t>wo-tailed Student's t-test</w:t>
      </w:r>
      <w:r>
        <w:rPr>
          <w:rFonts w:cs="Arial" w:hint="eastAsia"/>
          <w:sz w:val="20"/>
          <w:szCs w:val="20"/>
        </w:rPr>
        <w:t>.</w:t>
      </w:r>
      <w:r>
        <w:rPr>
          <w:rFonts w:cs="Arial"/>
          <w:sz w:val="20"/>
          <w:szCs w:val="20"/>
        </w:rPr>
        <w:t xml:space="preserve"> </w:t>
      </w:r>
      <w:r>
        <w:rPr>
          <w:rFonts w:cs="Arial"/>
          <w:b/>
          <w:bCs/>
          <w:sz w:val="20"/>
          <w:szCs w:val="20"/>
        </w:rPr>
        <w:t>(H)</w:t>
      </w:r>
      <w:r>
        <w:rPr>
          <w:rFonts w:cs="Arial"/>
          <w:sz w:val="20"/>
          <w:szCs w:val="20"/>
        </w:rPr>
        <w:t xml:space="preserve"> Adjacent sections demonstrate a concomitant reduction in</w:t>
      </w:r>
      <w:r>
        <w:rPr>
          <w:rFonts w:cs="Arial" w:hint="eastAsia"/>
          <w:sz w:val="20"/>
          <w:szCs w:val="20"/>
        </w:rPr>
        <w:t xml:space="preserve"> NeuN+ </w:t>
      </w:r>
      <w:r>
        <w:rPr>
          <w:rFonts w:cs="Arial"/>
          <w:sz w:val="20"/>
          <w:szCs w:val="20"/>
        </w:rPr>
        <w:t>neuronal</w:t>
      </w:r>
      <w:r>
        <w:rPr>
          <w:rFonts w:cs="Arial" w:hint="eastAsia"/>
          <w:sz w:val="20"/>
          <w:szCs w:val="20"/>
        </w:rPr>
        <w:t xml:space="preserve"> (red)</w:t>
      </w:r>
      <w:r>
        <w:rPr>
          <w:rFonts w:cs="Arial"/>
          <w:sz w:val="20"/>
          <w:szCs w:val="20"/>
        </w:rPr>
        <w:t xml:space="preserve"> </w:t>
      </w:r>
      <w:r>
        <w:rPr>
          <w:rFonts w:cs="Arial" w:hint="eastAsia"/>
          <w:sz w:val="20"/>
          <w:szCs w:val="20"/>
        </w:rPr>
        <w:t xml:space="preserve">BODIPY+ LDs (green) </w:t>
      </w:r>
      <w:r>
        <w:rPr>
          <w:rFonts w:cs="Arial"/>
          <w:sz w:val="20"/>
          <w:szCs w:val="20"/>
        </w:rPr>
        <w:t xml:space="preserve">in the perilesional area of </w:t>
      </w:r>
      <w:r>
        <w:rPr>
          <w:i/>
          <w:iCs/>
          <w:sz w:val="20"/>
          <w:szCs w:val="20"/>
        </w:rPr>
        <w:t>Apoe</w:t>
      </w:r>
      <w:r>
        <w:rPr>
          <w:i/>
          <w:iCs/>
          <w:sz w:val="20"/>
          <w:szCs w:val="20"/>
          <w:vertAlign w:val="superscript"/>
        </w:rPr>
        <w:t>-/-</w:t>
      </w:r>
      <w:r>
        <w:rPr>
          <w:rFonts w:cs="Arial"/>
          <w:sz w:val="20"/>
          <w:szCs w:val="20"/>
        </w:rPr>
        <w:t xml:space="preserve"> mice relative to WT controls at 11 dpi. </w:t>
      </w:r>
      <w:r>
        <w:rPr>
          <w:rFonts w:cs="Arial"/>
          <w:b/>
          <w:bCs/>
          <w:sz w:val="20"/>
          <w:szCs w:val="20"/>
        </w:rPr>
        <w:t>(I)</w:t>
      </w:r>
      <w:r>
        <w:rPr>
          <w:rFonts w:cs="Arial"/>
          <w:sz w:val="20"/>
          <w:szCs w:val="20"/>
        </w:rPr>
        <w:t xml:space="preserve"> Quantitative summary of the findings presented in (H).</w:t>
      </w:r>
      <w:r>
        <w:rPr>
          <w:rFonts w:cs="Arial" w:hint="eastAsia"/>
          <w:sz w:val="20"/>
          <w:szCs w:val="20"/>
        </w:rPr>
        <w:t xml:space="preserve"> </w:t>
      </w:r>
      <w:r>
        <w:rPr>
          <w:rFonts w:cs="Arial"/>
          <w:sz w:val="20"/>
          <w:szCs w:val="20"/>
        </w:rPr>
        <w:t xml:space="preserve">Data are presented as mean ± </w:t>
      </w:r>
      <w:r>
        <w:rPr>
          <w:rFonts w:cs="Arial" w:hint="eastAsia"/>
          <w:sz w:val="20"/>
          <w:szCs w:val="20"/>
        </w:rPr>
        <w:t>SD, n = 6,</w:t>
      </w:r>
      <w:r>
        <w:rPr>
          <w:rFonts w:cs="Arial"/>
          <w:sz w:val="20"/>
          <w:szCs w:val="20"/>
        </w:rPr>
        <w:t xml:space="preserve"> </w:t>
      </w:r>
      <w:r>
        <w:rPr>
          <w:rFonts w:cs="Arial" w:hint="eastAsia"/>
          <w:sz w:val="20"/>
          <w:szCs w:val="20"/>
        </w:rPr>
        <w:t>t</w:t>
      </w:r>
      <w:r>
        <w:rPr>
          <w:rFonts w:cs="Arial"/>
          <w:sz w:val="20"/>
          <w:szCs w:val="20"/>
        </w:rPr>
        <w:t>wo-tailed Student's t-test</w:t>
      </w:r>
      <w:r>
        <w:rPr>
          <w:rFonts w:cs="Arial" w:hint="eastAsia"/>
          <w:sz w:val="20"/>
          <w:szCs w:val="20"/>
        </w:rPr>
        <w:t>.</w:t>
      </w:r>
    </w:p>
    <w:p w14:paraId="1A72F718" w14:textId="0F71FF33" w:rsidR="004F4C30" w:rsidRDefault="00A53647">
      <w:pPr>
        <w:rPr>
          <w:rFonts w:hint="eastAsia"/>
          <w:lang w:eastAsia="zh-CN"/>
        </w:rPr>
      </w:pPr>
      <w:r>
        <w:rPr>
          <w:noProof/>
        </w:rPr>
        <w:lastRenderedPageBreak/>
        <w:drawing>
          <wp:inline distT="0" distB="0" distL="0" distR="0" wp14:anchorId="7292D177" wp14:editId="65399A5F">
            <wp:extent cx="5943600" cy="6983730"/>
            <wp:effectExtent l="0" t="0" r="0" b="7620"/>
            <wp:docPr id="12086972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6983730"/>
                    </a:xfrm>
                    <a:prstGeom prst="rect">
                      <a:avLst/>
                    </a:prstGeom>
                    <a:noFill/>
                    <a:ln>
                      <a:noFill/>
                    </a:ln>
                  </pic:spPr>
                </pic:pic>
              </a:graphicData>
            </a:graphic>
          </wp:inline>
        </w:drawing>
      </w:r>
    </w:p>
    <w:p w14:paraId="477E0A6B" w14:textId="77777777" w:rsidR="004F4C30" w:rsidRDefault="004F4C30" w:rsidP="004F4C30">
      <w:pPr>
        <w:spacing w:line="240" w:lineRule="auto"/>
        <w:rPr>
          <w:rFonts w:cs="Arial"/>
          <w:sz w:val="20"/>
          <w:szCs w:val="20"/>
        </w:rPr>
      </w:pPr>
      <w:r>
        <w:rPr>
          <w:rFonts w:cs="Arial"/>
          <w:b/>
          <w:bCs/>
          <w:sz w:val="20"/>
          <w:szCs w:val="20"/>
        </w:rPr>
        <w:t>Supplementary Figure 3. Supporting data for spatial and single-cell RNA sequencing analyses. (A)</w:t>
      </w:r>
      <w:r>
        <w:rPr>
          <w:rFonts w:cs="Arial"/>
          <w:sz w:val="20"/>
          <w:szCs w:val="20"/>
        </w:rPr>
        <w:t xml:space="preserve"> Spatial transcriptomics plot showing the expression of </w:t>
      </w:r>
      <w:r>
        <w:rPr>
          <w:rFonts w:cs="Arial"/>
          <w:i/>
          <w:iCs/>
          <w:sz w:val="20"/>
          <w:szCs w:val="20"/>
        </w:rPr>
        <w:t>Apoe</w:t>
      </w:r>
      <w:r>
        <w:rPr>
          <w:rFonts w:cs="Arial"/>
          <w:sz w:val="20"/>
          <w:szCs w:val="20"/>
        </w:rPr>
        <w:t xml:space="preserve">, confirming its absence in </w:t>
      </w:r>
      <w:r>
        <w:rPr>
          <w:rFonts w:cs="Arial"/>
          <w:i/>
          <w:iCs/>
          <w:sz w:val="20"/>
          <w:szCs w:val="20"/>
        </w:rPr>
        <w:t>Apoe</w:t>
      </w:r>
      <w:r>
        <w:rPr>
          <w:rFonts w:cs="Arial"/>
          <w:i/>
          <w:iCs/>
          <w:sz w:val="20"/>
          <w:szCs w:val="20"/>
          <w:vertAlign w:val="superscript"/>
        </w:rPr>
        <w:t>-/-</w:t>
      </w:r>
      <w:r>
        <w:rPr>
          <w:rFonts w:cs="Arial"/>
          <w:sz w:val="20"/>
          <w:szCs w:val="20"/>
        </w:rPr>
        <w:t xml:space="preserve"> </w:t>
      </w:r>
      <w:r>
        <w:rPr>
          <w:rFonts w:cs="Arial" w:hint="eastAsia"/>
          <w:sz w:val="20"/>
          <w:szCs w:val="20"/>
        </w:rPr>
        <w:t>spinal cord</w:t>
      </w:r>
      <w:r>
        <w:rPr>
          <w:rFonts w:cs="Arial"/>
          <w:sz w:val="20"/>
          <w:szCs w:val="20"/>
        </w:rPr>
        <w:t xml:space="preserve"> and its localized expression in the lesion epicenter of WT </w:t>
      </w:r>
      <w:r>
        <w:rPr>
          <w:rFonts w:cs="Arial" w:hint="eastAsia"/>
          <w:sz w:val="20"/>
          <w:szCs w:val="20"/>
        </w:rPr>
        <w:t>spinal cord</w:t>
      </w:r>
      <w:r>
        <w:rPr>
          <w:rFonts w:cs="Arial"/>
          <w:sz w:val="20"/>
          <w:szCs w:val="20"/>
        </w:rPr>
        <w:t xml:space="preserve">. </w:t>
      </w:r>
      <w:r>
        <w:rPr>
          <w:rFonts w:cs="Arial"/>
          <w:b/>
          <w:bCs/>
          <w:sz w:val="20"/>
          <w:szCs w:val="20"/>
        </w:rPr>
        <w:t>(B)</w:t>
      </w:r>
      <w:r>
        <w:rPr>
          <w:rFonts w:cs="Arial"/>
          <w:sz w:val="20"/>
          <w:szCs w:val="20"/>
        </w:rPr>
        <w:t xml:space="preserve"> Dot plot of canonical marker genes used for cell type annotation in the spatial transcriptomics data. </w:t>
      </w:r>
      <w:r>
        <w:rPr>
          <w:rFonts w:cs="Arial"/>
          <w:b/>
          <w:bCs/>
          <w:sz w:val="20"/>
          <w:szCs w:val="20"/>
        </w:rPr>
        <w:t>(C)</w:t>
      </w:r>
      <w:r>
        <w:rPr>
          <w:rFonts w:cs="Arial"/>
          <w:sz w:val="20"/>
          <w:szCs w:val="20"/>
        </w:rPr>
        <w:t xml:space="preserve"> UMAP plot of integrated single-cell RNA sequencing (scRNA-seq) data, showing distinct cell clusters. </w:t>
      </w:r>
      <w:r>
        <w:rPr>
          <w:rFonts w:cs="Arial"/>
          <w:b/>
          <w:bCs/>
          <w:sz w:val="20"/>
          <w:szCs w:val="20"/>
        </w:rPr>
        <w:t xml:space="preserve">(D) </w:t>
      </w:r>
      <w:r>
        <w:rPr>
          <w:rFonts w:cs="Arial"/>
          <w:sz w:val="20"/>
          <w:szCs w:val="20"/>
        </w:rPr>
        <w:t xml:space="preserve">Dot plot of marker genes used for cell type annotation in the scRNA-seq data. </w:t>
      </w:r>
      <w:r>
        <w:rPr>
          <w:rFonts w:cs="Arial"/>
          <w:b/>
          <w:bCs/>
          <w:sz w:val="20"/>
          <w:szCs w:val="20"/>
        </w:rPr>
        <w:t>(E)</w:t>
      </w:r>
      <w:r>
        <w:rPr>
          <w:rFonts w:cs="Arial"/>
          <w:sz w:val="20"/>
          <w:szCs w:val="20"/>
        </w:rPr>
        <w:t xml:space="preserve"> Heatmap of top differentially expressed genes in macrophages from scRNA-seq, confirming the upregulation of complement genes in</w:t>
      </w:r>
      <w:r>
        <w:rPr>
          <w:rFonts w:cs="Arial" w:hint="eastAsia"/>
          <w:sz w:val="20"/>
          <w:szCs w:val="20"/>
        </w:rPr>
        <w:t xml:space="preserve"> </w:t>
      </w:r>
      <w:r>
        <w:rPr>
          <w:rFonts w:cs="Arial"/>
          <w:i/>
          <w:iCs/>
          <w:sz w:val="20"/>
          <w:szCs w:val="20"/>
        </w:rPr>
        <w:t>Apoe</w:t>
      </w:r>
      <w:r>
        <w:rPr>
          <w:rFonts w:cs="Arial"/>
          <w:i/>
          <w:iCs/>
          <w:sz w:val="20"/>
          <w:szCs w:val="20"/>
          <w:vertAlign w:val="superscript"/>
        </w:rPr>
        <w:t>-/-</w:t>
      </w:r>
      <w:r>
        <w:rPr>
          <w:rFonts w:cs="Arial"/>
          <w:sz w:val="20"/>
          <w:szCs w:val="20"/>
        </w:rPr>
        <w:t xml:space="preserve"> Mac. </w:t>
      </w:r>
      <w:r>
        <w:rPr>
          <w:rFonts w:cs="Arial"/>
          <w:b/>
          <w:bCs/>
          <w:sz w:val="20"/>
          <w:szCs w:val="20"/>
        </w:rPr>
        <w:t>(F)</w:t>
      </w:r>
      <w:r>
        <w:rPr>
          <w:rFonts w:cs="Arial"/>
          <w:sz w:val="20"/>
          <w:szCs w:val="20"/>
        </w:rPr>
        <w:t xml:space="preserve"> GO analysis of upregulated genes in </w:t>
      </w:r>
      <w:r>
        <w:rPr>
          <w:rFonts w:cs="Arial"/>
          <w:i/>
          <w:iCs/>
          <w:sz w:val="20"/>
          <w:szCs w:val="20"/>
        </w:rPr>
        <w:t>Apoe</w:t>
      </w:r>
      <w:r>
        <w:rPr>
          <w:rFonts w:cs="Arial"/>
          <w:i/>
          <w:iCs/>
          <w:sz w:val="20"/>
          <w:szCs w:val="20"/>
          <w:vertAlign w:val="superscript"/>
        </w:rPr>
        <w:t>-/-</w:t>
      </w:r>
      <w:r>
        <w:rPr>
          <w:rFonts w:cs="Arial"/>
          <w:sz w:val="20"/>
          <w:szCs w:val="20"/>
        </w:rPr>
        <w:t xml:space="preserve"> Mac from scRNA-</w:t>
      </w:r>
      <w:r>
        <w:rPr>
          <w:rFonts w:cs="Arial"/>
          <w:sz w:val="20"/>
          <w:szCs w:val="20"/>
        </w:rPr>
        <w:lastRenderedPageBreak/>
        <w:t xml:space="preserve">seq data. </w:t>
      </w:r>
      <w:r>
        <w:rPr>
          <w:rFonts w:cs="Arial"/>
          <w:b/>
          <w:bCs/>
          <w:sz w:val="20"/>
          <w:szCs w:val="20"/>
        </w:rPr>
        <w:t>(G)</w:t>
      </w:r>
      <w:r>
        <w:rPr>
          <w:rFonts w:cs="Arial"/>
          <w:sz w:val="20"/>
          <w:szCs w:val="20"/>
        </w:rPr>
        <w:t xml:space="preserve"> UMAP plot showing macrophage populations separated by sample origin (</w:t>
      </w:r>
      <w:r>
        <w:rPr>
          <w:rFonts w:cs="Arial"/>
          <w:i/>
          <w:iCs/>
          <w:sz w:val="20"/>
          <w:szCs w:val="20"/>
        </w:rPr>
        <w:t>Apoe</w:t>
      </w:r>
      <w:r>
        <w:rPr>
          <w:rFonts w:cs="Arial"/>
          <w:i/>
          <w:iCs/>
          <w:sz w:val="20"/>
          <w:szCs w:val="20"/>
          <w:vertAlign w:val="superscript"/>
        </w:rPr>
        <w:t>+/+</w:t>
      </w:r>
      <w:r>
        <w:rPr>
          <w:rFonts w:cs="Arial"/>
          <w:sz w:val="20"/>
          <w:szCs w:val="20"/>
        </w:rPr>
        <w:t xml:space="preserve"> vs. </w:t>
      </w:r>
      <w:r>
        <w:rPr>
          <w:rFonts w:cs="Arial"/>
          <w:i/>
          <w:iCs/>
          <w:sz w:val="20"/>
          <w:szCs w:val="20"/>
        </w:rPr>
        <w:t>Apoe</w:t>
      </w:r>
      <w:r>
        <w:rPr>
          <w:rFonts w:cs="Arial"/>
          <w:i/>
          <w:iCs/>
          <w:sz w:val="20"/>
          <w:szCs w:val="20"/>
          <w:vertAlign w:val="superscript"/>
        </w:rPr>
        <w:t>-/-</w:t>
      </w:r>
      <w:r>
        <w:rPr>
          <w:rFonts w:cs="Arial"/>
          <w:sz w:val="20"/>
          <w:szCs w:val="20"/>
        </w:rPr>
        <w:t xml:space="preserve">). </w:t>
      </w:r>
      <w:r>
        <w:rPr>
          <w:rFonts w:cs="Arial"/>
          <w:b/>
          <w:bCs/>
          <w:sz w:val="20"/>
          <w:szCs w:val="20"/>
        </w:rPr>
        <w:t>(H)</w:t>
      </w:r>
      <w:r>
        <w:rPr>
          <w:rFonts w:cs="Arial"/>
          <w:sz w:val="20"/>
          <w:szCs w:val="20"/>
        </w:rPr>
        <w:t xml:space="preserve"> Feature plots showing the expression of </w:t>
      </w:r>
      <w:r>
        <w:rPr>
          <w:rFonts w:cs="Arial"/>
          <w:i/>
          <w:iCs/>
          <w:sz w:val="20"/>
          <w:szCs w:val="20"/>
        </w:rPr>
        <w:t>C1qa</w:t>
      </w:r>
      <w:r>
        <w:rPr>
          <w:rFonts w:cs="Arial"/>
          <w:sz w:val="20"/>
          <w:szCs w:val="20"/>
        </w:rPr>
        <w:t xml:space="preserve">, </w:t>
      </w:r>
      <w:r>
        <w:rPr>
          <w:rFonts w:cs="Arial"/>
          <w:i/>
          <w:iCs/>
          <w:sz w:val="20"/>
          <w:szCs w:val="20"/>
        </w:rPr>
        <w:t>C1qb</w:t>
      </w:r>
      <w:r>
        <w:rPr>
          <w:rFonts w:cs="Arial"/>
          <w:sz w:val="20"/>
          <w:szCs w:val="20"/>
        </w:rPr>
        <w:t xml:space="preserve">, and </w:t>
      </w:r>
      <w:r>
        <w:rPr>
          <w:rFonts w:cs="Arial"/>
          <w:i/>
          <w:iCs/>
          <w:sz w:val="20"/>
          <w:szCs w:val="20"/>
        </w:rPr>
        <w:t>C1qc</w:t>
      </w:r>
      <w:r>
        <w:rPr>
          <w:rFonts w:cs="Arial"/>
          <w:sz w:val="20"/>
          <w:szCs w:val="20"/>
        </w:rPr>
        <w:t xml:space="preserve"> overlaid on the UMAP, demonstrating higher expression in the </w:t>
      </w:r>
      <w:r>
        <w:rPr>
          <w:rFonts w:cs="Arial"/>
          <w:i/>
          <w:iCs/>
          <w:sz w:val="20"/>
          <w:szCs w:val="20"/>
        </w:rPr>
        <w:t>Apoe</w:t>
      </w:r>
      <w:r>
        <w:rPr>
          <w:rFonts w:cs="Arial"/>
          <w:i/>
          <w:iCs/>
          <w:sz w:val="20"/>
          <w:szCs w:val="20"/>
          <w:vertAlign w:val="superscript"/>
        </w:rPr>
        <w:t>-/-</w:t>
      </w:r>
      <w:r>
        <w:rPr>
          <w:rFonts w:cs="Arial"/>
          <w:sz w:val="20"/>
          <w:szCs w:val="20"/>
        </w:rPr>
        <w:t xml:space="preserve"> macrophage population.</w:t>
      </w:r>
    </w:p>
    <w:p w14:paraId="49627546" w14:textId="77777777" w:rsidR="004F4C30" w:rsidRDefault="004F4C30">
      <w:r>
        <w:br w:type="page"/>
      </w:r>
    </w:p>
    <w:p w14:paraId="6139E66E" w14:textId="34F4E7E8" w:rsidR="004F4C30" w:rsidRDefault="00A53647">
      <w:pPr>
        <w:rPr>
          <w:rFonts w:hint="eastAsia"/>
          <w:lang w:eastAsia="zh-CN"/>
        </w:rPr>
      </w:pPr>
      <w:r>
        <w:rPr>
          <w:noProof/>
        </w:rPr>
        <w:lastRenderedPageBreak/>
        <w:drawing>
          <wp:inline distT="0" distB="0" distL="0" distR="0" wp14:anchorId="7444B81D" wp14:editId="08F62016">
            <wp:extent cx="5876925" cy="3895725"/>
            <wp:effectExtent l="0" t="0" r="9525" b="9525"/>
            <wp:docPr id="109170754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76925" cy="3895725"/>
                    </a:xfrm>
                    <a:prstGeom prst="rect">
                      <a:avLst/>
                    </a:prstGeom>
                    <a:noFill/>
                    <a:ln>
                      <a:noFill/>
                    </a:ln>
                  </pic:spPr>
                </pic:pic>
              </a:graphicData>
            </a:graphic>
          </wp:inline>
        </w:drawing>
      </w:r>
    </w:p>
    <w:p w14:paraId="0549E84D" w14:textId="77777777" w:rsidR="004F4C30" w:rsidRDefault="004F4C30" w:rsidP="004F4C30">
      <w:pPr>
        <w:spacing w:line="240" w:lineRule="auto"/>
        <w:rPr>
          <w:b/>
          <w:bCs/>
          <w:sz w:val="20"/>
          <w:szCs w:val="20"/>
        </w:rPr>
      </w:pPr>
      <w:r>
        <w:rPr>
          <w:b/>
          <w:bCs/>
          <w:sz w:val="20"/>
          <w:szCs w:val="20"/>
        </w:rPr>
        <w:t>Supplementary Figure 4.</w:t>
      </w:r>
      <w:r>
        <w:t xml:space="preserve"> </w:t>
      </w:r>
      <w:r>
        <w:rPr>
          <w:b/>
          <w:bCs/>
          <w:sz w:val="20"/>
          <w:szCs w:val="20"/>
        </w:rPr>
        <w:t xml:space="preserve">Increased </w:t>
      </w:r>
      <w:r>
        <w:rPr>
          <w:rFonts w:hint="eastAsia"/>
          <w:b/>
          <w:bCs/>
          <w:sz w:val="20"/>
          <w:szCs w:val="20"/>
        </w:rPr>
        <w:t>PV+</w:t>
      </w:r>
      <w:r>
        <w:rPr>
          <w:b/>
          <w:bCs/>
          <w:sz w:val="20"/>
          <w:szCs w:val="20"/>
        </w:rPr>
        <w:t xml:space="preserve"> synapse tagging and reduced inhibitory synaptic density in </w:t>
      </w:r>
      <w:r>
        <w:rPr>
          <w:b/>
          <w:bCs/>
          <w:i/>
          <w:iCs/>
          <w:sz w:val="20"/>
          <w:szCs w:val="20"/>
        </w:rPr>
        <w:t>Apoe</w:t>
      </w:r>
      <w:r>
        <w:rPr>
          <w:b/>
          <w:bCs/>
          <w:i/>
          <w:iCs/>
          <w:sz w:val="20"/>
          <w:szCs w:val="20"/>
          <w:vertAlign w:val="superscript"/>
        </w:rPr>
        <w:t>-/</w:t>
      </w:r>
      <w:r>
        <w:rPr>
          <w:rFonts w:hint="eastAsia"/>
          <w:b/>
          <w:bCs/>
          <w:i/>
          <w:iCs/>
          <w:sz w:val="20"/>
          <w:szCs w:val="20"/>
          <w:vertAlign w:val="superscript"/>
        </w:rPr>
        <w:t>-</w:t>
      </w:r>
      <w:r>
        <w:rPr>
          <w:b/>
          <w:bCs/>
          <w:sz w:val="20"/>
          <w:szCs w:val="20"/>
        </w:rPr>
        <w:t xml:space="preserve"> mice.</w:t>
      </w:r>
      <w:r>
        <w:rPr>
          <w:rFonts w:hint="eastAsia"/>
          <w:b/>
          <w:bCs/>
          <w:sz w:val="20"/>
          <w:szCs w:val="20"/>
        </w:rPr>
        <w:t xml:space="preserve"> </w:t>
      </w:r>
      <w:r>
        <w:rPr>
          <w:b/>
          <w:bCs/>
          <w:sz w:val="20"/>
          <w:szCs w:val="20"/>
        </w:rPr>
        <w:t>(A)</w:t>
      </w:r>
      <w:r>
        <w:rPr>
          <w:rFonts w:hint="eastAsia"/>
          <w:sz w:val="20"/>
          <w:szCs w:val="20"/>
        </w:rPr>
        <w:t xml:space="preserve"> </w:t>
      </w:r>
      <w:r>
        <w:rPr>
          <w:sz w:val="20"/>
          <w:szCs w:val="20"/>
        </w:rPr>
        <w:t>Representative immunofluorescence images showing the colocalization of PV (green), C1q (red), and Homer1 (blue) in the perilesional area and the lumbar walking executive cente</w:t>
      </w:r>
      <w:r>
        <w:rPr>
          <w:rFonts w:hint="eastAsia"/>
          <w:sz w:val="20"/>
          <w:szCs w:val="20"/>
        </w:rPr>
        <w:t>r</w:t>
      </w:r>
      <w:r>
        <w:rPr>
          <w:sz w:val="20"/>
          <w:szCs w:val="20"/>
        </w:rPr>
        <w:t>’</w:t>
      </w:r>
      <w:r>
        <w:rPr>
          <w:rFonts w:hint="eastAsia"/>
          <w:sz w:val="20"/>
          <w:szCs w:val="20"/>
        </w:rPr>
        <w:t>s</w:t>
      </w:r>
      <w:r>
        <w:rPr>
          <w:sz w:val="20"/>
          <w:szCs w:val="20"/>
        </w:rPr>
        <w:t xml:space="preserve"> anterior horn.</w:t>
      </w:r>
      <w:r>
        <w:rPr>
          <w:rFonts w:hint="eastAsia"/>
          <w:b/>
          <w:bCs/>
          <w:sz w:val="20"/>
          <w:szCs w:val="20"/>
        </w:rPr>
        <w:t xml:space="preserve"> </w:t>
      </w:r>
      <w:r>
        <w:rPr>
          <w:b/>
          <w:bCs/>
          <w:sz w:val="20"/>
          <w:szCs w:val="20"/>
        </w:rPr>
        <w:t>(B, C)</w:t>
      </w:r>
      <w:r>
        <w:rPr>
          <w:sz w:val="20"/>
          <w:szCs w:val="20"/>
        </w:rPr>
        <w:t xml:space="preserve"> Quantification of the frequency of C1q-tagged excitatory synapses on PV+ neurons (PV+C1q+Homer1+/PV+Homer1+) in the perilesional area (B) and the lumbar walking executive cente</w:t>
      </w:r>
      <w:r>
        <w:rPr>
          <w:rFonts w:hint="eastAsia"/>
          <w:sz w:val="20"/>
          <w:szCs w:val="20"/>
        </w:rPr>
        <w:t>r</w:t>
      </w:r>
      <w:r>
        <w:rPr>
          <w:sz w:val="20"/>
          <w:szCs w:val="20"/>
        </w:rPr>
        <w:t>’</w:t>
      </w:r>
      <w:r>
        <w:rPr>
          <w:rFonts w:hint="eastAsia"/>
          <w:sz w:val="20"/>
          <w:szCs w:val="20"/>
        </w:rPr>
        <w:t>s</w:t>
      </w:r>
      <w:r>
        <w:rPr>
          <w:sz w:val="20"/>
          <w:szCs w:val="20"/>
        </w:rPr>
        <w:t xml:space="preserve"> anterior horn (C).</w:t>
      </w:r>
      <w:r>
        <w:rPr>
          <w:rFonts w:hint="eastAsia"/>
          <w:sz w:val="20"/>
          <w:szCs w:val="20"/>
        </w:rPr>
        <w:t xml:space="preserve"> </w:t>
      </w:r>
      <w:r>
        <w:rPr>
          <w:b/>
          <w:bCs/>
          <w:sz w:val="20"/>
          <w:szCs w:val="20"/>
        </w:rPr>
        <w:t>(D)</w:t>
      </w:r>
      <w:r>
        <w:rPr>
          <w:sz w:val="20"/>
          <w:szCs w:val="20"/>
        </w:rPr>
        <w:t xml:space="preserve"> Representative immunofluorescence images showing the density of inhibitory synapses. Sections were stained for Gephyrin and VGAT</w:t>
      </w:r>
      <w:r>
        <w:rPr>
          <w:rFonts w:hint="eastAsia"/>
          <w:sz w:val="20"/>
          <w:szCs w:val="20"/>
        </w:rPr>
        <w:t xml:space="preserve"> </w:t>
      </w:r>
      <w:r>
        <w:rPr>
          <w:sz w:val="20"/>
          <w:szCs w:val="20"/>
        </w:rPr>
        <w:t>in the perilesional area and the lumbar walking executive cente</w:t>
      </w:r>
      <w:r>
        <w:rPr>
          <w:rFonts w:hint="eastAsia"/>
          <w:sz w:val="20"/>
          <w:szCs w:val="20"/>
        </w:rPr>
        <w:t>r</w:t>
      </w:r>
      <w:r>
        <w:rPr>
          <w:sz w:val="20"/>
          <w:szCs w:val="20"/>
        </w:rPr>
        <w:t>’</w:t>
      </w:r>
      <w:r>
        <w:rPr>
          <w:rFonts w:hint="eastAsia"/>
          <w:sz w:val="20"/>
          <w:szCs w:val="20"/>
        </w:rPr>
        <w:t>s</w:t>
      </w:r>
      <w:r>
        <w:rPr>
          <w:sz w:val="20"/>
          <w:szCs w:val="20"/>
        </w:rPr>
        <w:t xml:space="preserve"> anterior horn. Note the reduction in VGAT+/Gephyrin+ puncta in </w:t>
      </w:r>
      <w:r>
        <w:rPr>
          <w:i/>
          <w:iCs/>
          <w:sz w:val="20"/>
          <w:szCs w:val="20"/>
        </w:rPr>
        <w:t>Apoe</w:t>
      </w:r>
      <w:r>
        <w:rPr>
          <w:i/>
          <w:iCs/>
          <w:sz w:val="20"/>
          <w:szCs w:val="20"/>
          <w:vertAlign w:val="superscript"/>
        </w:rPr>
        <w:t>-/</w:t>
      </w:r>
      <w:r>
        <w:rPr>
          <w:rFonts w:hint="eastAsia"/>
          <w:i/>
          <w:iCs/>
          <w:sz w:val="20"/>
          <w:szCs w:val="20"/>
          <w:vertAlign w:val="superscript"/>
        </w:rPr>
        <w:t>-</w:t>
      </w:r>
      <w:r>
        <w:rPr>
          <w:sz w:val="20"/>
          <w:szCs w:val="20"/>
        </w:rPr>
        <w:t xml:space="preserve"> mice.</w:t>
      </w:r>
      <w:r>
        <w:rPr>
          <w:rFonts w:hint="eastAsia"/>
          <w:b/>
          <w:bCs/>
          <w:sz w:val="20"/>
          <w:szCs w:val="20"/>
        </w:rPr>
        <w:t xml:space="preserve"> </w:t>
      </w:r>
      <w:r>
        <w:rPr>
          <w:b/>
          <w:bCs/>
          <w:sz w:val="20"/>
          <w:szCs w:val="20"/>
        </w:rPr>
        <w:t>(</w:t>
      </w:r>
      <w:r>
        <w:rPr>
          <w:rFonts w:hint="eastAsia"/>
          <w:b/>
          <w:bCs/>
          <w:sz w:val="20"/>
          <w:szCs w:val="20"/>
        </w:rPr>
        <w:t>E</w:t>
      </w:r>
      <w:r>
        <w:rPr>
          <w:b/>
          <w:bCs/>
          <w:sz w:val="20"/>
          <w:szCs w:val="20"/>
        </w:rPr>
        <w:t xml:space="preserve">, </w:t>
      </w:r>
      <w:r>
        <w:rPr>
          <w:rFonts w:hint="eastAsia"/>
          <w:b/>
          <w:bCs/>
          <w:sz w:val="20"/>
          <w:szCs w:val="20"/>
        </w:rPr>
        <w:t>F</w:t>
      </w:r>
      <w:r>
        <w:rPr>
          <w:b/>
          <w:bCs/>
          <w:sz w:val="20"/>
          <w:szCs w:val="20"/>
        </w:rPr>
        <w:t>)</w:t>
      </w:r>
      <w:r>
        <w:rPr>
          <w:sz w:val="20"/>
          <w:szCs w:val="20"/>
        </w:rPr>
        <w:t xml:space="preserve"> Quantification of inhibitory synaptic density (VGAT+/Gephyrin+) in the perilesional area (</w:t>
      </w:r>
      <w:r>
        <w:rPr>
          <w:rFonts w:hint="eastAsia"/>
          <w:sz w:val="20"/>
          <w:szCs w:val="20"/>
        </w:rPr>
        <w:t>E</w:t>
      </w:r>
      <w:r>
        <w:rPr>
          <w:sz w:val="20"/>
          <w:szCs w:val="20"/>
        </w:rPr>
        <w:t>) and the lumbar walking executive cente</w:t>
      </w:r>
      <w:r>
        <w:rPr>
          <w:rFonts w:hint="eastAsia"/>
          <w:sz w:val="20"/>
          <w:szCs w:val="20"/>
        </w:rPr>
        <w:t>r</w:t>
      </w:r>
      <w:r>
        <w:rPr>
          <w:sz w:val="20"/>
          <w:szCs w:val="20"/>
        </w:rPr>
        <w:t>’</w:t>
      </w:r>
      <w:r>
        <w:rPr>
          <w:rFonts w:hint="eastAsia"/>
          <w:sz w:val="20"/>
          <w:szCs w:val="20"/>
        </w:rPr>
        <w:t>s</w:t>
      </w:r>
      <w:r>
        <w:rPr>
          <w:sz w:val="20"/>
          <w:szCs w:val="20"/>
        </w:rPr>
        <w:t xml:space="preserve"> anterior horn (</w:t>
      </w:r>
      <w:r>
        <w:rPr>
          <w:rFonts w:hint="eastAsia"/>
          <w:sz w:val="20"/>
          <w:szCs w:val="20"/>
        </w:rPr>
        <w:t>F</w:t>
      </w:r>
      <w:r>
        <w:rPr>
          <w:sz w:val="20"/>
          <w:szCs w:val="20"/>
        </w:rPr>
        <w:t>).</w:t>
      </w:r>
      <w:r>
        <w:rPr>
          <w:rFonts w:hint="eastAsia"/>
          <w:sz w:val="20"/>
          <w:szCs w:val="20"/>
        </w:rPr>
        <w:t xml:space="preserve"> For all the d</w:t>
      </w:r>
      <w:r>
        <w:rPr>
          <w:sz w:val="20"/>
          <w:szCs w:val="20"/>
        </w:rPr>
        <w:t xml:space="preserve">ata are presented as mean ± </w:t>
      </w:r>
      <w:r>
        <w:rPr>
          <w:rFonts w:hint="eastAsia"/>
          <w:sz w:val="20"/>
          <w:szCs w:val="20"/>
        </w:rPr>
        <w:t>SD,</w:t>
      </w:r>
      <w:r>
        <w:t xml:space="preserve"> </w:t>
      </w:r>
      <w:r>
        <w:rPr>
          <w:sz w:val="20"/>
          <w:szCs w:val="20"/>
        </w:rPr>
        <w:t>n = 6 biologically independent animals for histological analyses</w:t>
      </w:r>
      <w:r>
        <w:rPr>
          <w:rFonts w:hint="eastAsia"/>
          <w:sz w:val="20"/>
          <w:szCs w:val="20"/>
        </w:rPr>
        <w:t>,</w:t>
      </w:r>
      <w:r>
        <w:rPr>
          <w:rFonts w:cs="Arial" w:hint="eastAsia"/>
          <w:sz w:val="20"/>
          <w:szCs w:val="20"/>
        </w:rPr>
        <w:t xml:space="preserve"> t</w:t>
      </w:r>
      <w:r>
        <w:rPr>
          <w:rFonts w:cs="Arial"/>
          <w:sz w:val="20"/>
          <w:szCs w:val="20"/>
        </w:rPr>
        <w:t>wo-tailed Student's t-test</w:t>
      </w:r>
      <w:r>
        <w:rPr>
          <w:rFonts w:cs="Arial" w:hint="eastAsia"/>
          <w:sz w:val="20"/>
          <w:szCs w:val="20"/>
        </w:rPr>
        <w:t>.</w:t>
      </w:r>
      <w:r>
        <w:t xml:space="preserve"> </w:t>
      </w:r>
      <w:r>
        <w:rPr>
          <w:rFonts w:cs="Arial"/>
          <w:sz w:val="20"/>
          <w:szCs w:val="20"/>
        </w:rPr>
        <w:t>Scale bars are indicated in the images.</w:t>
      </w:r>
    </w:p>
    <w:p w14:paraId="7F617962" w14:textId="4C6E9499" w:rsidR="004F4C30" w:rsidRDefault="00A53647">
      <w:pPr>
        <w:rPr>
          <w:rFonts w:hint="eastAsia"/>
          <w:lang w:eastAsia="zh-CN"/>
        </w:rPr>
      </w:pPr>
      <w:r>
        <w:rPr>
          <w:noProof/>
        </w:rPr>
        <w:lastRenderedPageBreak/>
        <w:drawing>
          <wp:inline distT="0" distB="0" distL="0" distR="0" wp14:anchorId="160FEA9E" wp14:editId="0A19559D">
            <wp:extent cx="5876925" cy="6238875"/>
            <wp:effectExtent l="0" t="0" r="9525" b="9525"/>
            <wp:docPr id="75151980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76925" cy="6238875"/>
                    </a:xfrm>
                    <a:prstGeom prst="rect">
                      <a:avLst/>
                    </a:prstGeom>
                    <a:noFill/>
                    <a:ln>
                      <a:noFill/>
                    </a:ln>
                  </pic:spPr>
                </pic:pic>
              </a:graphicData>
            </a:graphic>
          </wp:inline>
        </w:drawing>
      </w:r>
    </w:p>
    <w:p w14:paraId="597A9345" w14:textId="77777777" w:rsidR="004F4C30" w:rsidRDefault="004F4C30">
      <w:r>
        <w:rPr>
          <w:b/>
          <w:bCs/>
          <w:sz w:val="20"/>
          <w:szCs w:val="20"/>
        </w:rPr>
        <w:t xml:space="preserve">Supplementary Figure </w:t>
      </w:r>
      <w:r>
        <w:rPr>
          <w:rFonts w:hint="eastAsia"/>
          <w:b/>
          <w:bCs/>
          <w:sz w:val="20"/>
          <w:szCs w:val="20"/>
        </w:rPr>
        <w:t>5</w:t>
      </w:r>
      <w:r>
        <w:rPr>
          <w:b/>
          <w:bCs/>
          <w:sz w:val="20"/>
          <w:szCs w:val="20"/>
        </w:rPr>
        <w:t xml:space="preserve">. Anti-C1q antibody treatment rescues synaptic density and promotes functional recovery in </w:t>
      </w:r>
      <w:r>
        <w:rPr>
          <w:b/>
          <w:bCs/>
          <w:i/>
          <w:iCs/>
          <w:sz w:val="20"/>
          <w:szCs w:val="20"/>
        </w:rPr>
        <w:t>Apoe</w:t>
      </w:r>
      <w:r>
        <w:rPr>
          <w:b/>
          <w:bCs/>
          <w:i/>
          <w:iCs/>
          <w:sz w:val="20"/>
          <w:szCs w:val="20"/>
          <w:vertAlign w:val="superscript"/>
        </w:rPr>
        <w:t>-/</w:t>
      </w:r>
      <w:r>
        <w:rPr>
          <w:rFonts w:hint="eastAsia"/>
          <w:b/>
          <w:bCs/>
          <w:i/>
          <w:iCs/>
          <w:sz w:val="20"/>
          <w:szCs w:val="20"/>
          <w:vertAlign w:val="superscript"/>
        </w:rPr>
        <w:t>-</w:t>
      </w:r>
      <w:r>
        <w:rPr>
          <w:b/>
          <w:bCs/>
          <w:sz w:val="20"/>
          <w:szCs w:val="20"/>
        </w:rPr>
        <w:t xml:space="preserve"> mice.</w:t>
      </w:r>
      <w:r>
        <w:rPr>
          <w:rFonts w:hint="eastAsia"/>
          <w:b/>
          <w:bCs/>
          <w:sz w:val="20"/>
          <w:szCs w:val="20"/>
        </w:rPr>
        <w:t xml:space="preserve"> </w:t>
      </w:r>
      <w:r>
        <w:rPr>
          <w:b/>
          <w:bCs/>
          <w:sz w:val="20"/>
          <w:szCs w:val="20"/>
        </w:rPr>
        <w:t>(A)</w:t>
      </w:r>
      <w:r>
        <w:rPr>
          <w:sz w:val="20"/>
          <w:szCs w:val="20"/>
        </w:rPr>
        <w:t xml:space="preserve"> Schematic diagram illustrating the experimental protocol for Anti-C1q neutralizing antibody treatment in </w:t>
      </w:r>
      <w:r>
        <w:rPr>
          <w:i/>
          <w:iCs/>
          <w:sz w:val="20"/>
          <w:szCs w:val="20"/>
        </w:rPr>
        <w:t>Apoe</w:t>
      </w:r>
      <w:r>
        <w:rPr>
          <w:i/>
          <w:iCs/>
          <w:sz w:val="20"/>
          <w:szCs w:val="20"/>
          <w:vertAlign w:val="superscript"/>
        </w:rPr>
        <w:t>-/</w:t>
      </w:r>
      <w:r>
        <w:rPr>
          <w:rFonts w:hint="eastAsia"/>
          <w:i/>
          <w:iCs/>
          <w:sz w:val="20"/>
          <w:szCs w:val="20"/>
          <w:vertAlign w:val="superscript"/>
        </w:rPr>
        <w:t>-</w:t>
      </w:r>
      <w:r>
        <w:rPr>
          <w:sz w:val="20"/>
          <w:szCs w:val="20"/>
        </w:rPr>
        <w:t xml:space="preserve"> mice following SCI.</w:t>
      </w:r>
      <w:r>
        <w:rPr>
          <w:rFonts w:hint="eastAsia"/>
          <w:sz w:val="20"/>
          <w:szCs w:val="20"/>
        </w:rPr>
        <w:t xml:space="preserve"> I.v., intravenous. </w:t>
      </w:r>
      <w:r>
        <w:rPr>
          <w:sz w:val="20"/>
          <w:szCs w:val="20"/>
        </w:rPr>
        <w:t>Q</w:t>
      </w:r>
      <w:r>
        <w:rPr>
          <w:rFonts w:hint="eastAsia"/>
          <w:sz w:val="20"/>
          <w:szCs w:val="20"/>
        </w:rPr>
        <w:t>.w, once a week.</w:t>
      </w:r>
      <w:r>
        <w:rPr>
          <w:rFonts w:hint="eastAsia"/>
          <w:b/>
          <w:bCs/>
          <w:sz w:val="20"/>
          <w:szCs w:val="20"/>
        </w:rPr>
        <w:t xml:space="preserve"> </w:t>
      </w:r>
      <w:r>
        <w:rPr>
          <w:b/>
          <w:bCs/>
          <w:sz w:val="20"/>
          <w:szCs w:val="20"/>
        </w:rPr>
        <w:t>(B)</w:t>
      </w:r>
      <w:r>
        <w:rPr>
          <w:sz w:val="20"/>
          <w:szCs w:val="20"/>
        </w:rPr>
        <w:t xml:space="preserve"> Representative BMS test performance images from Sham, IgG-treated, and Anti-C1q-treated </w:t>
      </w:r>
      <w:r>
        <w:rPr>
          <w:i/>
          <w:iCs/>
          <w:sz w:val="20"/>
          <w:szCs w:val="20"/>
        </w:rPr>
        <w:t>Apoe</w:t>
      </w:r>
      <w:r>
        <w:rPr>
          <w:i/>
          <w:iCs/>
          <w:sz w:val="20"/>
          <w:szCs w:val="20"/>
          <w:vertAlign w:val="superscript"/>
        </w:rPr>
        <w:t>-/</w:t>
      </w:r>
      <w:r>
        <w:rPr>
          <w:rFonts w:hint="eastAsia"/>
          <w:i/>
          <w:iCs/>
          <w:sz w:val="20"/>
          <w:szCs w:val="20"/>
          <w:vertAlign w:val="superscript"/>
        </w:rPr>
        <w:t>-</w:t>
      </w:r>
      <w:r>
        <w:rPr>
          <w:sz w:val="20"/>
          <w:szCs w:val="20"/>
        </w:rPr>
        <w:t xml:space="preserve"> mice.</w:t>
      </w:r>
      <w:r>
        <w:rPr>
          <w:rFonts w:hint="eastAsia"/>
          <w:b/>
          <w:bCs/>
          <w:sz w:val="20"/>
          <w:szCs w:val="20"/>
        </w:rPr>
        <w:t xml:space="preserve"> </w:t>
      </w:r>
      <w:r>
        <w:rPr>
          <w:b/>
          <w:bCs/>
          <w:sz w:val="20"/>
          <w:szCs w:val="20"/>
        </w:rPr>
        <w:t>(C)</w:t>
      </w:r>
      <w:r>
        <w:rPr>
          <w:rFonts w:hint="eastAsia"/>
          <w:sz w:val="20"/>
          <w:szCs w:val="20"/>
        </w:rPr>
        <w:t xml:space="preserve"> </w:t>
      </w:r>
      <w:r>
        <w:rPr>
          <w:sz w:val="20"/>
          <w:szCs w:val="20"/>
        </w:rPr>
        <w:t>BMS scores. Anti-C1q treatment significantly improved locomotor function compared to the IgG control group.</w:t>
      </w:r>
      <w:r>
        <w:rPr>
          <w:rFonts w:hint="eastAsia"/>
          <w:b/>
          <w:bCs/>
          <w:sz w:val="20"/>
          <w:szCs w:val="20"/>
        </w:rPr>
        <w:t xml:space="preserve"> </w:t>
      </w:r>
      <w:r>
        <w:rPr>
          <w:b/>
          <w:bCs/>
          <w:sz w:val="20"/>
          <w:szCs w:val="20"/>
        </w:rPr>
        <w:t>(D)</w:t>
      </w:r>
      <w:r>
        <w:rPr>
          <w:sz w:val="20"/>
          <w:szCs w:val="20"/>
        </w:rPr>
        <w:t xml:space="preserve"> Assessment of </w:t>
      </w:r>
      <w:r>
        <w:rPr>
          <w:rFonts w:hint="eastAsia"/>
          <w:sz w:val="20"/>
          <w:szCs w:val="20"/>
        </w:rPr>
        <w:t xml:space="preserve">angle </w:t>
      </w:r>
      <w:r>
        <w:rPr>
          <w:sz w:val="20"/>
          <w:szCs w:val="20"/>
        </w:rPr>
        <w:t>using the Inclined Plane test.</w:t>
      </w:r>
      <w:r>
        <w:rPr>
          <w:rFonts w:hint="eastAsia"/>
          <w:sz w:val="20"/>
          <w:szCs w:val="20"/>
        </w:rPr>
        <w:t xml:space="preserve"> D</w:t>
      </w:r>
      <w:r>
        <w:rPr>
          <w:sz w:val="20"/>
          <w:szCs w:val="20"/>
        </w:rPr>
        <w:t xml:space="preserve">ata are presented as mean ± </w:t>
      </w:r>
      <w:r>
        <w:rPr>
          <w:rFonts w:hint="eastAsia"/>
          <w:sz w:val="20"/>
          <w:szCs w:val="20"/>
        </w:rPr>
        <w:t>SD,</w:t>
      </w:r>
      <w:r>
        <w:t xml:space="preserve"> </w:t>
      </w:r>
      <w:r>
        <w:rPr>
          <w:sz w:val="20"/>
          <w:szCs w:val="20"/>
        </w:rPr>
        <w:t>n = 6 biologically independent animals for behavioral assessments</w:t>
      </w:r>
      <w:r>
        <w:rPr>
          <w:rFonts w:hint="eastAsia"/>
          <w:sz w:val="20"/>
          <w:szCs w:val="20"/>
        </w:rPr>
        <w:t>, t</w:t>
      </w:r>
      <w:r>
        <w:rPr>
          <w:sz w:val="20"/>
          <w:szCs w:val="20"/>
        </w:rPr>
        <w:t>wo-way ANOVA</w:t>
      </w:r>
      <w:r>
        <w:rPr>
          <w:rFonts w:hint="eastAsia"/>
          <w:sz w:val="20"/>
          <w:szCs w:val="20"/>
        </w:rPr>
        <w:t xml:space="preserve"> with Tukey</w:t>
      </w:r>
      <w:r>
        <w:rPr>
          <w:sz w:val="20"/>
          <w:szCs w:val="20"/>
        </w:rPr>
        <w:t>’</w:t>
      </w:r>
      <w:r>
        <w:rPr>
          <w:rFonts w:hint="eastAsia"/>
          <w:sz w:val="20"/>
          <w:szCs w:val="20"/>
        </w:rPr>
        <w:t>s post-hoc test.</w:t>
      </w:r>
      <w:r>
        <w:rPr>
          <w:rFonts w:hint="eastAsia"/>
          <w:b/>
          <w:bCs/>
          <w:sz w:val="20"/>
          <w:szCs w:val="20"/>
        </w:rPr>
        <w:t xml:space="preserve"> </w:t>
      </w:r>
      <w:r>
        <w:rPr>
          <w:b/>
          <w:bCs/>
          <w:sz w:val="20"/>
          <w:szCs w:val="20"/>
        </w:rPr>
        <w:t>(E)</w:t>
      </w:r>
      <w:r>
        <w:rPr>
          <w:sz w:val="20"/>
          <w:szCs w:val="20"/>
        </w:rPr>
        <w:t xml:space="preserve"> Representative triple immunofluorescence images of excitatory synapses in the perilesional area and the anterior horn of the lumbar enlargement. Sections were stained for ChAT, VGLUT2, and Homer1. Note the preservation of VGLUT2+Homer1+ excitatory synaptic density in Anti-C1q-treated mice compared to IgG-treated controls.</w:t>
      </w:r>
      <w:r>
        <w:rPr>
          <w:rFonts w:hint="eastAsia"/>
          <w:b/>
          <w:bCs/>
          <w:sz w:val="20"/>
          <w:szCs w:val="20"/>
        </w:rPr>
        <w:t xml:space="preserve"> </w:t>
      </w:r>
      <w:r>
        <w:rPr>
          <w:b/>
          <w:bCs/>
          <w:sz w:val="20"/>
          <w:szCs w:val="20"/>
        </w:rPr>
        <w:t>(F, G)</w:t>
      </w:r>
      <w:r>
        <w:rPr>
          <w:sz w:val="20"/>
          <w:szCs w:val="20"/>
        </w:rPr>
        <w:t xml:space="preserve"> Quantification of </w:t>
      </w:r>
      <w:r>
        <w:rPr>
          <w:sz w:val="20"/>
          <w:szCs w:val="20"/>
        </w:rPr>
        <w:lastRenderedPageBreak/>
        <w:t>excitatory synaptic density (VGLUT2+Homer1+) in the perilesional area (F) and in the lumbar walking executive cente</w:t>
      </w:r>
      <w:r>
        <w:rPr>
          <w:rFonts w:hint="eastAsia"/>
          <w:sz w:val="20"/>
          <w:szCs w:val="20"/>
        </w:rPr>
        <w:t>r</w:t>
      </w:r>
      <w:r>
        <w:rPr>
          <w:sz w:val="20"/>
          <w:szCs w:val="20"/>
        </w:rPr>
        <w:t>’</w:t>
      </w:r>
      <w:r>
        <w:rPr>
          <w:rFonts w:hint="eastAsia"/>
          <w:sz w:val="20"/>
          <w:szCs w:val="20"/>
        </w:rPr>
        <w:t>s</w:t>
      </w:r>
      <w:r>
        <w:rPr>
          <w:sz w:val="20"/>
          <w:szCs w:val="20"/>
        </w:rPr>
        <w:t xml:space="preserve"> anterior horn (G).</w:t>
      </w:r>
      <w:r>
        <w:rPr>
          <w:rFonts w:hint="eastAsia"/>
          <w:sz w:val="20"/>
          <w:szCs w:val="20"/>
        </w:rPr>
        <w:t xml:space="preserve"> D</w:t>
      </w:r>
      <w:r>
        <w:rPr>
          <w:sz w:val="20"/>
          <w:szCs w:val="20"/>
        </w:rPr>
        <w:t xml:space="preserve">ata are presented as mean ± </w:t>
      </w:r>
      <w:r>
        <w:rPr>
          <w:rFonts w:hint="eastAsia"/>
          <w:sz w:val="20"/>
          <w:szCs w:val="20"/>
        </w:rPr>
        <w:t>SD,</w:t>
      </w:r>
      <w:r>
        <w:t xml:space="preserve"> </w:t>
      </w:r>
      <w:r>
        <w:rPr>
          <w:sz w:val="20"/>
          <w:szCs w:val="20"/>
        </w:rPr>
        <w:t>n = 6 biologically independent animals for histological analyses</w:t>
      </w:r>
      <w:r>
        <w:rPr>
          <w:rFonts w:hint="eastAsia"/>
          <w:sz w:val="20"/>
          <w:szCs w:val="20"/>
        </w:rPr>
        <w:t>,</w:t>
      </w:r>
      <w:r>
        <w:rPr>
          <w:rFonts w:cs="Arial" w:hint="eastAsia"/>
          <w:sz w:val="20"/>
          <w:szCs w:val="20"/>
        </w:rPr>
        <w:t xml:space="preserve"> t</w:t>
      </w:r>
      <w:r>
        <w:rPr>
          <w:rFonts w:cs="Arial"/>
          <w:sz w:val="20"/>
          <w:szCs w:val="20"/>
        </w:rPr>
        <w:t>wo-tailed Student's t-test</w:t>
      </w:r>
      <w:r>
        <w:rPr>
          <w:rFonts w:cs="Arial" w:hint="eastAsia"/>
          <w:sz w:val="20"/>
          <w:szCs w:val="20"/>
        </w:rPr>
        <w:t>.</w:t>
      </w:r>
      <w:r>
        <w:t xml:space="preserve"> </w:t>
      </w:r>
      <w:r>
        <w:rPr>
          <w:rFonts w:cs="Arial"/>
          <w:sz w:val="20"/>
          <w:szCs w:val="20"/>
        </w:rPr>
        <w:t>Scale bars are indicated in the images.</w:t>
      </w:r>
      <w:r>
        <w:br w:type="page"/>
      </w:r>
    </w:p>
    <w:p w14:paraId="4E70A2D8" w14:textId="39FA7815" w:rsidR="004F4C30" w:rsidRDefault="00A53647">
      <w:pPr>
        <w:rPr>
          <w:rFonts w:hint="eastAsia"/>
          <w:lang w:eastAsia="zh-CN"/>
        </w:rPr>
      </w:pPr>
      <w:r>
        <w:rPr>
          <w:noProof/>
        </w:rPr>
        <w:lastRenderedPageBreak/>
        <w:drawing>
          <wp:inline distT="0" distB="0" distL="0" distR="0" wp14:anchorId="350F7A71" wp14:editId="0ECA833C">
            <wp:extent cx="5895975" cy="6896100"/>
            <wp:effectExtent l="0" t="0" r="9525" b="0"/>
            <wp:docPr id="94682204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95975" cy="6896100"/>
                    </a:xfrm>
                    <a:prstGeom prst="rect">
                      <a:avLst/>
                    </a:prstGeom>
                    <a:noFill/>
                    <a:ln>
                      <a:noFill/>
                    </a:ln>
                  </pic:spPr>
                </pic:pic>
              </a:graphicData>
            </a:graphic>
          </wp:inline>
        </w:drawing>
      </w:r>
    </w:p>
    <w:p w14:paraId="52241E12" w14:textId="4E9A909E" w:rsidR="00A53647" w:rsidRDefault="004F4C30" w:rsidP="004F4C30">
      <w:pPr>
        <w:spacing w:line="240" w:lineRule="auto"/>
        <w:rPr>
          <w:sz w:val="20"/>
          <w:szCs w:val="20"/>
        </w:rPr>
      </w:pPr>
      <w:r>
        <w:rPr>
          <w:rFonts w:cs="Arial"/>
          <w:b/>
          <w:bCs/>
          <w:sz w:val="20"/>
          <w:szCs w:val="20"/>
        </w:rPr>
        <w:t xml:space="preserve">Supplementary Figure </w:t>
      </w:r>
      <w:r>
        <w:rPr>
          <w:rFonts w:cs="Arial" w:hint="eastAsia"/>
          <w:b/>
          <w:bCs/>
          <w:sz w:val="20"/>
          <w:szCs w:val="20"/>
        </w:rPr>
        <w:t>6</w:t>
      </w:r>
      <w:r>
        <w:rPr>
          <w:rFonts w:cs="Arial"/>
          <w:b/>
          <w:bCs/>
          <w:sz w:val="20"/>
          <w:szCs w:val="20"/>
        </w:rPr>
        <w:t xml:space="preserve">. </w:t>
      </w:r>
      <w:r>
        <w:rPr>
          <w:rFonts w:cs="Arial" w:hint="eastAsia"/>
          <w:b/>
          <w:bCs/>
          <w:sz w:val="20"/>
          <w:szCs w:val="20"/>
        </w:rPr>
        <w:t>Infection</w:t>
      </w:r>
      <w:r>
        <w:rPr>
          <w:rFonts w:cs="Arial"/>
          <w:b/>
          <w:bCs/>
          <w:sz w:val="20"/>
          <w:szCs w:val="20"/>
        </w:rPr>
        <w:t xml:space="preserve"> efficiency</w:t>
      </w:r>
      <w:r>
        <w:rPr>
          <w:rFonts w:cs="Arial" w:hint="eastAsia"/>
          <w:b/>
          <w:bCs/>
          <w:sz w:val="20"/>
          <w:szCs w:val="20"/>
        </w:rPr>
        <w:t xml:space="preserve">, </w:t>
      </w:r>
      <w:r>
        <w:rPr>
          <w:b/>
          <w:bCs/>
          <w:sz w:val="20"/>
          <w:szCs w:val="20"/>
        </w:rPr>
        <w:t>synaptic density</w:t>
      </w:r>
      <w:r>
        <w:rPr>
          <w:rFonts w:cs="Arial"/>
          <w:b/>
          <w:bCs/>
          <w:sz w:val="20"/>
          <w:szCs w:val="20"/>
        </w:rPr>
        <w:t xml:space="preserve"> </w:t>
      </w:r>
      <w:r>
        <w:rPr>
          <w:rFonts w:cs="Arial" w:hint="eastAsia"/>
          <w:b/>
          <w:bCs/>
          <w:sz w:val="20"/>
          <w:szCs w:val="20"/>
        </w:rPr>
        <w:t xml:space="preserve">rescue and </w:t>
      </w:r>
      <w:r>
        <w:rPr>
          <w:rFonts w:cs="Arial"/>
          <w:b/>
          <w:bCs/>
          <w:sz w:val="20"/>
          <w:szCs w:val="20"/>
        </w:rPr>
        <w:t xml:space="preserve">functional recovery following macrophage-specific APOE re-expression in </w:t>
      </w:r>
      <w:r>
        <w:rPr>
          <w:rFonts w:cs="Arial"/>
          <w:b/>
          <w:bCs/>
          <w:i/>
          <w:iCs/>
          <w:sz w:val="20"/>
          <w:szCs w:val="20"/>
        </w:rPr>
        <w:t>Apoe</w:t>
      </w:r>
      <w:r>
        <w:rPr>
          <w:rFonts w:cs="Arial"/>
          <w:b/>
          <w:bCs/>
          <w:i/>
          <w:iCs/>
          <w:sz w:val="20"/>
          <w:szCs w:val="20"/>
          <w:vertAlign w:val="superscript"/>
        </w:rPr>
        <w:t>-/-</w:t>
      </w:r>
      <w:r>
        <w:rPr>
          <w:rFonts w:cs="Arial"/>
          <w:b/>
          <w:bCs/>
          <w:sz w:val="20"/>
          <w:szCs w:val="20"/>
        </w:rPr>
        <w:t xml:space="preserve"> mice.</w:t>
      </w:r>
      <w:r>
        <w:rPr>
          <w:rFonts w:cs="Arial"/>
          <w:sz w:val="20"/>
          <w:szCs w:val="20"/>
        </w:rPr>
        <w:t xml:space="preserve"> </w:t>
      </w:r>
      <w:r>
        <w:rPr>
          <w:rFonts w:cs="Arial"/>
          <w:b/>
          <w:bCs/>
          <w:sz w:val="20"/>
          <w:szCs w:val="20"/>
        </w:rPr>
        <w:t xml:space="preserve">(A) </w:t>
      </w:r>
      <w:r>
        <w:rPr>
          <w:rFonts w:cs="Arial"/>
          <w:sz w:val="20"/>
          <w:szCs w:val="20"/>
        </w:rPr>
        <w:t>Representative images showing mCherry expression (red) in F4/80+ macrophages (green) in the lesion core, demonstrating successful AAV transduction.</w:t>
      </w:r>
      <w:r>
        <w:rPr>
          <w:rFonts w:cs="Arial" w:hint="eastAsia"/>
          <w:sz w:val="20"/>
          <w:szCs w:val="20"/>
        </w:rPr>
        <w:t xml:space="preserve"> </w:t>
      </w:r>
      <w:r>
        <w:rPr>
          <w:rFonts w:cs="Arial"/>
          <w:b/>
          <w:bCs/>
          <w:sz w:val="20"/>
          <w:szCs w:val="20"/>
        </w:rPr>
        <w:t>(B)</w:t>
      </w:r>
      <w:r>
        <w:rPr>
          <w:rFonts w:cs="Arial"/>
          <w:sz w:val="20"/>
          <w:szCs w:val="20"/>
        </w:rPr>
        <w:t xml:space="preserve"> Quantification of the percentage of F4/80+ macrophages expressing mCherry, showing high transduction efficiency for both control (</w:t>
      </w:r>
      <w:r>
        <w:rPr>
          <w:rFonts w:cs="Arial"/>
          <w:i/>
          <w:iCs/>
          <w:sz w:val="20"/>
          <w:szCs w:val="20"/>
        </w:rPr>
        <w:t>NC</w:t>
      </w:r>
      <w:r>
        <w:rPr>
          <w:rFonts w:cs="Arial"/>
          <w:sz w:val="20"/>
          <w:szCs w:val="20"/>
        </w:rPr>
        <w:t xml:space="preserve">) and </w:t>
      </w:r>
      <w:r>
        <w:rPr>
          <w:rFonts w:cs="Arial"/>
          <w:i/>
          <w:iCs/>
          <w:sz w:val="20"/>
          <w:szCs w:val="20"/>
        </w:rPr>
        <w:t>Apoe</w:t>
      </w:r>
      <w:r>
        <w:rPr>
          <w:rFonts w:cs="Arial"/>
          <w:sz w:val="20"/>
          <w:szCs w:val="20"/>
        </w:rPr>
        <w:t>-expressing AAVs.</w:t>
      </w:r>
      <w:r>
        <w:rPr>
          <w:rFonts w:cs="Arial" w:hint="eastAsia"/>
          <w:sz w:val="20"/>
          <w:szCs w:val="20"/>
        </w:rPr>
        <w:t xml:space="preserve"> </w:t>
      </w:r>
      <w:r>
        <w:rPr>
          <w:rFonts w:cs="Arial"/>
          <w:sz w:val="20"/>
          <w:szCs w:val="20"/>
        </w:rPr>
        <w:t xml:space="preserve">Data are presented as mean ± </w:t>
      </w:r>
      <w:r>
        <w:rPr>
          <w:rFonts w:cs="Arial" w:hint="eastAsia"/>
          <w:sz w:val="20"/>
          <w:szCs w:val="20"/>
        </w:rPr>
        <w:t>SD</w:t>
      </w:r>
      <w:r>
        <w:rPr>
          <w:rFonts w:cs="Arial"/>
          <w:sz w:val="20"/>
          <w:szCs w:val="20"/>
        </w:rPr>
        <w:t>.</w:t>
      </w:r>
      <w:r>
        <w:rPr>
          <w:rFonts w:cs="Arial" w:hint="eastAsia"/>
          <w:sz w:val="20"/>
          <w:szCs w:val="20"/>
        </w:rPr>
        <w:t xml:space="preserve"> n = 6,</w:t>
      </w:r>
      <w:r>
        <w:rPr>
          <w:rFonts w:cs="Arial"/>
          <w:sz w:val="20"/>
          <w:szCs w:val="20"/>
        </w:rPr>
        <w:t xml:space="preserve"> </w:t>
      </w:r>
      <w:r>
        <w:rPr>
          <w:rFonts w:cs="Arial" w:hint="eastAsia"/>
          <w:sz w:val="20"/>
          <w:szCs w:val="20"/>
        </w:rPr>
        <w:t>t</w:t>
      </w:r>
      <w:r>
        <w:rPr>
          <w:rFonts w:cs="Arial"/>
          <w:sz w:val="20"/>
          <w:szCs w:val="20"/>
        </w:rPr>
        <w:t>wo-tailed Student's t-test</w:t>
      </w:r>
      <w:r>
        <w:rPr>
          <w:rFonts w:cs="Arial" w:hint="eastAsia"/>
          <w:sz w:val="20"/>
          <w:szCs w:val="20"/>
        </w:rPr>
        <w:t>.</w:t>
      </w:r>
      <w:r>
        <w:rPr>
          <w:rFonts w:hint="eastAsia"/>
          <w:sz w:val="20"/>
          <w:szCs w:val="20"/>
        </w:rPr>
        <w:t xml:space="preserve"> </w:t>
      </w:r>
      <w:r>
        <w:rPr>
          <w:rFonts w:cs="Arial"/>
          <w:b/>
          <w:bCs/>
          <w:sz w:val="20"/>
          <w:szCs w:val="20"/>
        </w:rPr>
        <w:t>(</w:t>
      </w:r>
      <w:r>
        <w:rPr>
          <w:rFonts w:cs="Arial" w:hint="eastAsia"/>
          <w:b/>
          <w:bCs/>
          <w:sz w:val="20"/>
          <w:szCs w:val="20"/>
        </w:rPr>
        <w:t>C</w:t>
      </w:r>
      <w:r>
        <w:rPr>
          <w:rFonts w:cs="Arial"/>
          <w:b/>
          <w:bCs/>
          <w:sz w:val="20"/>
          <w:szCs w:val="20"/>
        </w:rPr>
        <w:t>-</w:t>
      </w:r>
      <w:r>
        <w:rPr>
          <w:rFonts w:cs="Arial" w:hint="eastAsia"/>
          <w:b/>
          <w:bCs/>
          <w:sz w:val="20"/>
          <w:szCs w:val="20"/>
        </w:rPr>
        <w:t>E</w:t>
      </w:r>
      <w:r>
        <w:rPr>
          <w:rFonts w:cs="Arial"/>
          <w:b/>
          <w:bCs/>
          <w:sz w:val="20"/>
          <w:szCs w:val="20"/>
        </w:rPr>
        <w:t>)</w:t>
      </w:r>
      <w:r>
        <w:t xml:space="preserve"> </w:t>
      </w:r>
      <w:r>
        <w:rPr>
          <w:rFonts w:cs="Arial"/>
          <w:sz w:val="20"/>
          <w:szCs w:val="20"/>
        </w:rPr>
        <w:t xml:space="preserve">APOE re-expression significantly rescued inhibitory synaptic density </w:t>
      </w:r>
      <w:r>
        <w:rPr>
          <w:sz w:val="20"/>
          <w:szCs w:val="20"/>
        </w:rPr>
        <w:t>in the perilesional area (</w:t>
      </w:r>
      <w:r>
        <w:rPr>
          <w:rFonts w:hint="eastAsia"/>
          <w:sz w:val="20"/>
          <w:szCs w:val="20"/>
        </w:rPr>
        <w:t>D</w:t>
      </w:r>
      <w:r>
        <w:rPr>
          <w:sz w:val="20"/>
          <w:szCs w:val="20"/>
        </w:rPr>
        <w:t>) and in the lumbar walking executive cente</w:t>
      </w:r>
      <w:r>
        <w:rPr>
          <w:rFonts w:hint="eastAsia"/>
          <w:sz w:val="20"/>
          <w:szCs w:val="20"/>
        </w:rPr>
        <w:t>r</w:t>
      </w:r>
      <w:r>
        <w:rPr>
          <w:sz w:val="20"/>
          <w:szCs w:val="20"/>
        </w:rPr>
        <w:t>’</w:t>
      </w:r>
      <w:r>
        <w:rPr>
          <w:rFonts w:hint="eastAsia"/>
          <w:sz w:val="20"/>
          <w:szCs w:val="20"/>
        </w:rPr>
        <w:t>s</w:t>
      </w:r>
      <w:r>
        <w:rPr>
          <w:sz w:val="20"/>
          <w:szCs w:val="20"/>
        </w:rPr>
        <w:t xml:space="preserve"> anterior horn (</w:t>
      </w:r>
      <w:r>
        <w:rPr>
          <w:rFonts w:hint="eastAsia"/>
          <w:sz w:val="20"/>
          <w:szCs w:val="20"/>
        </w:rPr>
        <w:t>E</w:t>
      </w:r>
      <w:r>
        <w:rPr>
          <w:sz w:val="20"/>
          <w:szCs w:val="20"/>
        </w:rPr>
        <w:t>)</w:t>
      </w:r>
      <w:r>
        <w:rPr>
          <w:rFonts w:cs="Arial"/>
          <w:sz w:val="20"/>
          <w:szCs w:val="20"/>
        </w:rPr>
        <w:t>.</w:t>
      </w:r>
      <w:r>
        <w:rPr>
          <w:rFonts w:cs="Arial" w:hint="eastAsia"/>
          <w:sz w:val="20"/>
          <w:szCs w:val="20"/>
        </w:rPr>
        <w:t xml:space="preserve"> </w:t>
      </w:r>
      <w:r>
        <w:rPr>
          <w:rFonts w:cs="Arial"/>
          <w:sz w:val="20"/>
          <w:szCs w:val="20"/>
        </w:rPr>
        <w:t xml:space="preserve">Data are presented as mean ± </w:t>
      </w:r>
      <w:r>
        <w:rPr>
          <w:rFonts w:cs="Arial" w:hint="eastAsia"/>
          <w:sz w:val="20"/>
          <w:szCs w:val="20"/>
        </w:rPr>
        <w:t>SD</w:t>
      </w:r>
      <w:r>
        <w:rPr>
          <w:rFonts w:cs="Arial"/>
          <w:sz w:val="20"/>
          <w:szCs w:val="20"/>
        </w:rPr>
        <w:t>.</w:t>
      </w:r>
      <w:r>
        <w:rPr>
          <w:rFonts w:cs="Arial" w:hint="eastAsia"/>
          <w:sz w:val="20"/>
          <w:szCs w:val="20"/>
        </w:rPr>
        <w:t xml:space="preserve"> n = 6,</w:t>
      </w:r>
      <w:r>
        <w:rPr>
          <w:rFonts w:cs="Arial"/>
          <w:sz w:val="20"/>
          <w:szCs w:val="20"/>
        </w:rPr>
        <w:t xml:space="preserve"> </w:t>
      </w:r>
      <w:r>
        <w:rPr>
          <w:rFonts w:cs="Arial" w:hint="eastAsia"/>
          <w:sz w:val="20"/>
          <w:szCs w:val="20"/>
        </w:rPr>
        <w:t>t</w:t>
      </w:r>
      <w:r>
        <w:rPr>
          <w:rFonts w:cs="Arial"/>
          <w:sz w:val="20"/>
          <w:szCs w:val="20"/>
        </w:rPr>
        <w:t xml:space="preserve">wo-tailed </w:t>
      </w:r>
      <w:r>
        <w:rPr>
          <w:rFonts w:cs="Arial"/>
          <w:sz w:val="20"/>
          <w:szCs w:val="20"/>
        </w:rPr>
        <w:lastRenderedPageBreak/>
        <w:t>Student's t-test</w:t>
      </w:r>
      <w:r>
        <w:rPr>
          <w:rFonts w:cs="Arial" w:hint="eastAsia"/>
          <w:sz w:val="20"/>
          <w:szCs w:val="20"/>
        </w:rPr>
        <w:t>.</w:t>
      </w:r>
      <w:r>
        <w:rPr>
          <w:rFonts w:cs="Arial"/>
          <w:b/>
          <w:bCs/>
          <w:sz w:val="20"/>
          <w:szCs w:val="20"/>
        </w:rPr>
        <w:t xml:space="preserve"> (</w:t>
      </w:r>
      <w:r>
        <w:rPr>
          <w:rFonts w:cs="Arial" w:hint="eastAsia"/>
          <w:b/>
          <w:bCs/>
          <w:sz w:val="20"/>
          <w:szCs w:val="20"/>
        </w:rPr>
        <w:t>F</w:t>
      </w:r>
      <w:r>
        <w:rPr>
          <w:rFonts w:cs="Arial"/>
          <w:b/>
          <w:bCs/>
          <w:sz w:val="20"/>
          <w:szCs w:val="20"/>
        </w:rPr>
        <w:t>-</w:t>
      </w:r>
      <w:r>
        <w:rPr>
          <w:rFonts w:cs="Arial" w:hint="eastAsia"/>
          <w:b/>
          <w:bCs/>
          <w:sz w:val="20"/>
          <w:szCs w:val="20"/>
        </w:rPr>
        <w:t>H</w:t>
      </w:r>
      <w:r>
        <w:rPr>
          <w:rFonts w:cs="Arial"/>
          <w:b/>
          <w:bCs/>
          <w:sz w:val="20"/>
          <w:szCs w:val="20"/>
        </w:rPr>
        <w:t>)</w:t>
      </w:r>
      <w:r>
        <w:rPr>
          <w:rFonts w:cs="Arial"/>
          <w:sz w:val="20"/>
          <w:szCs w:val="20"/>
        </w:rPr>
        <w:t xml:space="preserve"> </w:t>
      </w:r>
      <w:r>
        <w:rPr>
          <w:rFonts w:cs="Arial" w:hint="eastAsia"/>
          <w:sz w:val="20"/>
          <w:szCs w:val="20"/>
        </w:rPr>
        <w:t>Functional</w:t>
      </w:r>
      <w:r>
        <w:rPr>
          <w:rFonts w:cs="Arial"/>
          <w:sz w:val="20"/>
          <w:szCs w:val="20"/>
        </w:rPr>
        <w:t xml:space="preserve"> analysis showing improved locomotor recovery in </w:t>
      </w:r>
      <w:r>
        <w:rPr>
          <w:rFonts w:cs="Arial"/>
          <w:i/>
          <w:iCs/>
          <w:sz w:val="20"/>
          <w:szCs w:val="20"/>
        </w:rPr>
        <w:t>Apoe</w:t>
      </w:r>
      <w:r>
        <w:rPr>
          <w:rFonts w:cs="Arial"/>
          <w:i/>
          <w:iCs/>
          <w:sz w:val="20"/>
          <w:szCs w:val="20"/>
          <w:vertAlign w:val="superscript"/>
        </w:rPr>
        <w:t>-/-</w:t>
      </w:r>
      <w:r>
        <w:rPr>
          <w:rFonts w:cs="Arial"/>
          <w:sz w:val="20"/>
          <w:szCs w:val="20"/>
        </w:rPr>
        <w:t xml:space="preserve"> mice treated with AAV9-F4/80-</w:t>
      </w:r>
      <w:r>
        <w:rPr>
          <w:rFonts w:cs="Arial"/>
          <w:i/>
          <w:iCs/>
          <w:sz w:val="20"/>
          <w:szCs w:val="20"/>
        </w:rPr>
        <w:t>Apoe</w:t>
      </w:r>
      <w:r>
        <w:rPr>
          <w:rFonts w:cs="Arial"/>
          <w:sz w:val="20"/>
          <w:szCs w:val="20"/>
        </w:rPr>
        <w:t xml:space="preserve">-mCherry compared to the </w:t>
      </w:r>
      <w:r>
        <w:rPr>
          <w:rFonts w:cs="Arial" w:hint="eastAsia"/>
          <w:i/>
          <w:iCs/>
          <w:sz w:val="20"/>
          <w:szCs w:val="20"/>
        </w:rPr>
        <w:t>NC</w:t>
      </w:r>
      <w:r>
        <w:rPr>
          <w:rFonts w:cs="Arial"/>
          <w:sz w:val="20"/>
          <w:szCs w:val="20"/>
        </w:rPr>
        <w:t xml:space="preserve"> group. (</w:t>
      </w:r>
      <w:r>
        <w:rPr>
          <w:rFonts w:cs="Arial" w:hint="eastAsia"/>
          <w:sz w:val="20"/>
          <w:szCs w:val="20"/>
        </w:rPr>
        <w:t>F</w:t>
      </w:r>
      <w:r>
        <w:rPr>
          <w:rFonts w:cs="Arial"/>
          <w:sz w:val="20"/>
          <w:szCs w:val="20"/>
        </w:rPr>
        <w:t>) Representative images. (</w:t>
      </w:r>
      <w:r>
        <w:rPr>
          <w:rFonts w:cs="Arial" w:hint="eastAsia"/>
          <w:sz w:val="20"/>
          <w:szCs w:val="20"/>
        </w:rPr>
        <w:t>G</w:t>
      </w:r>
      <w:r>
        <w:rPr>
          <w:rFonts w:cs="Arial"/>
          <w:sz w:val="20"/>
          <w:szCs w:val="20"/>
        </w:rPr>
        <w:t>) BMS scores, (</w:t>
      </w:r>
      <w:r>
        <w:rPr>
          <w:rFonts w:cs="Arial" w:hint="eastAsia"/>
          <w:sz w:val="20"/>
          <w:szCs w:val="20"/>
        </w:rPr>
        <w:t>H</w:t>
      </w:r>
      <w:r>
        <w:rPr>
          <w:rFonts w:cs="Arial"/>
          <w:sz w:val="20"/>
          <w:szCs w:val="20"/>
        </w:rPr>
        <w:t>)</w:t>
      </w:r>
      <w:r>
        <w:rPr>
          <w:rFonts w:cs="Arial" w:hint="eastAsia"/>
          <w:sz w:val="20"/>
          <w:szCs w:val="20"/>
        </w:rPr>
        <w:t xml:space="preserve"> </w:t>
      </w:r>
      <w:r>
        <w:rPr>
          <w:rFonts w:cs="Arial"/>
          <w:sz w:val="20"/>
          <w:szCs w:val="20"/>
        </w:rPr>
        <w:t xml:space="preserve">Inclined plane test results. Data are presented as mean ± </w:t>
      </w:r>
      <w:r>
        <w:rPr>
          <w:rFonts w:cs="Arial" w:hint="eastAsia"/>
          <w:sz w:val="20"/>
          <w:szCs w:val="20"/>
        </w:rPr>
        <w:t xml:space="preserve">SD, n = 9, </w:t>
      </w:r>
      <w:r>
        <w:rPr>
          <w:rFonts w:hint="eastAsia"/>
          <w:sz w:val="20"/>
          <w:szCs w:val="20"/>
        </w:rPr>
        <w:t>t</w:t>
      </w:r>
      <w:r>
        <w:rPr>
          <w:sz w:val="20"/>
          <w:szCs w:val="20"/>
        </w:rPr>
        <w:t>wo-way ANOVA</w:t>
      </w:r>
      <w:r>
        <w:rPr>
          <w:rFonts w:hint="eastAsia"/>
          <w:sz w:val="20"/>
          <w:szCs w:val="20"/>
        </w:rPr>
        <w:t xml:space="preserve"> with Tukey</w:t>
      </w:r>
      <w:r>
        <w:rPr>
          <w:sz w:val="20"/>
          <w:szCs w:val="20"/>
        </w:rPr>
        <w:t>’</w:t>
      </w:r>
      <w:r>
        <w:rPr>
          <w:rFonts w:hint="eastAsia"/>
          <w:sz w:val="20"/>
          <w:szCs w:val="20"/>
        </w:rPr>
        <w:t>s post-hoc test</w:t>
      </w:r>
      <w:r>
        <w:rPr>
          <w:sz w:val="20"/>
          <w:szCs w:val="20"/>
        </w:rPr>
        <w:t xml:space="preserve">. Normality and homogeneity of variances were verified by Shapiro–Wilk and Levene’s tests, respectively, before </w:t>
      </w:r>
      <w:r>
        <w:rPr>
          <w:rFonts w:hint="eastAsia"/>
          <w:sz w:val="20"/>
          <w:szCs w:val="20"/>
        </w:rPr>
        <w:t>two</w:t>
      </w:r>
      <w:r>
        <w:rPr>
          <w:sz w:val="20"/>
          <w:szCs w:val="20"/>
        </w:rPr>
        <w:t>-way ANOVA.</w:t>
      </w:r>
      <w:r>
        <w:rPr>
          <w:rFonts w:hint="eastAsia"/>
          <w:sz w:val="20"/>
          <w:szCs w:val="20"/>
        </w:rPr>
        <w:t xml:space="preserve"> </w:t>
      </w:r>
      <w:r>
        <w:rPr>
          <w:sz w:val="20"/>
          <w:szCs w:val="20"/>
        </w:rPr>
        <w:t>Scale bars are indicated in the images.</w:t>
      </w:r>
    </w:p>
    <w:p w14:paraId="41FAD3C2" w14:textId="287D2069" w:rsidR="004F4C30" w:rsidRDefault="00A53647" w:rsidP="00A53647">
      <w:pPr>
        <w:rPr>
          <w:rFonts w:hint="eastAsia"/>
          <w:sz w:val="20"/>
          <w:szCs w:val="20"/>
          <w:lang w:eastAsia="zh-CN"/>
        </w:rPr>
      </w:pPr>
      <w:r>
        <w:rPr>
          <w:sz w:val="20"/>
          <w:szCs w:val="20"/>
        </w:rPr>
        <w:br w:type="page"/>
      </w:r>
    </w:p>
    <w:p w14:paraId="4EA27E11" w14:textId="47815A2E" w:rsidR="004F4C30" w:rsidRDefault="00A53647">
      <w:pPr>
        <w:rPr>
          <w:rFonts w:hint="eastAsia"/>
          <w:lang w:eastAsia="zh-CN"/>
        </w:rPr>
      </w:pPr>
      <w:r>
        <w:rPr>
          <w:noProof/>
        </w:rPr>
        <w:lastRenderedPageBreak/>
        <w:drawing>
          <wp:inline distT="0" distB="0" distL="0" distR="0" wp14:anchorId="09F91788" wp14:editId="38A78C9F">
            <wp:extent cx="5819775" cy="7191375"/>
            <wp:effectExtent l="0" t="0" r="9525" b="9525"/>
            <wp:docPr id="48353527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19775" cy="7191375"/>
                    </a:xfrm>
                    <a:prstGeom prst="rect">
                      <a:avLst/>
                    </a:prstGeom>
                    <a:noFill/>
                    <a:ln>
                      <a:noFill/>
                    </a:ln>
                  </pic:spPr>
                </pic:pic>
              </a:graphicData>
            </a:graphic>
          </wp:inline>
        </w:drawing>
      </w:r>
    </w:p>
    <w:p w14:paraId="4ACB30BC" w14:textId="2A526A5D" w:rsidR="00A53647" w:rsidRDefault="004F4C30">
      <w:pPr>
        <w:rPr>
          <w:rFonts w:cs="Arial"/>
          <w:sz w:val="20"/>
          <w:szCs w:val="20"/>
        </w:rPr>
      </w:pPr>
      <w:r>
        <w:rPr>
          <w:rFonts w:cs="Arial"/>
          <w:b/>
          <w:bCs/>
          <w:sz w:val="20"/>
          <w:szCs w:val="20"/>
        </w:rPr>
        <w:t xml:space="preserve">Supplementary Figure </w:t>
      </w:r>
      <w:r>
        <w:rPr>
          <w:rFonts w:cs="Arial" w:hint="eastAsia"/>
          <w:b/>
          <w:bCs/>
          <w:sz w:val="20"/>
          <w:szCs w:val="20"/>
        </w:rPr>
        <w:t>7</w:t>
      </w:r>
      <w:r>
        <w:rPr>
          <w:rFonts w:cs="Arial"/>
          <w:b/>
          <w:bCs/>
          <w:sz w:val="20"/>
          <w:szCs w:val="20"/>
        </w:rPr>
        <w:t>. APOE overexpression in wild-type mice reduces synaptic pruning and preserves synaptic density.</w:t>
      </w:r>
      <w:r>
        <w:rPr>
          <w:rFonts w:cs="Arial"/>
          <w:sz w:val="20"/>
          <w:szCs w:val="20"/>
        </w:rPr>
        <w:t xml:space="preserve"> </w:t>
      </w:r>
      <w:r>
        <w:rPr>
          <w:rFonts w:cs="Arial"/>
          <w:b/>
          <w:bCs/>
          <w:sz w:val="20"/>
          <w:szCs w:val="20"/>
        </w:rPr>
        <w:t>(A</w:t>
      </w:r>
      <w:r>
        <w:rPr>
          <w:rFonts w:cs="Arial" w:hint="eastAsia"/>
          <w:b/>
          <w:bCs/>
          <w:sz w:val="20"/>
          <w:szCs w:val="20"/>
        </w:rPr>
        <w:t>)</w:t>
      </w:r>
      <w:r>
        <w:rPr>
          <w:rFonts w:cs="Arial"/>
          <w:sz w:val="20"/>
          <w:szCs w:val="20"/>
        </w:rPr>
        <w:t xml:space="preserve"> APOE overexpression in WT mice led to increased LD</w:t>
      </w:r>
      <w:r>
        <w:rPr>
          <w:rFonts w:cs="Arial" w:hint="eastAsia"/>
          <w:sz w:val="20"/>
          <w:szCs w:val="20"/>
        </w:rPr>
        <w:t>s</w:t>
      </w:r>
      <w:r>
        <w:rPr>
          <w:rFonts w:cs="Arial"/>
          <w:sz w:val="20"/>
          <w:szCs w:val="20"/>
        </w:rPr>
        <w:t xml:space="preserve"> transfer from macrophages to fibroblasts, shown by increased BODIPY+ area in PDGFRα+ cells. </w:t>
      </w:r>
      <w:r>
        <w:rPr>
          <w:rFonts w:cs="Arial"/>
          <w:b/>
          <w:bCs/>
          <w:sz w:val="20"/>
          <w:szCs w:val="20"/>
        </w:rPr>
        <w:t>(B)</w:t>
      </w:r>
      <w:r>
        <w:rPr>
          <w:rFonts w:cs="Arial"/>
          <w:sz w:val="20"/>
          <w:szCs w:val="20"/>
        </w:rPr>
        <w:t xml:space="preserve"> Overexpression reduced complement C1q</w:t>
      </w:r>
      <w:r>
        <w:rPr>
          <w:rFonts w:cs="Arial" w:hint="eastAsia"/>
          <w:sz w:val="20"/>
          <w:szCs w:val="20"/>
        </w:rPr>
        <w:t>(blue)</w:t>
      </w:r>
      <w:r>
        <w:rPr>
          <w:rFonts w:cs="Arial"/>
          <w:sz w:val="20"/>
          <w:szCs w:val="20"/>
        </w:rPr>
        <w:t>/C3</w:t>
      </w:r>
      <w:r>
        <w:rPr>
          <w:rFonts w:cs="Arial" w:hint="eastAsia"/>
          <w:sz w:val="20"/>
          <w:szCs w:val="20"/>
        </w:rPr>
        <w:t>(red)</w:t>
      </w:r>
      <w:r>
        <w:rPr>
          <w:rFonts w:cs="Arial"/>
          <w:sz w:val="20"/>
          <w:szCs w:val="20"/>
        </w:rPr>
        <w:t xml:space="preserve"> tagging on synapses (Homer1</w:t>
      </w:r>
      <w:r>
        <w:rPr>
          <w:rFonts w:cs="Arial" w:hint="eastAsia"/>
          <w:sz w:val="20"/>
          <w:szCs w:val="20"/>
        </w:rPr>
        <w:t>, green</w:t>
      </w:r>
      <w:r>
        <w:rPr>
          <w:rFonts w:cs="Arial"/>
          <w:sz w:val="20"/>
          <w:szCs w:val="20"/>
        </w:rPr>
        <w:t xml:space="preserve">). </w:t>
      </w:r>
      <w:r>
        <w:rPr>
          <w:rFonts w:cs="Arial"/>
          <w:b/>
          <w:bCs/>
          <w:sz w:val="20"/>
          <w:szCs w:val="20"/>
        </w:rPr>
        <w:t>(C)</w:t>
      </w:r>
      <w:r>
        <w:rPr>
          <w:rFonts w:cs="Arial"/>
          <w:sz w:val="20"/>
          <w:szCs w:val="20"/>
        </w:rPr>
        <w:t xml:space="preserve"> Engulfment of synapses by microglia (IBA-1</w:t>
      </w:r>
      <w:r>
        <w:rPr>
          <w:rFonts w:cs="Arial" w:hint="eastAsia"/>
          <w:sz w:val="20"/>
          <w:szCs w:val="20"/>
        </w:rPr>
        <w:t>, green</w:t>
      </w:r>
      <w:r>
        <w:rPr>
          <w:rFonts w:cs="Arial"/>
          <w:sz w:val="20"/>
          <w:szCs w:val="20"/>
        </w:rPr>
        <w:t xml:space="preserve">) was decreased. </w:t>
      </w:r>
      <w:r>
        <w:rPr>
          <w:rFonts w:cs="Arial"/>
          <w:b/>
          <w:bCs/>
          <w:sz w:val="20"/>
          <w:szCs w:val="20"/>
        </w:rPr>
        <w:t>(D)</w:t>
      </w:r>
      <w:r>
        <w:rPr>
          <w:rFonts w:cs="Arial"/>
          <w:sz w:val="20"/>
          <w:szCs w:val="20"/>
        </w:rPr>
        <w:t xml:space="preserve"> </w:t>
      </w:r>
      <w:r>
        <w:rPr>
          <w:rFonts w:cs="Arial" w:hint="eastAsia"/>
          <w:sz w:val="20"/>
          <w:szCs w:val="20"/>
        </w:rPr>
        <w:t>Excitatory s</w:t>
      </w:r>
      <w:r>
        <w:rPr>
          <w:rFonts w:cs="Arial"/>
          <w:sz w:val="20"/>
          <w:szCs w:val="20"/>
        </w:rPr>
        <w:t>ynaptic density (VGLUT2</w:t>
      </w:r>
      <w:r>
        <w:rPr>
          <w:rFonts w:cs="Arial" w:hint="eastAsia"/>
          <w:sz w:val="20"/>
          <w:szCs w:val="20"/>
        </w:rPr>
        <w:t xml:space="preserve">, </w:t>
      </w:r>
      <w:r>
        <w:rPr>
          <w:rFonts w:cs="Arial"/>
          <w:sz w:val="20"/>
          <w:szCs w:val="20"/>
        </w:rPr>
        <w:t xml:space="preserve">Homer1) was significantly preserved in both the spinal </w:t>
      </w:r>
      <w:r>
        <w:rPr>
          <w:rFonts w:cs="Arial"/>
          <w:sz w:val="20"/>
          <w:szCs w:val="20"/>
        </w:rPr>
        <w:lastRenderedPageBreak/>
        <w:t xml:space="preserve">cord peri-lesion area and the </w:t>
      </w:r>
      <w:r>
        <w:rPr>
          <w:sz w:val="20"/>
          <w:szCs w:val="20"/>
        </w:rPr>
        <w:t>lumbar walking executive cente</w:t>
      </w:r>
      <w:r>
        <w:rPr>
          <w:rFonts w:hint="eastAsia"/>
          <w:sz w:val="20"/>
          <w:szCs w:val="20"/>
        </w:rPr>
        <w:t>r</w:t>
      </w:r>
      <w:r>
        <w:rPr>
          <w:sz w:val="20"/>
          <w:szCs w:val="20"/>
        </w:rPr>
        <w:t>’</w:t>
      </w:r>
      <w:r>
        <w:rPr>
          <w:rFonts w:hint="eastAsia"/>
          <w:sz w:val="20"/>
          <w:szCs w:val="20"/>
        </w:rPr>
        <w:t>s</w:t>
      </w:r>
      <w:r>
        <w:rPr>
          <w:sz w:val="20"/>
          <w:szCs w:val="20"/>
        </w:rPr>
        <w:t xml:space="preserve"> anterior horn</w:t>
      </w:r>
      <w:r>
        <w:rPr>
          <w:rFonts w:cs="Arial"/>
          <w:sz w:val="20"/>
          <w:szCs w:val="20"/>
        </w:rPr>
        <w:t xml:space="preserve">. </w:t>
      </w:r>
      <w:r>
        <w:rPr>
          <w:rFonts w:cs="Arial" w:hint="eastAsia"/>
          <w:b/>
          <w:bCs/>
          <w:sz w:val="20"/>
          <w:szCs w:val="20"/>
        </w:rPr>
        <w:t>(E)</w:t>
      </w:r>
      <w:r>
        <w:rPr>
          <w:rFonts w:cs="Arial" w:hint="eastAsia"/>
          <w:sz w:val="20"/>
          <w:szCs w:val="20"/>
        </w:rPr>
        <w:t xml:space="preserve"> </w:t>
      </w:r>
      <w:r>
        <w:rPr>
          <w:rFonts w:cs="Arial"/>
          <w:sz w:val="20"/>
          <w:szCs w:val="20"/>
        </w:rPr>
        <w:t>APOE overexpression increased the density of inhibitory synapses</w:t>
      </w:r>
      <w:r>
        <w:rPr>
          <w:rFonts w:cs="Arial" w:hint="eastAsia"/>
          <w:sz w:val="20"/>
          <w:szCs w:val="20"/>
        </w:rPr>
        <w:t xml:space="preserve"> (VGAT, </w:t>
      </w:r>
      <w:r>
        <w:rPr>
          <w:sz w:val="20"/>
          <w:szCs w:val="20"/>
        </w:rPr>
        <w:t>Gephyrin</w:t>
      </w:r>
      <w:r>
        <w:rPr>
          <w:rFonts w:hint="eastAsia"/>
          <w:sz w:val="20"/>
          <w:szCs w:val="20"/>
        </w:rPr>
        <w:t>)</w:t>
      </w:r>
      <w:r>
        <w:rPr>
          <w:rFonts w:cs="Arial"/>
          <w:sz w:val="20"/>
          <w:szCs w:val="20"/>
        </w:rPr>
        <w:t xml:space="preserve"> in the perilesional area and the </w:t>
      </w:r>
      <w:r>
        <w:rPr>
          <w:sz w:val="20"/>
          <w:szCs w:val="20"/>
        </w:rPr>
        <w:t>lumbar walking executive cente</w:t>
      </w:r>
      <w:r>
        <w:rPr>
          <w:rFonts w:hint="eastAsia"/>
          <w:sz w:val="20"/>
          <w:szCs w:val="20"/>
        </w:rPr>
        <w:t>r</w:t>
      </w:r>
      <w:r>
        <w:rPr>
          <w:sz w:val="20"/>
          <w:szCs w:val="20"/>
        </w:rPr>
        <w:t>’</w:t>
      </w:r>
      <w:r>
        <w:rPr>
          <w:rFonts w:hint="eastAsia"/>
          <w:sz w:val="20"/>
          <w:szCs w:val="20"/>
        </w:rPr>
        <w:t>s</w:t>
      </w:r>
      <w:r>
        <w:rPr>
          <w:sz w:val="20"/>
          <w:szCs w:val="20"/>
        </w:rPr>
        <w:t xml:space="preserve"> anterior horn</w:t>
      </w:r>
      <w:r>
        <w:rPr>
          <w:rFonts w:cs="Arial"/>
          <w:sz w:val="20"/>
          <w:szCs w:val="20"/>
        </w:rPr>
        <w:t>.</w:t>
      </w:r>
      <w:r>
        <w:rPr>
          <w:rFonts w:cs="Arial" w:hint="eastAsia"/>
          <w:sz w:val="20"/>
          <w:szCs w:val="20"/>
        </w:rPr>
        <w:t xml:space="preserve"> </w:t>
      </w:r>
      <w:r>
        <w:rPr>
          <w:rFonts w:cs="Arial" w:hint="eastAsia"/>
          <w:b/>
          <w:bCs/>
          <w:sz w:val="20"/>
          <w:szCs w:val="20"/>
        </w:rPr>
        <w:t>(F)</w:t>
      </w:r>
      <w:r>
        <w:rPr>
          <w:rFonts w:cs="Arial"/>
          <w:sz w:val="20"/>
          <w:szCs w:val="20"/>
        </w:rPr>
        <w:t xml:space="preserve"> Quantification of the</w:t>
      </w:r>
      <w:r>
        <w:rPr>
          <w:rFonts w:cs="Arial" w:hint="eastAsia"/>
          <w:sz w:val="20"/>
          <w:szCs w:val="20"/>
        </w:rPr>
        <w:t xml:space="preserve"> data shown in (A). </w:t>
      </w:r>
      <w:r>
        <w:rPr>
          <w:rFonts w:cs="Arial" w:hint="eastAsia"/>
          <w:b/>
          <w:bCs/>
          <w:sz w:val="20"/>
          <w:szCs w:val="20"/>
        </w:rPr>
        <w:t>(G)</w:t>
      </w:r>
      <w:r>
        <w:rPr>
          <w:rFonts w:cs="Arial" w:hint="eastAsia"/>
          <w:sz w:val="20"/>
          <w:szCs w:val="20"/>
        </w:rPr>
        <w:t xml:space="preserve"> </w:t>
      </w:r>
      <w:r>
        <w:rPr>
          <w:rFonts w:cs="Arial"/>
          <w:sz w:val="20"/>
          <w:szCs w:val="20"/>
        </w:rPr>
        <w:t>Quantification of the</w:t>
      </w:r>
      <w:r>
        <w:rPr>
          <w:rFonts w:cs="Arial" w:hint="eastAsia"/>
          <w:sz w:val="20"/>
          <w:szCs w:val="20"/>
        </w:rPr>
        <w:t xml:space="preserve"> data shown in (B). </w:t>
      </w:r>
      <w:r>
        <w:rPr>
          <w:rFonts w:cs="Arial" w:hint="eastAsia"/>
          <w:b/>
          <w:bCs/>
          <w:sz w:val="20"/>
          <w:szCs w:val="20"/>
        </w:rPr>
        <w:t>(H)</w:t>
      </w:r>
      <w:r>
        <w:rPr>
          <w:rFonts w:cs="Arial"/>
          <w:sz w:val="20"/>
          <w:szCs w:val="20"/>
        </w:rPr>
        <w:t xml:space="preserve"> Quantification of the</w:t>
      </w:r>
      <w:r>
        <w:rPr>
          <w:rFonts w:cs="Arial" w:hint="eastAsia"/>
          <w:sz w:val="20"/>
          <w:szCs w:val="20"/>
        </w:rPr>
        <w:t xml:space="preserve"> data shown in (C). </w:t>
      </w:r>
      <w:r>
        <w:rPr>
          <w:rFonts w:cs="Arial" w:hint="eastAsia"/>
          <w:b/>
          <w:bCs/>
          <w:sz w:val="20"/>
          <w:szCs w:val="20"/>
        </w:rPr>
        <w:t>(I, J)</w:t>
      </w:r>
      <w:r>
        <w:rPr>
          <w:rFonts w:cs="Arial"/>
          <w:sz w:val="20"/>
          <w:szCs w:val="20"/>
        </w:rPr>
        <w:t xml:space="preserve"> Quantification of the</w:t>
      </w:r>
      <w:r>
        <w:rPr>
          <w:rFonts w:cs="Arial" w:hint="eastAsia"/>
          <w:sz w:val="20"/>
          <w:szCs w:val="20"/>
        </w:rPr>
        <w:t xml:space="preserve"> data shown in (D).</w:t>
      </w:r>
      <w:r>
        <w:rPr>
          <w:rFonts w:cs="Arial" w:hint="eastAsia"/>
          <w:b/>
          <w:bCs/>
          <w:sz w:val="20"/>
          <w:szCs w:val="20"/>
        </w:rPr>
        <w:t xml:space="preserve"> (K, L)</w:t>
      </w:r>
      <w:r>
        <w:rPr>
          <w:rFonts w:cs="Arial"/>
          <w:sz w:val="20"/>
          <w:szCs w:val="20"/>
        </w:rPr>
        <w:t xml:space="preserve"> Quantification of the</w:t>
      </w:r>
      <w:r>
        <w:rPr>
          <w:rFonts w:cs="Arial" w:hint="eastAsia"/>
          <w:sz w:val="20"/>
          <w:szCs w:val="20"/>
        </w:rPr>
        <w:t xml:space="preserve"> data shown in (E). (F-L) </w:t>
      </w:r>
      <w:r>
        <w:rPr>
          <w:rFonts w:cs="Arial"/>
          <w:sz w:val="20"/>
          <w:szCs w:val="20"/>
        </w:rPr>
        <w:t xml:space="preserve">Data are presented as mean ± </w:t>
      </w:r>
      <w:r>
        <w:rPr>
          <w:rFonts w:cs="Arial" w:hint="eastAsia"/>
          <w:sz w:val="20"/>
          <w:szCs w:val="20"/>
        </w:rPr>
        <w:t>SD, n = 6,</w:t>
      </w:r>
      <w:r>
        <w:rPr>
          <w:rFonts w:cs="Arial"/>
          <w:sz w:val="20"/>
          <w:szCs w:val="20"/>
        </w:rPr>
        <w:t xml:space="preserve"> two-tailed Student's t-test. Scale bars are indicated in the images.</w:t>
      </w:r>
    </w:p>
    <w:p w14:paraId="39CDE18B" w14:textId="39206B7D" w:rsidR="004F4C30" w:rsidRDefault="00A53647">
      <w:pPr>
        <w:rPr>
          <w:rFonts w:cs="Arial" w:hint="eastAsia"/>
          <w:sz w:val="20"/>
          <w:szCs w:val="20"/>
          <w:lang w:eastAsia="zh-CN"/>
        </w:rPr>
      </w:pPr>
      <w:r>
        <w:rPr>
          <w:rFonts w:cs="Arial"/>
          <w:sz w:val="20"/>
          <w:szCs w:val="20"/>
        </w:rPr>
        <w:br w:type="page"/>
      </w:r>
    </w:p>
    <w:p w14:paraId="70197EFA" w14:textId="18BCE9E8" w:rsidR="004F4C30" w:rsidRDefault="00A53647">
      <w:pPr>
        <w:rPr>
          <w:rFonts w:hint="eastAsia"/>
          <w:lang w:eastAsia="zh-CN"/>
        </w:rPr>
      </w:pPr>
      <w:r>
        <w:rPr>
          <w:noProof/>
        </w:rPr>
        <w:lastRenderedPageBreak/>
        <w:drawing>
          <wp:inline distT="0" distB="0" distL="0" distR="0" wp14:anchorId="34140E35" wp14:editId="271A57D0">
            <wp:extent cx="5181600" cy="4238625"/>
            <wp:effectExtent l="0" t="0" r="0" b="9525"/>
            <wp:docPr id="12962223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81600" cy="4238625"/>
                    </a:xfrm>
                    <a:prstGeom prst="rect">
                      <a:avLst/>
                    </a:prstGeom>
                    <a:noFill/>
                    <a:ln>
                      <a:noFill/>
                    </a:ln>
                  </pic:spPr>
                </pic:pic>
              </a:graphicData>
            </a:graphic>
          </wp:inline>
        </w:drawing>
      </w:r>
    </w:p>
    <w:p w14:paraId="1D291F21" w14:textId="77777777" w:rsidR="004F4C30" w:rsidRDefault="004F4C30">
      <w:pPr>
        <w:rPr>
          <w:sz w:val="20"/>
          <w:szCs w:val="20"/>
        </w:rPr>
      </w:pPr>
      <w:r>
        <w:rPr>
          <w:rFonts w:cs="Arial"/>
          <w:b/>
          <w:bCs/>
          <w:sz w:val="20"/>
          <w:szCs w:val="20"/>
        </w:rPr>
        <w:t xml:space="preserve">Supplementary Figure </w:t>
      </w:r>
      <w:r>
        <w:rPr>
          <w:rFonts w:cs="Arial" w:hint="eastAsia"/>
          <w:b/>
          <w:bCs/>
          <w:sz w:val="20"/>
          <w:szCs w:val="20"/>
        </w:rPr>
        <w:t>8</w:t>
      </w:r>
      <w:r>
        <w:rPr>
          <w:rFonts w:cs="Arial"/>
          <w:b/>
          <w:bCs/>
          <w:sz w:val="20"/>
          <w:szCs w:val="20"/>
        </w:rPr>
        <w:t xml:space="preserve">. </w:t>
      </w:r>
      <w:r>
        <w:rPr>
          <w:rFonts w:cs="Arial" w:hint="eastAsia"/>
          <w:b/>
          <w:bCs/>
          <w:sz w:val="20"/>
          <w:szCs w:val="20"/>
        </w:rPr>
        <w:t>Infection</w:t>
      </w:r>
      <w:r>
        <w:rPr>
          <w:rFonts w:cs="Arial"/>
          <w:b/>
          <w:bCs/>
          <w:sz w:val="20"/>
          <w:szCs w:val="20"/>
        </w:rPr>
        <w:t xml:space="preserve"> efficiency and </w:t>
      </w:r>
      <w:r>
        <w:rPr>
          <w:rFonts w:cs="Arial" w:hint="eastAsia"/>
          <w:b/>
          <w:bCs/>
          <w:sz w:val="20"/>
          <w:szCs w:val="20"/>
        </w:rPr>
        <w:t>functional</w:t>
      </w:r>
      <w:r>
        <w:rPr>
          <w:rFonts w:cs="Arial"/>
          <w:b/>
          <w:bCs/>
          <w:sz w:val="20"/>
          <w:szCs w:val="20"/>
        </w:rPr>
        <w:t xml:space="preserve"> recovery following macrophage-specific APOE overexpression in </w:t>
      </w:r>
      <w:r>
        <w:rPr>
          <w:rFonts w:cs="Arial" w:hint="eastAsia"/>
          <w:b/>
          <w:bCs/>
          <w:sz w:val="20"/>
          <w:szCs w:val="20"/>
        </w:rPr>
        <w:t>WT</w:t>
      </w:r>
      <w:r>
        <w:rPr>
          <w:rFonts w:cs="Arial"/>
          <w:b/>
          <w:bCs/>
          <w:sz w:val="20"/>
          <w:szCs w:val="20"/>
        </w:rPr>
        <w:t xml:space="preserve"> mice.</w:t>
      </w:r>
      <w:r>
        <w:rPr>
          <w:rFonts w:cs="Arial"/>
          <w:sz w:val="20"/>
          <w:szCs w:val="20"/>
        </w:rPr>
        <w:t xml:space="preserve"> </w:t>
      </w:r>
      <w:r>
        <w:rPr>
          <w:rFonts w:cs="Arial"/>
          <w:b/>
          <w:bCs/>
          <w:sz w:val="20"/>
          <w:szCs w:val="20"/>
        </w:rPr>
        <w:t>(A)</w:t>
      </w:r>
      <w:r>
        <w:rPr>
          <w:rFonts w:cs="Arial"/>
          <w:sz w:val="20"/>
          <w:szCs w:val="20"/>
        </w:rPr>
        <w:t xml:space="preserve"> Representative images showing successful AAV transduction (mCherry, red) in F4/80+ macrophages (green) of WT mice. </w:t>
      </w:r>
      <w:r>
        <w:rPr>
          <w:rFonts w:cs="Arial"/>
          <w:b/>
          <w:bCs/>
          <w:sz w:val="20"/>
          <w:szCs w:val="20"/>
        </w:rPr>
        <w:t>(B)</w:t>
      </w:r>
      <w:r>
        <w:rPr>
          <w:rFonts w:cs="Arial"/>
          <w:sz w:val="20"/>
          <w:szCs w:val="20"/>
        </w:rPr>
        <w:t xml:space="preserve"> Quantification of transduction efficiency.</w:t>
      </w:r>
      <w:r>
        <w:rPr>
          <w:rFonts w:cs="Arial" w:hint="eastAsia"/>
          <w:sz w:val="20"/>
          <w:szCs w:val="20"/>
        </w:rPr>
        <w:t xml:space="preserve"> </w:t>
      </w:r>
      <w:r>
        <w:rPr>
          <w:rFonts w:cs="Arial"/>
          <w:sz w:val="20"/>
          <w:szCs w:val="20"/>
        </w:rPr>
        <w:t xml:space="preserve">Data are presented as mean ± </w:t>
      </w:r>
      <w:r>
        <w:rPr>
          <w:rFonts w:cs="Arial" w:hint="eastAsia"/>
          <w:sz w:val="20"/>
          <w:szCs w:val="20"/>
        </w:rPr>
        <w:t>SD, n = 6,</w:t>
      </w:r>
      <w:r>
        <w:rPr>
          <w:rFonts w:cs="Arial"/>
          <w:sz w:val="20"/>
          <w:szCs w:val="20"/>
        </w:rPr>
        <w:t xml:space="preserve"> </w:t>
      </w:r>
      <w:r>
        <w:rPr>
          <w:rFonts w:cs="Arial" w:hint="eastAsia"/>
          <w:sz w:val="20"/>
          <w:szCs w:val="20"/>
        </w:rPr>
        <w:t>t</w:t>
      </w:r>
      <w:r>
        <w:rPr>
          <w:rFonts w:cs="Arial"/>
          <w:sz w:val="20"/>
          <w:szCs w:val="20"/>
        </w:rPr>
        <w:t>wo-tailed Student's t-test</w:t>
      </w:r>
      <w:r>
        <w:rPr>
          <w:rFonts w:cs="Arial" w:hint="eastAsia"/>
          <w:sz w:val="20"/>
          <w:szCs w:val="20"/>
        </w:rPr>
        <w:t>.</w:t>
      </w:r>
      <w:r>
        <w:rPr>
          <w:rFonts w:cs="Arial"/>
          <w:sz w:val="20"/>
          <w:szCs w:val="20"/>
        </w:rPr>
        <w:t xml:space="preserve"> </w:t>
      </w:r>
      <w:r>
        <w:rPr>
          <w:rFonts w:cs="Arial"/>
          <w:b/>
          <w:bCs/>
          <w:sz w:val="20"/>
          <w:szCs w:val="20"/>
        </w:rPr>
        <w:t>(C-</w:t>
      </w:r>
      <w:r>
        <w:rPr>
          <w:rFonts w:cs="Arial" w:hint="eastAsia"/>
          <w:b/>
          <w:bCs/>
          <w:sz w:val="20"/>
          <w:szCs w:val="20"/>
        </w:rPr>
        <w:t>E</w:t>
      </w:r>
      <w:r>
        <w:rPr>
          <w:rFonts w:cs="Arial"/>
          <w:b/>
          <w:bCs/>
          <w:sz w:val="20"/>
          <w:szCs w:val="20"/>
        </w:rPr>
        <w:t>)</w:t>
      </w:r>
      <w:r>
        <w:rPr>
          <w:rFonts w:cs="Arial"/>
          <w:sz w:val="20"/>
          <w:szCs w:val="20"/>
        </w:rPr>
        <w:t xml:space="preserve"> </w:t>
      </w:r>
      <w:r>
        <w:rPr>
          <w:rFonts w:cs="Arial" w:hint="eastAsia"/>
          <w:sz w:val="20"/>
          <w:szCs w:val="20"/>
        </w:rPr>
        <w:t>Functional</w:t>
      </w:r>
      <w:r>
        <w:rPr>
          <w:rFonts w:cs="Arial"/>
          <w:sz w:val="20"/>
          <w:szCs w:val="20"/>
        </w:rPr>
        <w:t xml:space="preserve"> tests demonstrating that APOE overexpression in WT mice also significantly improved locomotor recovery compared to the control AAV group. (C) Representative images. (D) BMS scores, (E) Inclined plane test results. Data are presented as mean ± </w:t>
      </w:r>
      <w:r>
        <w:rPr>
          <w:rFonts w:cs="Arial" w:hint="eastAsia"/>
          <w:sz w:val="20"/>
          <w:szCs w:val="20"/>
        </w:rPr>
        <w:t xml:space="preserve">SD, n = 7, </w:t>
      </w:r>
      <w:r>
        <w:rPr>
          <w:rFonts w:cs="Arial"/>
          <w:sz w:val="20"/>
          <w:szCs w:val="20"/>
        </w:rPr>
        <w:t>two-way ANOVA</w:t>
      </w:r>
      <w:r>
        <w:rPr>
          <w:rFonts w:cs="Arial" w:hint="eastAsia"/>
          <w:sz w:val="20"/>
          <w:szCs w:val="20"/>
        </w:rPr>
        <w:t xml:space="preserve"> </w:t>
      </w:r>
      <w:r>
        <w:rPr>
          <w:rFonts w:hint="eastAsia"/>
          <w:sz w:val="20"/>
          <w:szCs w:val="20"/>
        </w:rPr>
        <w:t>with Tukey</w:t>
      </w:r>
      <w:r>
        <w:rPr>
          <w:sz w:val="20"/>
          <w:szCs w:val="20"/>
        </w:rPr>
        <w:t>’</w:t>
      </w:r>
      <w:r>
        <w:rPr>
          <w:rFonts w:hint="eastAsia"/>
          <w:sz w:val="20"/>
          <w:szCs w:val="20"/>
        </w:rPr>
        <w:t>s post-hoc test</w:t>
      </w:r>
      <w:r>
        <w:rPr>
          <w:sz w:val="20"/>
          <w:szCs w:val="20"/>
        </w:rPr>
        <w:t xml:space="preserve">. Normality and homogeneity of variances were verified by Shapiro–Wilk and Levene’s tests, respectively, before </w:t>
      </w:r>
      <w:r>
        <w:rPr>
          <w:rFonts w:hint="eastAsia"/>
          <w:sz w:val="20"/>
          <w:szCs w:val="20"/>
        </w:rPr>
        <w:t>two</w:t>
      </w:r>
      <w:r>
        <w:rPr>
          <w:sz w:val="20"/>
          <w:szCs w:val="20"/>
        </w:rPr>
        <w:t>-way ANOVA.</w:t>
      </w:r>
      <w:r>
        <w:rPr>
          <w:rFonts w:hint="eastAsia"/>
          <w:sz w:val="20"/>
          <w:szCs w:val="20"/>
        </w:rPr>
        <w:t xml:space="preserve"> </w:t>
      </w:r>
      <w:r>
        <w:rPr>
          <w:sz w:val="20"/>
          <w:szCs w:val="20"/>
        </w:rPr>
        <w:t>Scale bars are indicated in the images.</w:t>
      </w:r>
    </w:p>
    <w:p w14:paraId="4D9BF474" w14:textId="77777777" w:rsidR="004F4C30" w:rsidRDefault="004F4C30">
      <w:pPr>
        <w:rPr>
          <w:sz w:val="20"/>
          <w:szCs w:val="20"/>
        </w:rPr>
      </w:pPr>
      <w:r>
        <w:rPr>
          <w:sz w:val="20"/>
          <w:szCs w:val="20"/>
        </w:rPr>
        <w:br w:type="page"/>
      </w:r>
    </w:p>
    <w:p w14:paraId="72FDDA35" w14:textId="31154B21" w:rsidR="004F4C30" w:rsidRDefault="00A53647">
      <w:pPr>
        <w:rPr>
          <w:rFonts w:hint="eastAsia"/>
          <w:lang w:eastAsia="zh-CN"/>
        </w:rPr>
      </w:pPr>
      <w:r>
        <w:rPr>
          <w:noProof/>
        </w:rPr>
        <w:lastRenderedPageBreak/>
        <w:drawing>
          <wp:inline distT="0" distB="0" distL="0" distR="0" wp14:anchorId="5C107D98" wp14:editId="571DA39B">
            <wp:extent cx="5712460" cy="8229600"/>
            <wp:effectExtent l="0" t="0" r="2540" b="0"/>
            <wp:docPr id="142772177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12460" cy="8229600"/>
                    </a:xfrm>
                    <a:prstGeom prst="rect">
                      <a:avLst/>
                    </a:prstGeom>
                    <a:noFill/>
                    <a:ln>
                      <a:noFill/>
                    </a:ln>
                  </pic:spPr>
                </pic:pic>
              </a:graphicData>
            </a:graphic>
          </wp:inline>
        </w:drawing>
      </w:r>
    </w:p>
    <w:p w14:paraId="659CDE71" w14:textId="0FBCFF06" w:rsidR="004F4C30" w:rsidRPr="00A53647" w:rsidRDefault="004F4C30" w:rsidP="00A53647">
      <w:pPr>
        <w:spacing w:line="240" w:lineRule="auto"/>
        <w:rPr>
          <w:sz w:val="20"/>
          <w:szCs w:val="20"/>
        </w:rPr>
      </w:pPr>
      <w:r>
        <w:rPr>
          <w:rFonts w:hint="eastAsia"/>
          <w:b/>
          <w:bCs/>
          <w:sz w:val="20"/>
          <w:szCs w:val="20"/>
        </w:rPr>
        <w:lastRenderedPageBreak/>
        <w:t xml:space="preserve">Supplementary Figure 9. Bulk RNA-seq analysis identifies the Hippo pathway as a candidate linking lipid stress to C1q expression. </w:t>
      </w:r>
      <w:r>
        <w:rPr>
          <w:b/>
          <w:bCs/>
          <w:sz w:val="20"/>
          <w:szCs w:val="20"/>
        </w:rPr>
        <w:t>(A,</w:t>
      </w:r>
      <w:r>
        <w:rPr>
          <w:rFonts w:hint="eastAsia"/>
          <w:b/>
          <w:bCs/>
          <w:sz w:val="20"/>
          <w:szCs w:val="20"/>
        </w:rPr>
        <w:t xml:space="preserve"> </w:t>
      </w:r>
      <w:r>
        <w:rPr>
          <w:b/>
          <w:bCs/>
          <w:sz w:val="20"/>
          <w:szCs w:val="20"/>
        </w:rPr>
        <w:t>B)</w:t>
      </w:r>
      <w:r>
        <w:rPr>
          <w:sz w:val="20"/>
          <w:szCs w:val="20"/>
        </w:rPr>
        <w:t xml:space="preserve"> Representative immunofluorescence images and quantification showing that in a single-culture system (without L929 fibroblasts), HOM stimulation induced comparable levels of intracellular lipid droplets (BODIPY, green) and C1q expression (red) in both WT and </w:t>
      </w:r>
      <w:r>
        <w:rPr>
          <w:i/>
          <w:iCs/>
          <w:sz w:val="20"/>
          <w:szCs w:val="20"/>
        </w:rPr>
        <w:t>Apoe</w:t>
      </w:r>
      <w:r>
        <w:rPr>
          <w:i/>
          <w:iCs/>
          <w:sz w:val="20"/>
          <w:szCs w:val="20"/>
          <w:vertAlign w:val="superscript"/>
        </w:rPr>
        <w:t>-/-</w:t>
      </w:r>
      <w:r>
        <w:rPr>
          <w:sz w:val="20"/>
          <w:szCs w:val="20"/>
        </w:rPr>
        <w:t xml:space="preserve"> macrophages.</w:t>
      </w:r>
      <w:r>
        <w:rPr>
          <w:rFonts w:hint="eastAsia"/>
          <w:sz w:val="20"/>
          <w:szCs w:val="20"/>
        </w:rPr>
        <w:t xml:space="preserve"> </w:t>
      </w:r>
      <w:r>
        <w:rPr>
          <w:b/>
          <w:bCs/>
          <w:sz w:val="20"/>
          <w:szCs w:val="20"/>
        </w:rPr>
        <w:t>(C, D)</w:t>
      </w:r>
      <w:r>
        <w:rPr>
          <w:sz w:val="20"/>
          <w:szCs w:val="20"/>
        </w:rPr>
        <w:t xml:space="preserve"> Assessment of intracellular lipid retention following pharmacological inhibition of lipid efflux. Treatment with Glyburide</w:t>
      </w:r>
      <w:r>
        <w:rPr>
          <w:rFonts w:hint="eastAsia"/>
          <w:sz w:val="20"/>
          <w:szCs w:val="20"/>
        </w:rPr>
        <w:t xml:space="preserve"> (100uM)</w:t>
      </w:r>
      <w:r>
        <w:rPr>
          <w:sz w:val="20"/>
          <w:szCs w:val="20"/>
        </w:rPr>
        <w:t xml:space="preserve"> significantly increased the accumulation of intracellular lipid droplets in HOM-stimulated BMDMs compared to the vehicle-treated HOM group.</w:t>
      </w:r>
      <w:r>
        <w:rPr>
          <w:rFonts w:hint="eastAsia"/>
          <w:sz w:val="20"/>
          <w:szCs w:val="20"/>
        </w:rPr>
        <w:t xml:space="preserve"> </w:t>
      </w:r>
      <w:r>
        <w:rPr>
          <w:b/>
          <w:bCs/>
          <w:sz w:val="20"/>
          <w:szCs w:val="20"/>
        </w:rPr>
        <w:t>(E)</w:t>
      </w:r>
      <w:r>
        <w:rPr>
          <w:sz w:val="20"/>
          <w:szCs w:val="20"/>
        </w:rPr>
        <w:t xml:space="preserve"> Schematic diagram of the experimental design for bulk RNA sequencing of BMDMs stimulated with HOM for 24 hours.</w:t>
      </w:r>
      <w:r>
        <w:rPr>
          <w:rFonts w:hint="eastAsia"/>
          <w:sz w:val="20"/>
          <w:szCs w:val="20"/>
        </w:rPr>
        <w:t xml:space="preserve"> </w:t>
      </w:r>
      <w:r>
        <w:rPr>
          <w:b/>
          <w:bCs/>
          <w:sz w:val="20"/>
          <w:szCs w:val="20"/>
        </w:rPr>
        <w:t>(F)</w:t>
      </w:r>
      <w:r>
        <w:rPr>
          <w:sz w:val="20"/>
          <w:szCs w:val="20"/>
        </w:rPr>
        <w:t xml:space="preserve"> KEGG enrichment analysis of upregulated genes in HOM-stimulated BMDMs. The dot plot highlights the top enriched signaling pathways, including the Hippo signaling pathway. Gene Ratio indicates the percentage of upregulated genes falling into a pathway, and NES represents the normalized enrichment score.</w:t>
      </w:r>
      <w:r>
        <w:rPr>
          <w:rFonts w:hint="eastAsia"/>
          <w:sz w:val="20"/>
          <w:szCs w:val="20"/>
        </w:rPr>
        <w:t xml:space="preserve"> </w:t>
      </w:r>
      <w:r>
        <w:rPr>
          <w:b/>
          <w:bCs/>
          <w:sz w:val="20"/>
          <w:szCs w:val="20"/>
        </w:rPr>
        <w:t>(G, H)</w:t>
      </w:r>
      <w:r>
        <w:rPr>
          <w:sz w:val="20"/>
          <w:szCs w:val="20"/>
        </w:rPr>
        <w:t xml:space="preserve"> Representative immunofluorescence images (G) and quantification (H) of active-YAP1 (red) nuclear translocation in F4/80+ macrophages (green) in an </w:t>
      </w:r>
      <w:r w:rsidRPr="005B6B2C">
        <w:rPr>
          <w:i/>
          <w:iCs/>
          <w:sz w:val="20"/>
          <w:szCs w:val="20"/>
        </w:rPr>
        <w:t>in vitro</w:t>
      </w:r>
      <w:r>
        <w:rPr>
          <w:sz w:val="20"/>
          <w:szCs w:val="20"/>
        </w:rPr>
        <w:t xml:space="preserve"> co-culture system. </w:t>
      </w:r>
      <w:r>
        <w:rPr>
          <w:i/>
          <w:iCs/>
          <w:sz w:val="20"/>
          <w:szCs w:val="20"/>
        </w:rPr>
        <w:t>Apoe</w:t>
      </w:r>
      <w:r>
        <w:rPr>
          <w:i/>
          <w:iCs/>
          <w:sz w:val="20"/>
          <w:szCs w:val="20"/>
          <w:vertAlign w:val="superscript"/>
        </w:rPr>
        <w:t>-/-</w:t>
      </w:r>
      <w:r>
        <w:rPr>
          <w:sz w:val="20"/>
          <w:szCs w:val="20"/>
        </w:rPr>
        <w:t xml:space="preserve"> macrophages exhibited significantly increased nuclear active-YAP1 compared to WT controls.</w:t>
      </w:r>
      <w:r w:rsidR="00A53647">
        <w:rPr>
          <w:rFonts w:hint="eastAsia"/>
          <w:sz w:val="20"/>
          <w:szCs w:val="20"/>
          <w:lang w:eastAsia="zh-CN"/>
        </w:rPr>
        <w:t xml:space="preserve"> </w:t>
      </w:r>
      <w:proofErr w:type="gramStart"/>
      <w:r>
        <w:rPr>
          <w:b/>
          <w:bCs/>
          <w:sz w:val="20"/>
          <w:szCs w:val="20"/>
        </w:rPr>
        <w:t>(</w:t>
      </w:r>
      <w:proofErr w:type="gramEnd"/>
      <w:r>
        <w:rPr>
          <w:rFonts w:hint="eastAsia"/>
          <w:b/>
          <w:bCs/>
          <w:sz w:val="20"/>
          <w:szCs w:val="20"/>
        </w:rPr>
        <w:t>I</w:t>
      </w:r>
      <w:r>
        <w:rPr>
          <w:b/>
          <w:bCs/>
          <w:sz w:val="20"/>
          <w:szCs w:val="20"/>
        </w:rPr>
        <w:t>)</w:t>
      </w:r>
      <w:r>
        <w:rPr>
          <w:rFonts w:hint="eastAsia"/>
          <w:sz w:val="20"/>
          <w:szCs w:val="20"/>
        </w:rPr>
        <w:t xml:space="preserve"> </w:t>
      </w:r>
      <w:r>
        <w:rPr>
          <w:sz w:val="20"/>
          <w:szCs w:val="20"/>
        </w:rPr>
        <w:t>Verteporfin treatment significantly reduced the nuclear accumulation (colocalization with DAPI) of active-YAP1.</w:t>
      </w:r>
      <w:r>
        <w:t xml:space="preserve"> </w:t>
      </w:r>
      <w:r>
        <w:rPr>
          <w:sz w:val="20"/>
          <w:szCs w:val="20"/>
        </w:rPr>
        <w:t>For</w:t>
      </w:r>
      <w:r>
        <w:rPr>
          <w:rFonts w:hint="eastAsia"/>
          <w:sz w:val="20"/>
          <w:szCs w:val="20"/>
        </w:rPr>
        <w:t xml:space="preserve"> (B), (D), (H)</w:t>
      </w:r>
      <w:r>
        <w:rPr>
          <w:sz w:val="20"/>
          <w:szCs w:val="20"/>
        </w:rPr>
        <w:t>, data are presented as mean ± SD, n = 6. Statistical significance was determined by one-way ANOVA with Tukey’s post-hoc test.</w:t>
      </w:r>
      <w:r>
        <w:rPr>
          <w:rFonts w:hint="eastAsia"/>
          <w:sz w:val="20"/>
          <w:szCs w:val="20"/>
        </w:rPr>
        <w:t xml:space="preserve"> For (I), </w:t>
      </w:r>
      <w:r>
        <w:rPr>
          <w:rFonts w:cs="Arial" w:hint="eastAsia"/>
          <w:sz w:val="20"/>
          <w:szCs w:val="20"/>
        </w:rPr>
        <w:t>D</w:t>
      </w:r>
      <w:r>
        <w:rPr>
          <w:rFonts w:cs="Arial"/>
          <w:sz w:val="20"/>
          <w:szCs w:val="20"/>
        </w:rPr>
        <w:t xml:space="preserve">ata are presented as mean ± </w:t>
      </w:r>
      <w:r>
        <w:rPr>
          <w:rFonts w:cs="Arial" w:hint="eastAsia"/>
          <w:sz w:val="20"/>
          <w:szCs w:val="20"/>
        </w:rPr>
        <w:t>SD, n = 5</w:t>
      </w:r>
      <w:r>
        <w:rPr>
          <w:rFonts w:cs="Arial"/>
          <w:sz w:val="20"/>
          <w:szCs w:val="20"/>
        </w:rPr>
        <w:t>. Statistical significance was determined by two-tailed Student's t-test.</w:t>
      </w:r>
      <w:r>
        <w:rPr>
          <w:sz w:val="20"/>
          <w:szCs w:val="20"/>
        </w:rPr>
        <w:t xml:space="preserve"> Normality and homogeneity of variances were verified by Shapiro–Wilk and Levene’s tests, respectively, before one-way ANOVA. Scale bars are indicated in the images.</w:t>
      </w:r>
    </w:p>
    <w:sectPr w:rsidR="004F4C30" w:rsidRPr="00A536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C30"/>
    <w:rsid w:val="00281653"/>
    <w:rsid w:val="003327A1"/>
    <w:rsid w:val="004F4C30"/>
    <w:rsid w:val="0059777E"/>
    <w:rsid w:val="00A53647"/>
    <w:rsid w:val="00C25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45072"/>
  <w15:docId w15:val="{02F9E123-67DD-47B8-BBF1-8AA46077B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4C30"/>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F4C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16</Pages>
  <Words>1704</Words>
  <Characters>10142</Characters>
  <Application>Microsoft Office Word</Application>
  <DocSecurity>0</DocSecurity>
  <Lines>127</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Nila Rose Alaban</dc:creator>
  <cp:lastModifiedBy>bob madie</cp:lastModifiedBy>
  <cp:revision>3</cp:revision>
  <cp:lastPrinted>2026-03-05T13:10:00Z</cp:lastPrinted>
  <dcterms:created xsi:type="dcterms:W3CDTF">2026-03-05T13:04:00Z</dcterms:created>
  <dcterms:modified xsi:type="dcterms:W3CDTF">2026-03-05T13:11:00Z</dcterms:modified>
</cp:coreProperties>
</file>